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E07A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2" w:name="_GoBack"/>
      <w:bookmarkEnd w:id="2"/>
    </w:p>
    <w:p w14:paraId="65C6DBF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连云港市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农村</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集体经济组织</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财务管理办法</w:t>
      </w:r>
      <w:bookmarkStart w:id="0" w:name="bookmark147"/>
      <w:bookmarkEnd w:id="0"/>
    </w:p>
    <w:p w14:paraId="37D81959">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楷体_GB2312" w:hAnsi="楷体_GB2312" w:eastAsia="楷体_GB2312" w:cs="楷体_GB2312"/>
          <w:color w:val="000000" w:themeColor="text1"/>
          <w:sz w:val="32"/>
          <w:szCs w:val="32"/>
          <w:lang w:eastAsia="zh-CN"/>
          <w14:textFill>
            <w14:solidFill>
              <w14:schemeClr w14:val="tx1"/>
            </w14:solidFill>
          </w14:textFill>
        </w:rPr>
      </w:pPr>
    </w:p>
    <w:p w14:paraId="2E9C8145">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征求意见稿</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p>
    <w:p w14:paraId="4697587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p>
    <w:p w14:paraId="3B8356CC">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黑体" w:hAnsi="黑体" w:eastAsia="黑体" w:cs="黑体"/>
          <w:color w:val="000000" w:themeColor="text1"/>
          <w:sz w:val="32"/>
          <w:szCs w:val="32"/>
          <w14:textFill>
            <w14:solidFill>
              <w14:schemeClr w14:val="tx1"/>
            </w14:solidFill>
          </w14:textFill>
        </w:rPr>
        <w:t>总</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default" w:ascii="黑体" w:hAnsi="黑体" w:eastAsia="黑体" w:cs="黑体"/>
          <w:color w:val="000000" w:themeColor="text1"/>
          <w:sz w:val="32"/>
          <w:szCs w:val="32"/>
          <w14:textFill>
            <w14:solidFill>
              <w14:schemeClr w14:val="tx1"/>
            </w14:solidFill>
          </w14:textFill>
        </w:rPr>
        <w:t>则</w:t>
      </w:r>
    </w:p>
    <w:p w14:paraId="42BC835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第一条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为了加强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全市</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财务管理工作，规范农村集体经济组织财务行为，巩固农村集体产权制度改革成果，保障农村集体经济组织及其成员的合法权益，促进农村集体经济发展，根据《中华人民共和国农村集体经济组织法》《农村集体经济组织财务制度》《村集体经济组织会计制度》《江苏省农村集体资产管理条例》等法律法规和有关规定，结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全市</w:t>
      </w:r>
      <w:r>
        <w:rPr>
          <w:rFonts w:hint="default" w:ascii="Times New Roman" w:hAnsi="Times New Roman" w:eastAsia="仿宋_GB2312" w:cs="Times New Roman"/>
          <w:color w:val="000000" w:themeColor="text1"/>
          <w:sz w:val="32"/>
          <w:szCs w:val="32"/>
          <w14:textFill>
            <w14:solidFill>
              <w14:schemeClr w14:val="tx1"/>
            </w14:solidFill>
          </w14:textFill>
        </w:rPr>
        <w:t>实际，制定本办法。</w:t>
      </w:r>
    </w:p>
    <w:p w14:paraId="476D842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第二条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全市范围内</w:t>
      </w:r>
      <w:r>
        <w:rPr>
          <w:rFonts w:hint="default" w:ascii="Times New Roman" w:hAnsi="Times New Roman" w:eastAsia="仿宋_GB2312" w:cs="Times New Roman"/>
          <w:color w:val="000000" w:themeColor="text1"/>
          <w:sz w:val="32"/>
          <w:szCs w:val="32"/>
          <w14:textFill>
            <w14:solidFill>
              <w14:schemeClr w14:val="tx1"/>
            </w14:solidFill>
          </w14:textFill>
        </w:rPr>
        <w:t>依法设立的村（社区）集体经济组织的各类财务活动，均适用本办法。</w:t>
      </w:r>
    </w:p>
    <w:p w14:paraId="7D3463E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财务活动应遵循以下原则：</w:t>
      </w:r>
    </w:p>
    <w:p w14:paraId="28AF8A4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（一）民主管理原则，保障成员对财务活动的知情权、参与权、表达权和监督权；</w:t>
      </w:r>
    </w:p>
    <w:p w14:paraId="58A587C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（二）公开透明原则，财务状况、重大经济事项等须向全体成员公开；</w:t>
      </w:r>
    </w:p>
    <w:p w14:paraId="152A1C3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（三）成员受益原则，确保成员共享集体经济发展成果 ； </w:t>
      </w:r>
    </w:p>
    <w:p w14:paraId="67D0E3F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（四）支持公益原则，发展成果优先用于村级组织运转和农村公益事业。</w:t>
      </w:r>
    </w:p>
    <w:p w14:paraId="5BAD14F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农村集体经济组织财务活动须依法接受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所在县区</w:t>
      </w:r>
      <w:r>
        <w:rPr>
          <w:rFonts w:hint="default" w:ascii="Times New Roman" w:hAnsi="Times New Roman" w:eastAsia="仿宋_GB2312" w:cs="Times New Roman"/>
          <w:color w:val="000000" w:themeColor="text1"/>
          <w:sz w:val="32"/>
          <w:szCs w:val="32"/>
          <w14:textFill>
            <w14:solidFill>
              <w14:schemeClr w14:val="tx1"/>
            </w14:solidFill>
          </w14:textFill>
        </w:rPr>
        <w:t>农业农村局、财政局等主管部门及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的监督指导，同时接受审计部门的审计监督。</w:t>
      </w:r>
    </w:p>
    <w:p w14:paraId="33F077D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建立健全农村集体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负责人任期和离任经济责任审计制度。审计应重点关注任期内新增债务的决策程序、合法性、资金用途及偿债风险等情况。</w:t>
      </w:r>
    </w:p>
    <w:p w14:paraId="6CC2E9F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审计工作由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县区</w:t>
      </w:r>
      <w:r>
        <w:rPr>
          <w:rFonts w:hint="default" w:ascii="Times New Roman" w:hAnsi="Times New Roman" w:eastAsia="仿宋_GB2312" w:cs="Times New Roman"/>
          <w:color w:val="000000" w:themeColor="text1"/>
          <w:sz w:val="32"/>
          <w:szCs w:val="32"/>
          <w14:textFill>
            <w14:solidFill>
              <w14:schemeClr w14:val="tx1"/>
            </w14:solidFill>
          </w14:textFill>
        </w:rPr>
        <w:t>人民政府农业农村等主管部门或</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负责组织。根据监督需要，可委托具备相应资质的第三方审计机构具体实施，对农村集体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的资产、</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债权、负债</w:t>
      </w:r>
      <w:r>
        <w:rPr>
          <w:rFonts w:hint="default" w:ascii="Times New Roman" w:hAnsi="Times New Roman" w:eastAsia="仿宋_GB2312" w:cs="Times New Roman"/>
          <w:color w:val="000000" w:themeColor="text1"/>
          <w:sz w:val="32"/>
          <w:szCs w:val="32"/>
          <w14:textFill>
            <w14:solidFill>
              <w14:schemeClr w14:val="tx1"/>
            </w14:solidFill>
          </w14:textFill>
        </w:rPr>
        <w:t>、财务收支及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经营收益</w:t>
      </w:r>
      <w:r>
        <w:rPr>
          <w:rFonts w:hint="default" w:ascii="Times New Roman" w:hAnsi="Times New Roman" w:eastAsia="仿宋_GB2312" w:cs="Times New Roman"/>
          <w:color w:val="000000" w:themeColor="text1"/>
          <w:sz w:val="32"/>
          <w:szCs w:val="32"/>
          <w14:textFill>
            <w14:solidFill>
              <w14:schemeClr w14:val="tx1"/>
            </w14:solidFill>
          </w14:textFill>
        </w:rPr>
        <w:t>等进行全面审计。</w:t>
      </w:r>
    </w:p>
    <w:p w14:paraId="2BA1119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审计结果应向农村集体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全体成员公开， 并作为村干部考核、奖惩以及任用的重要依据。</w:t>
      </w:r>
    </w:p>
    <w:p w14:paraId="55C8D0F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5F82A1A9">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财务管理主体及职责</w:t>
      </w:r>
    </w:p>
    <w:p w14:paraId="1F7E0F3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县</w:t>
      </w:r>
      <w:r>
        <w:rPr>
          <w:rFonts w:hint="default" w:ascii="Times New Roman" w:hAnsi="Times New Roman" w:eastAsia="仿宋_GB2312" w:cs="Times New Roman"/>
          <w:color w:val="000000" w:themeColor="text1"/>
          <w:sz w:val="32"/>
          <w:szCs w:val="32"/>
          <w14:textFill>
            <w14:solidFill>
              <w14:schemeClr w14:val="tx1"/>
            </w14:solidFill>
          </w14:textFill>
        </w:rPr>
        <w:t>区农业农村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14:textFill>
            <w14:solidFill>
              <w14:schemeClr w14:val="tx1"/>
            </w14:solidFill>
          </w14:textFill>
        </w:rPr>
        <w:t>、财政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14:textFill>
            <w14:solidFill>
              <w14:schemeClr w14:val="tx1"/>
            </w14:solidFill>
          </w14:textFill>
        </w:rPr>
        <w:t>负责</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所辖</w:t>
      </w:r>
      <w:r>
        <w:rPr>
          <w:rFonts w:hint="default" w:ascii="Times New Roman" w:hAnsi="Times New Roman" w:eastAsia="仿宋_GB2312" w:cs="Times New Roman"/>
          <w:color w:val="000000" w:themeColor="text1"/>
          <w:sz w:val="32"/>
          <w:szCs w:val="32"/>
          <w14:textFill>
            <w14:solidFill>
              <w14:schemeClr w14:val="tx1"/>
            </w14:solidFill>
          </w14:textFill>
        </w:rPr>
        <w:t>行政区域内农村集体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财务工作的组织、指导与协调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依照规定对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所</w:t>
      </w:r>
      <w:r>
        <w:rPr>
          <w:rFonts w:hint="default" w:ascii="Times New Roman" w:hAnsi="Times New Roman" w:eastAsia="仿宋_GB2312" w:cs="Times New Roman"/>
          <w:color w:val="000000" w:themeColor="text1"/>
          <w:sz w:val="32"/>
          <w:szCs w:val="32"/>
          <w14:textFill>
            <w14:solidFill>
              <w14:schemeClr w14:val="tx1"/>
            </w14:solidFill>
          </w14:textFill>
        </w:rPr>
        <w:t>辖区农村集体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财务工作进行管理和监督。村集体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应建立健全财务管理制度， 建立以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代理与农村集体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自主记账相结合的财务会计核算模式，集体资产的所有权、经营权、处置权、收益权、分配权和审批权保持不变。</w:t>
      </w:r>
    </w:p>
    <w:p w14:paraId="36052E4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财务管理工作在农村基层党组织领导下开展，农村集体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成员（代表）大会、理事会、监事会和会计人员等按规定履行职责。农村集体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会计核算原则上采用权责发生制，会计记账方法采用借贷记账法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重大财务事项决策严格执行农村基层组织“四议两公开”机制，重大财务事项包括：</w:t>
      </w:r>
    </w:p>
    <w:p w14:paraId="6B0484E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（一）年度财务预算及调整、决算、重大收支、收益分配方案；</w:t>
      </w:r>
    </w:p>
    <w:p w14:paraId="68CD163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（二）大额资产采购与处置、大额服务及工程项目采购建设；</w:t>
      </w:r>
    </w:p>
    <w:p w14:paraId="5696A88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（三）重大集体经济项目立项与承包、公益事业兴办及筹资筹劳方案；</w:t>
      </w:r>
    </w:p>
    <w:p w14:paraId="14C91D8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（四）重大对外投资、集体企业改制；</w:t>
      </w:r>
    </w:p>
    <w:p w14:paraId="0B11454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（五）借贷、债权减免、账务核销及重大债务处理；</w:t>
      </w:r>
    </w:p>
    <w:p w14:paraId="34C5946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（六）集体资源资产承包经营、租赁、流转，宅基地使用，土地征用及补偿费使用分配；</w:t>
      </w:r>
    </w:p>
    <w:p w14:paraId="3E646CB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（七）重大对外合同签订；</w:t>
      </w:r>
    </w:p>
    <w:p w14:paraId="4A1630B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（八）村集体承担的主要管理人员报酬及补助；</w:t>
      </w:r>
    </w:p>
    <w:p w14:paraId="214D3C1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（九）重大救灾、救济、助残款物分配发放；</w:t>
      </w:r>
    </w:p>
    <w:p w14:paraId="23FBE93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（十）其他事关成员切身利益和集体经济稳定的资金资产资源事项。重大财务事项金额标准由各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结合实际确定。</w:t>
      </w:r>
    </w:p>
    <w:p w14:paraId="3E85511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八</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成员（代表）大会财务管理职责：</w:t>
      </w:r>
    </w:p>
    <w:p w14:paraId="13BDCD2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（一）决定内部财务管理制度、年度财务计划、重大收支、收益分配方案等；</w:t>
      </w:r>
    </w:p>
    <w:p w14:paraId="3236D2E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（二）决定资金筹集、资产资源发包租赁、对外投资、资产处置等事项； </w:t>
      </w:r>
    </w:p>
    <w:p w14:paraId="7368EC4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（三）决定主要经营管理人员薪酬， 并实施监督考核；</w:t>
      </w:r>
    </w:p>
    <w:p w14:paraId="183B363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（四）对理事会、监事会年度财务管理与监督工作提出质询和改进意见； </w:t>
      </w:r>
    </w:p>
    <w:p w14:paraId="02C83F0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（五）决定其他重大财务事项。</w:t>
      </w:r>
    </w:p>
    <w:p w14:paraId="42E76F8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九</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理事会财务管理职责：</w:t>
      </w:r>
    </w:p>
    <w:p w14:paraId="3C38D61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（一）商议内部财务管理制度、年度财务预算、收益分配方案等；</w:t>
      </w:r>
    </w:p>
    <w:p w14:paraId="4291961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（二）商议并实施资产运营、对外投资等经营活动，负责日常财务资产管理， 签订并督促履行经济合同；</w:t>
      </w:r>
    </w:p>
    <w:p w14:paraId="7FFAE66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（三）商议工作人员薪酬；</w:t>
      </w:r>
    </w:p>
    <w:p w14:paraId="1329A68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（四）向成员（代表）大会报告年度财务执行情况，答复处理成员或监事会的质询建议； </w:t>
      </w:r>
    </w:p>
    <w:p w14:paraId="02C961D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（五）执行理事会决议的其他财务事项。</w:t>
      </w:r>
    </w:p>
    <w:p w14:paraId="6D7E6B6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监事会财务管理职责：</w:t>
      </w:r>
    </w:p>
    <w:p w14:paraId="389C479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（一）监督资产经营、财务活动及制度执行情况， 组织民主理财；</w:t>
      </w:r>
    </w:p>
    <w:p w14:paraId="71CDF0A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（二）监督理事会及相关人员履职，对损害集体利益的财务行为提出质询和改进建议，对违规人员提出罢免或解聘建议；</w:t>
      </w:r>
    </w:p>
    <w:p w14:paraId="7BD5A5A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（三）监督资产发包、招投标及合同履行， 审核</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监督</w:t>
      </w:r>
      <w:r>
        <w:rPr>
          <w:rFonts w:hint="default" w:ascii="Times New Roman" w:hAnsi="Times New Roman" w:eastAsia="仿宋_GB2312" w:cs="Times New Roman"/>
          <w:color w:val="000000" w:themeColor="text1"/>
          <w:sz w:val="32"/>
          <w:szCs w:val="32"/>
          <w14:textFill>
            <w14:solidFill>
              <w14:schemeClr w14:val="tx1"/>
            </w14:solidFill>
          </w14:textFill>
        </w:rPr>
        <w:t>财务情况；</w:t>
      </w:r>
    </w:p>
    <w:p w14:paraId="07F290A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（四）反映成员意见建议，向理事会提出工作质询和改进建议；</w:t>
      </w:r>
    </w:p>
    <w:p w14:paraId="22851D9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（五）协助街道及有关部门开展财务检查和审计工作；</w:t>
      </w:r>
    </w:p>
    <w:p w14:paraId="290B319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（六）向成员（代表）大会报告年度财务监督情况；</w:t>
      </w:r>
    </w:p>
    <w:p w14:paraId="2EBDB6C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（七）执行章程规定的其他监督事项。</w:t>
      </w:r>
    </w:p>
    <w:p w14:paraId="0F08D35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农村集体经济</w:t>
      </w:r>
      <w:r>
        <w:rPr>
          <w:rFonts w:hint="default" w:ascii="Times New Roman" w:hAnsi="Times New Roman" w:eastAsia="仿宋_GB2312" w:cs="Times New Roman"/>
          <w:color w:val="000000" w:themeColor="text1"/>
          <w:sz w:val="32"/>
          <w:szCs w:val="32"/>
          <w14:textFill>
            <w14:solidFill>
              <w14:schemeClr w14:val="tx1"/>
            </w14:solidFill>
          </w14:textFill>
        </w:rPr>
        <w:t>组织可根据实际情况选择实行会计委托代理记账或自主记账模式。选择委托代理记账的，应由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农村集体财务管理部门统一负责；农村集体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出纳业务亦由该部门集中办理。</w:t>
      </w:r>
    </w:p>
    <w:p w14:paraId="56F6CBC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农村集体财务管理部门须保持会计人员队伍稳定，加强政策与业务培训，提升代理服务质量，并切实履行对会计代理机构的监管责任。</w:t>
      </w:r>
    </w:p>
    <w:p w14:paraId="67D878F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eastAsia"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农村集体财务管理部门财会人员应严格执行国家、省、市相关财会制度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规范会计核算。对违反财经法规和财务制度的收支行为，应拒绝办理并及时向上级报告。其具体职责包括：</w:t>
      </w:r>
    </w:p>
    <w:p w14:paraId="7C8A71F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（一）组织村级组织会计工作，在代理记账中审核并签章确认财务会计报告；</w:t>
      </w:r>
    </w:p>
    <w:p w14:paraId="3C63BC7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（二）承担会计凭证审核与填制、账簿登记与核算、财务报告编制与报送等日常核算工作；参与村级财务预算编制，配合资产清查与审计；</w:t>
      </w:r>
    </w:p>
    <w:p w14:paraId="5852379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（三）办理货币资金收支，监督集体资金筹集、使用与管理，对违反财经纪律的行为予以纠正。</w:t>
      </w:r>
    </w:p>
    <w:p w14:paraId="2CFE6DD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eastAsia"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应根据工作需要设立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村会计</w:t>
      </w:r>
      <w:r>
        <w:rPr>
          <w:rFonts w:hint="default" w:ascii="Times New Roman" w:hAnsi="Times New Roman" w:eastAsia="仿宋_GB2312" w:cs="Times New Roman"/>
          <w:color w:val="000000" w:themeColor="text1"/>
          <w:sz w:val="32"/>
          <w:szCs w:val="32"/>
          <w14:textFill>
            <w14:solidFill>
              <w14:schemeClr w14:val="tx1"/>
            </w14:solidFill>
          </w14:textFill>
        </w:rPr>
        <w:t>岗位。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村会计</w:t>
      </w:r>
      <w:r>
        <w:rPr>
          <w:rFonts w:hint="default" w:ascii="Times New Roman" w:hAnsi="Times New Roman" w:eastAsia="仿宋_GB2312" w:cs="Times New Roman"/>
          <w:color w:val="000000" w:themeColor="text1"/>
          <w:sz w:val="32"/>
          <w:szCs w:val="32"/>
          <w14:textFill>
            <w14:solidFill>
              <w14:schemeClr w14:val="tx1"/>
            </w14:solidFill>
          </w14:textFill>
        </w:rPr>
        <w:t>负责向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农村集体财务管理部门办理报账手续，登记日记账，管理备用金、产品物资、固定资产、往来款项及债权债务等辅助账簿，并承担合同与财务档案管理、财务预决算及财务公开等具体工作。</w:t>
      </w:r>
    </w:p>
    <w:p w14:paraId="0377263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村会计</w:t>
      </w:r>
      <w:r>
        <w:rPr>
          <w:rFonts w:hint="default" w:ascii="Times New Roman" w:hAnsi="Times New Roman" w:eastAsia="仿宋_GB2312" w:cs="Times New Roman"/>
          <w:color w:val="000000" w:themeColor="text1"/>
          <w:sz w:val="32"/>
          <w:szCs w:val="32"/>
          <w14:textFill>
            <w14:solidFill>
              <w14:schemeClr w14:val="tx1"/>
            </w14:solidFill>
          </w14:textFill>
        </w:rPr>
        <w:t>有权拒绝违反财务制度的收支指令， 并向上级或主管部门报告农村集体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财务管理中存在的问题。</w:t>
      </w:r>
    </w:p>
    <w:p w14:paraId="5C99012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444550AB">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预决算管理</w:t>
      </w:r>
    </w:p>
    <w:p w14:paraId="31B2F1E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w:t>
      </w:r>
      <w:r>
        <w:rPr>
          <w:rFonts w:hint="eastAsia"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实行农村集体财务预决算制度，预决算反映年度经费收支计划及实际执行情况，年度自1月1日起至12月31日止，金额以人民币“元”为单位。</w:t>
      </w:r>
    </w:p>
    <w:p w14:paraId="475AC0A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w:t>
      </w:r>
      <w:r>
        <w:rPr>
          <w:rFonts w:hint="eastAsia"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预算收入包括：</w:t>
      </w:r>
    </w:p>
    <w:p w14:paraId="28D15D0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（一）经营收入，即销售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收入</w:t>
      </w:r>
      <w:r>
        <w:rPr>
          <w:rFonts w:hint="default" w:ascii="Times New Roman" w:hAnsi="Times New Roman" w:eastAsia="仿宋_GB2312" w:cs="Times New Roman"/>
          <w:color w:val="000000" w:themeColor="text1"/>
          <w:sz w:val="32"/>
          <w:szCs w:val="32"/>
          <w14:textFill>
            <w14:solidFill>
              <w14:schemeClr w14:val="tx1"/>
            </w14:solidFill>
          </w14:textFill>
        </w:rPr>
        <w:t>、劳务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收入</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出租收入、发包收入等</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7CB0518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（二）投资收益，即对外投资收益扣除损失后的净额；</w:t>
      </w:r>
    </w:p>
    <w:p w14:paraId="42ECC6C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（三）补助收入，即政府给予的村级运转保障、贷款贴息等补助资金（不含直接发放给农户的补贴）；</w:t>
      </w:r>
    </w:p>
    <w:p w14:paraId="3B1CAC8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（四）其他收入，即盘盈收益、无法支付的应付款项、存款利息等收入。</w:t>
      </w:r>
    </w:p>
    <w:p w14:paraId="1AB32F7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预算支出包括：</w:t>
      </w:r>
    </w:p>
    <w:p w14:paraId="5B62314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（一）经营支出，即经营活动发生的成本、费用及资产摊销等；</w:t>
      </w:r>
    </w:p>
    <w:p w14:paraId="26E3A4F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（二）税金及附加，即生产经营应负担的相关税费及附加；</w:t>
      </w:r>
    </w:p>
    <w:p w14:paraId="6FCFBE6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（三）管理费用，即管理活动发生的工资、办公费、资产折旧等支出；</w:t>
      </w:r>
    </w:p>
    <w:p w14:paraId="02FC151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（四）公益支出，即用于公益事业、集体及成员福利的支出及相关资产折旧修理费；</w:t>
      </w:r>
    </w:p>
    <w:p w14:paraId="4DCD02D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（五）其他支出，即除上述支出外的损失、罚款、捐赠、借款利息等支出。</w:t>
      </w:r>
    </w:p>
    <w:p w14:paraId="73E955D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w:t>
      </w:r>
      <w:r>
        <w:rPr>
          <w:rFonts w:hint="eastAsia"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预算草案编制坚持“量入为出、统筹兼顾、突出重点、持续发展”原则，可使用公积公益金弥补当年亏损，严禁编制超支预算。年度新建、维修、改扩建工程项目须有经费保障，自筹资金建设工程总投资不得超过上年度总收入的50%（上级专项项目除外）。</w:t>
      </w:r>
    </w:p>
    <w:p w14:paraId="13463E8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八</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负责本辖区村集体预算编制的指导工作。村集体应于每年12月31日前，结合上年收支情况及下年增减变动因素，编制下一年度预算草案，详细说明资金来源、支出项目及金额、编制依据、实现措施及潜在问题。</w:t>
      </w:r>
    </w:p>
    <w:p w14:paraId="1DDB3B7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十九</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预算草案经理事会研究提出、监事会讨论完善后，由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农村集体财务管理部门审核其合理性与科学性，提出修改建议，经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委研究同意后，提交成员（代表）大会决议通过。</w:t>
      </w:r>
    </w:p>
    <w:p w14:paraId="1697C60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预算方案经成员（代表）大会决议通过后公示7日，公示期满报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备案，村集体须严格执行。</w:t>
      </w:r>
    </w:p>
    <w:p w14:paraId="4F8EE8C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确需调整预算的，原则上应在每年10月前按程序办理。调整方案由理事会提出，监事会审议，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相关部门审核可行性与合理性，经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委研究同意后提交成员（代表）大会决议，决议通过后公示7日，再报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备案。</w:t>
      </w:r>
    </w:p>
    <w:p w14:paraId="496A482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经成员（代表）大会批准的预算调整方案，农村集体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须严格执行。农村集体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理事长为财务收支计划执行第一责任人，对任职期内集体资金管理真实性负总责。</w:t>
      </w:r>
    </w:p>
    <w:p w14:paraId="31027AB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经成员（代表）大会批准的预算、调整方案及执行情况报告，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应当</w:t>
      </w:r>
      <w:r>
        <w:rPr>
          <w:rFonts w:hint="default" w:ascii="Times New Roman" w:hAnsi="Times New Roman" w:eastAsia="仿宋_GB2312" w:cs="Times New Roman"/>
          <w:color w:val="000000" w:themeColor="text1"/>
          <w:sz w:val="32"/>
          <w:szCs w:val="32"/>
          <w14:textFill>
            <w14:solidFill>
              <w14:schemeClr w14:val="tx1"/>
            </w14:solidFill>
          </w14:textFill>
        </w:rPr>
        <w:t>在批准后20日内向全体成员公开并作出说明。村集体须于每月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前公布上月财务收支情况</w:t>
      </w:r>
      <w:r>
        <w:rPr>
          <w:rFonts w:hint="default" w:ascii="Times New Roman" w:hAnsi="Times New Roman" w:eastAsia="仿宋_GB2312" w:cs="Times New Roman"/>
          <w:color w:val="000000" w:themeColor="text1"/>
          <w:sz w:val="32"/>
          <w:szCs w:val="32"/>
          <w14:textFill>
            <w14:solidFill>
              <w14:schemeClr w14:val="tx1"/>
            </w14:solidFill>
          </w14:textFill>
        </w:rPr>
        <w:t>，公开内容须及时、真实、完整，每期公开内容在公开栏保留7天以上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同步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在“我的连云港”、连云港农业信息公众号等网络媒体上进行线上公开。</w:t>
      </w:r>
    </w:p>
    <w:p w14:paraId="379C677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农村集体财务管理部门发现预算支出接近限额时，应及时书面提示农村集体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须全面分析并及时研究应对。监事会每季度监督检查预算执行情况，对问题提出意见建议并监督整改，重大问题可向上级主管部门反映。</w:t>
      </w:r>
    </w:p>
    <w:p w14:paraId="3856670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每年7月底前，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“三资”管理等主管部门应对农村集体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预算执行情况开展监督检查，对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发现的</w:t>
      </w:r>
      <w:r>
        <w:rPr>
          <w:rFonts w:hint="default" w:ascii="Times New Roman" w:hAnsi="Times New Roman" w:eastAsia="仿宋_GB2312" w:cs="Times New Roman"/>
          <w:color w:val="000000" w:themeColor="text1"/>
          <w:sz w:val="32"/>
          <w:szCs w:val="32"/>
          <w14:textFill>
            <w14:solidFill>
              <w14:schemeClr w14:val="tx1"/>
            </w14:solidFill>
          </w14:textFill>
        </w:rPr>
        <w:t>问题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责令</w:t>
      </w:r>
      <w:r>
        <w:rPr>
          <w:rFonts w:hint="default" w:ascii="Times New Roman" w:hAnsi="Times New Roman" w:eastAsia="仿宋_GB2312" w:cs="Times New Roman"/>
          <w:color w:val="000000" w:themeColor="text1"/>
          <w:sz w:val="32"/>
          <w:szCs w:val="32"/>
          <w14:textFill>
            <w14:solidFill>
              <w14:schemeClr w14:val="tx1"/>
            </w14:solidFill>
          </w14:textFill>
        </w:rPr>
        <w:t>限期整改，必要时开展专项审计。对拒不整改或存在违纪违法行为的，依法追究相关人员责任。</w:t>
      </w:r>
    </w:p>
    <w:p w14:paraId="6DEBE3F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应于每年1月编制上年度财务收支决算，经成员（代表）大会讨论通过后及时公开，接受群众监督。成员有权对预算执行情况提出质疑，委托监事会查阅审核账目，要求相关当事人解释财务问题。</w:t>
      </w:r>
    </w:p>
    <w:p w14:paraId="720754EA">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 资金筹集与管理</w:t>
      </w:r>
    </w:p>
    <w:p w14:paraId="594C6D3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lang w:eastAsia="zh-CN"/>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经济组织可依法依规采取向</w:t>
      </w:r>
      <w:r>
        <w:rPr>
          <w:rFonts w:ascii="Times New Roman" w:hAnsi="Times New Roman" w:eastAsia="仿宋_GB2312" w:cs="Times New Roman"/>
          <w:color w:val="000000" w:themeColor="text1"/>
          <w:sz w:val="32"/>
          <w:szCs w:val="32"/>
          <w:lang w:eastAsia="zh-CN"/>
          <w14:textFill>
            <w14:solidFill>
              <w14:schemeClr w14:val="tx1"/>
            </w14:solidFill>
          </w14:textFill>
        </w:rPr>
        <w:t>金融机构贷款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等多种形式筹集资金</w:t>
      </w:r>
      <w:r>
        <w:rPr>
          <w:rFonts w:hint="default" w:ascii="Times New Roman" w:hAnsi="Times New Roman" w:eastAsia="仿宋_GB2312" w:cs="Times New Roman"/>
          <w:color w:val="000000" w:themeColor="text1"/>
          <w:sz w:val="32"/>
          <w:szCs w:val="32"/>
          <w14:textFill>
            <w14:solidFill>
              <w14:schemeClr w14:val="tx1"/>
            </w14:solidFill>
          </w14:textFill>
        </w:rPr>
        <w:t>。采用“一事一议”筹资的，须遵循科学论证、民主决策、量力而行、上限控制、成员受益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的原则</w:t>
      </w:r>
      <w:r>
        <w:rPr>
          <w:rFonts w:hint="default" w:ascii="Times New Roman" w:hAnsi="Times New Roman" w:eastAsia="仿宋_GB2312" w:cs="Times New Roman"/>
          <w:color w:val="000000" w:themeColor="text1"/>
          <w:sz w:val="32"/>
          <w:szCs w:val="32"/>
          <w14:textFill>
            <w14:solidFill>
              <w14:schemeClr w14:val="tx1"/>
            </w14:solidFill>
          </w14:textFill>
        </w:rPr>
        <w:t>，确保资金专款专用，严禁浪费挪用，并按项目明细核算，在资产负债表单独列示。</w:t>
      </w:r>
    </w:p>
    <w:p w14:paraId="117022E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第二十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八</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应严格控制债务规模与风险，资产负债率原则上保持在2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%以下。确需举债从事经营性活动的，须纳入重大财务事项管理，执行“四议两公开”机制，经市场调研和可行性研究、征求成员意见后，将筹资预算方案提交成员（代表）大会审议，贷款方案及审议情况报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审核。未按规定履行民主决策程序产生的债务，由擅自决策人员承担相应责任。</w:t>
      </w:r>
    </w:p>
    <w:p w14:paraId="16B213A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二十九</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有下列情形之一的，农村集体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不得举债：</w:t>
      </w:r>
    </w:p>
    <w:p w14:paraId="1EF75B3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（一）未经充分调研和可行性研究的盲目项目；</w:t>
      </w:r>
    </w:p>
    <w:p w14:paraId="64BEFB8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（二）未履行“ 一事一议” 等民主决策程序的项目；</w:t>
      </w:r>
    </w:p>
    <w:p w14:paraId="644D7E5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（三）未履行审批、公示等规定程序的项目；</w:t>
      </w:r>
    </w:p>
    <w:p w14:paraId="28B3F9E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（四）举债用于发放工资福利、日常办公等非生产性开支或非生产性建设；</w:t>
      </w:r>
    </w:p>
    <w:p w14:paraId="3ABCB9C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（五）资产负债率在2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%以上；</w:t>
      </w:r>
    </w:p>
    <w:p w14:paraId="185D414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（六）法律法规禁止的其他情形。严禁以村集体名义为其他单位、组织或个人提供担保。</w:t>
      </w:r>
    </w:p>
    <w:p w14:paraId="42CC5EC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经济组织应当</w:t>
      </w:r>
      <w:r>
        <w:rPr>
          <w:rFonts w:hint="default" w:ascii="Times New Roman" w:hAnsi="Times New Roman" w:eastAsia="仿宋_GB2312" w:cs="Times New Roman"/>
          <w:color w:val="000000" w:themeColor="text1"/>
          <w:sz w:val="32"/>
          <w:szCs w:val="32"/>
          <w14:textFill>
            <w14:solidFill>
              <w14:schemeClr w14:val="tx1"/>
            </w14:solidFill>
          </w14:textFill>
        </w:rPr>
        <w:t>制定还贷计划及债权清收、债务化解方案，积极偿还债务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不得向成员转嫁摊派债务或转嫁给</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。对不良债务，应在清查基础上，通过壮大集体经济、严控开支等方式提升还债能力，稳妥处理。</w:t>
      </w:r>
    </w:p>
    <w:p w14:paraId="39CFDDD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获得的财政资金或资产，须纳入集体资产管理，按规定入账使用并接受监督审计；指定用途的专项资金不得挤占挪用。接受社会或个人捐赠的资金资产，应确认捐赠收入，按捐赠用途明细核算，严格按捐赠协议使用。</w:t>
      </w:r>
    </w:p>
    <w:p w14:paraId="7592A7B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可在政策鼓励的重点产业领域，通过独资、合资等方式与社会资本合作，引导社会资本注入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相应的经营主体</w:t>
      </w:r>
      <w:r>
        <w:rPr>
          <w:rFonts w:hint="default" w:ascii="Times New Roman" w:hAnsi="Times New Roman" w:eastAsia="仿宋_GB2312" w:cs="Times New Roman"/>
          <w:color w:val="000000" w:themeColor="text1"/>
          <w:sz w:val="32"/>
          <w:szCs w:val="32"/>
          <w14:textFill>
            <w14:solidFill>
              <w14:schemeClr w14:val="tx1"/>
            </w14:solidFill>
          </w14:textFill>
        </w:rPr>
        <w:t>。合作事项须充分论证评估，在合同中明确合作领域、方式、权责及收益分配。</w:t>
      </w:r>
    </w:p>
    <w:p w14:paraId="78AEDD2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货币资金管理规范：</w:t>
      </w:r>
    </w:p>
    <w:p w14:paraId="3181D41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原则上，使用银行转账、收付款码（微信、支付宝等）等方式落实非现金结算制度</w:t>
      </w:r>
      <w:r>
        <w:rPr>
          <w:rFonts w:hint="default" w:ascii="Times New Roman" w:hAnsi="Times New Roman" w:eastAsia="仿宋_GB2312" w:cs="Times New Roman"/>
          <w:color w:val="000000" w:themeColor="text1"/>
          <w:sz w:val="32"/>
          <w:szCs w:val="32"/>
          <w14:textFill>
            <w14:solidFill>
              <w14:schemeClr w14:val="tx1"/>
            </w14:solidFill>
          </w14:textFill>
        </w:rPr>
        <w:t>，工程支出一律转账；</w:t>
      </w:r>
    </w:p>
    <w:p w14:paraId="296A6EA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（二）“村务卡”用于不便转账的日常公务支出，持卡人应在消费后20日内办理报销还款，逾期产生的费用由个人承担；</w:t>
      </w:r>
    </w:p>
    <w:p w14:paraId="1EE5E3A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（三）实行定额备用金制度，现金库存限额由各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设定，仅特殊情况可使用现金结算；</w:t>
      </w:r>
    </w:p>
    <w:p w14:paraId="0CF0CF2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w:t>
      </w:r>
      <w:bookmarkStart w:id="1" w:name="bookmark249"/>
      <w:bookmarkEnd w:id="1"/>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实行基本存款账户统一招标制度，仅可开设一个基本账户，所有资金通过该账户进出，实行村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镇</w:t>
      </w:r>
      <w:r>
        <w:rPr>
          <w:rFonts w:hint="default" w:ascii="Times New Roman" w:hAnsi="Times New Roman" w:eastAsia="仿宋_GB2312" w:cs="Times New Roman"/>
          <w:color w:val="000000" w:themeColor="text1"/>
          <w:sz w:val="32"/>
          <w:szCs w:val="32"/>
          <w14:textFill>
            <w14:solidFill>
              <w14:schemeClr w14:val="tx1"/>
            </w14:solidFill>
          </w14:textFill>
        </w:rPr>
        <w:t>双岗核对，严禁出租出借账户、公款私存、私设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“小金库”</w:t>
      </w:r>
      <w:r>
        <w:rPr>
          <w:rFonts w:hint="default" w:ascii="Times New Roman" w:hAnsi="Times New Roman" w:eastAsia="仿宋_GB2312" w:cs="Times New Roman"/>
          <w:color w:val="000000" w:themeColor="text1"/>
          <w:sz w:val="32"/>
          <w:szCs w:val="32"/>
          <w14:textFill>
            <w14:solidFill>
              <w14:schemeClr w14:val="tx1"/>
            </w14:solidFill>
          </w14:textFill>
        </w:rPr>
        <w:t>、多头开户、白条抵库、坐支现金等行为。设置货币资金日记账，定期核对账目、盘点现金，确保账实、账账、账证、账据、账表相符。</w:t>
      </w:r>
    </w:p>
    <w:p w14:paraId="1F328EF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应落实资金管理岗位内部控制制度，明确岗位职责权限，</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财务岗位权责与不</w:t>
      </w:r>
      <w:r>
        <w:rPr>
          <w:rFonts w:hint="default" w:ascii="Times New Roman" w:hAnsi="Times New Roman" w:eastAsia="仿宋_GB2312" w:cs="Times New Roman"/>
          <w:color w:val="000000" w:themeColor="text1"/>
          <w:sz w:val="32"/>
          <w:szCs w:val="32"/>
          <w14:textFill>
            <w14:solidFill>
              <w14:schemeClr w14:val="tx1"/>
            </w14:solidFill>
          </w14:textFill>
        </w:rPr>
        <w:t>相容岗位分离，会计出纳分设，印鉴分开存放。</w:t>
      </w:r>
    </w:p>
    <w:p w14:paraId="1E46AD3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应收款项管理：加强逾期应收款项催收，按合同收取违约金；严格控制债权发生，不得随意外借公款，确需借款的应实行担保制度，借款事项按“四议两公开”程序审批。对确实无法收回的款项，经成员（代表）大会讨论通过后核销，核销后实行账销案存，相关决议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备案；因个人因素造成呆坏账损失的，追究其赔偿责任。</w:t>
      </w:r>
    </w:p>
    <w:p w14:paraId="1DA6249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对外投资管理：农村集体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对外投资包括购买有价证券、设立企业、参股及合作项目等，原则上不得进行股票、期货等高风险投资，投资总额不得超过净资产的50%。对外投资须符合发展规划，制定投资方案，经成员（代表）大会通过，大额投资项目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审核。投资数额较大的，应开展可行性研究，与合作方签订书面协议，明确投资期限、额度、收益结算及退出机制等。农村集体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应参与被投资项目管理，做好投资收回和转让中的资产评估，确保资产安全。对未按规定决策擅自投资造成损失的，追究相关人员责任。</w:t>
      </w:r>
    </w:p>
    <w:p w14:paraId="532C64B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3A2F5EC0">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 收支管理及收益分配</w:t>
      </w:r>
    </w:p>
    <w:p w14:paraId="3A427BD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收入管理：农村集体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销售</w:t>
      </w:r>
      <w:r>
        <w:rPr>
          <w:rFonts w:hint="default" w:ascii="Times New Roman" w:hAnsi="Times New Roman" w:eastAsia="仿宋_GB2312" w:cs="Times New Roman"/>
          <w:color w:val="000000" w:themeColor="text1"/>
          <w:sz w:val="32"/>
          <w:szCs w:val="32"/>
          <w14:textFill>
            <w14:solidFill>
              <w14:schemeClr w14:val="tx1"/>
            </w14:solidFill>
          </w14:textFill>
        </w:rPr>
        <w:t>、发包、租赁、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劳务、</w:t>
      </w:r>
      <w:r>
        <w:rPr>
          <w:rFonts w:hint="default" w:ascii="Times New Roman" w:hAnsi="Times New Roman" w:eastAsia="仿宋_GB2312" w:cs="Times New Roman"/>
          <w:color w:val="000000" w:themeColor="text1"/>
          <w:sz w:val="32"/>
          <w:szCs w:val="32"/>
          <w14:textFill>
            <w14:solidFill>
              <w14:schemeClr w14:val="tx1"/>
            </w14:solidFill>
          </w14:textFill>
        </w:rPr>
        <w:t>投资、资产处置等收入，上级转移支付及补助补偿资金，社会捐赠资金，“一事一议”财政奖补资金，集体建设用地收益等，须及时入账核算，应收尽收。财政拨款按用途分别</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计入</w:t>
      </w:r>
      <w:r>
        <w:rPr>
          <w:rFonts w:hint="default" w:ascii="Times New Roman" w:hAnsi="Times New Roman" w:eastAsia="仿宋_GB2312" w:cs="Times New Roman"/>
          <w:color w:val="000000" w:themeColor="text1"/>
          <w:sz w:val="32"/>
          <w:szCs w:val="32"/>
          <w14:textFill>
            <w14:solidFill>
              <w14:schemeClr w14:val="tx1"/>
            </w14:solidFill>
          </w14:textFill>
        </w:rPr>
        <w:t>补助收入或专项应付款科目；征地补偿、固定资产处置等对当年经营性收入影响重大的收入列入公积公益金核算。严禁调整账目、虚列收入。</w:t>
      </w:r>
    </w:p>
    <w:p w14:paraId="2C34E78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第三十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八</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支出管理：农村集体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须严格执行相关财务支出管理规定，支出流程完成后按程序公开。严禁用集体资金投资修建宗教场所，严禁以租金冲抵工程款，严控非生产性支出。所有收支活动纳入财务统一管理核算及农村财务监管平台，严禁个人自收自支，非财务人员不得经办收支事项。</w:t>
      </w:r>
    </w:p>
    <w:p w14:paraId="6E0A00A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三十九</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财务支出遵循“定性、限额、分类”原则， 重点保障经济发展、公益事业和民生保障支出，压减公务性和消费性支出。村集体收款时须出具江苏省农村集体经济组织内部结算凭证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电子票据）</w:t>
      </w:r>
      <w:r>
        <w:rPr>
          <w:rFonts w:hint="default" w:ascii="Times New Roman" w:hAnsi="Times New Roman" w:eastAsia="仿宋_GB2312" w:cs="Times New Roman"/>
          <w:color w:val="000000" w:themeColor="text1"/>
          <w:sz w:val="32"/>
          <w:szCs w:val="32"/>
          <w14:textFill>
            <w14:solidFill>
              <w14:schemeClr w14:val="tx1"/>
            </w14:solidFill>
          </w14:textFill>
        </w:rPr>
        <w:t>或税务票据，及时登记入账，杜绝无票收款。</w:t>
      </w:r>
    </w:p>
    <w:p w14:paraId="6E7FA9E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第四十条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财务支出按月报销，须程序合规、内容真实、凭证合法、审批完备，对未按规定审批的开支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，有权</w:t>
      </w:r>
      <w:r>
        <w:rPr>
          <w:rFonts w:hint="default" w:ascii="Times New Roman" w:hAnsi="Times New Roman" w:eastAsia="仿宋_GB2312" w:cs="Times New Roman"/>
          <w:color w:val="000000" w:themeColor="text1"/>
          <w:sz w:val="32"/>
          <w:szCs w:val="32"/>
          <w14:textFill>
            <w14:solidFill>
              <w14:schemeClr w14:val="tx1"/>
            </w14:solidFill>
          </w14:textFill>
        </w:rPr>
        <w:t>拒绝支付。支出审批流程：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村会计</w:t>
      </w:r>
      <w:r>
        <w:rPr>
          <w:rFonts w:hint="default" w:ascii="Times New Roman" w:hAnsi="Times New Roman" w:eastAsia="仿宋_GB2312" w:cs="Times New Roman"/>
          <w:color w:val="000000" w:themeColor="text1"/>
          <w:sz w:val="32"/>
          <w:szCs w:val="32"/>
          <w14:textFill>
            <w14:solidFill>
              <w14:schemeClr w14:val="tx1"/>
            </w14:solidFill>
          </w14:textFill>
        </w:rPr>
        <w:t>审核单据后，由经办人说明事由并签字，证明人签字，监事会审核，村级组织负责人签字（农村集体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负责人与党组织负责人是同一人的，必须由一名理事会成员联审联签），再由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村会计</w:t>
      </w:r>
      <w:r>
        <w:rPr>
          <w:rFonts w:hint="default" w:ascii="Times New Roman" w:hAnsi="Times New Roman" w:eastAsia="仿宋_GB2312" w:cs="Times New Roman"/>
          <w:color w:val="000000" w:themeColor="text1"/>
          <w:sz w:val="32"/>
          <w:szCs w:val="32"/>
          <w14:textFill>
            <w14:solidFill>
              <w14:schemeClr w14:val="tx1"/>
            </w14:solidFill>
          </w14:textFill>
        </w:rPr>
        <w:t>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农村集体财务管理部门审核入账。大额资金支出应当履行“三重一大”程序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并</w:t>
      </w:r>
      <w:r>
        <w:rPr>
          <w:rFonts w:hint="default" w:ascii="Times New Roman" w:hAnsi="Times New Roman" w:eastAsia="仿宋_GB2312" w:cs="Times New Roman"/>
          <w:color w:val="000000" w:themeColor="text1"/>
          <w:sz w:val="32"/>
          <w:szCs w:val="32"/>
          <w14:textFill>
            <w14:solidFill>
              <w14:schemeClr w14:val="tx1"/>
            </w14:solidFill>
          </w14:textFill>
        </w:rPr>
        <w:t>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鼓励</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使用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农村财务监管平台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“银社通”线上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审批流程。</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非生产性支出严禁超额、跨年度、合并结算，严禁在工程项目中变相列支或分割报支。财务开支审批程序：</w:t>
      </w:r>
    </w:p>
    <w:p w14:paraId="0F6F0F5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（一）经办人执行并取得有效原始票据。经办人负责取得真实、合法、完整的原始凭证。</w:t>
      </w:r>
    </w:p>
    <w:p w14:paraId="7B97387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（二）经办人、证明人在原始票据上注明用途并签字。</w:t>
      </w:r>
    </w:p>
    <w:p w14:paraId="4D3C29F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村会计</w:t>
      </w:r>
      <w:r>
        <w:rPr>
          <w:rFonts w:hint="default" w:ascii="Times New Roman" w:hAnsi="Times New Roman" w:eastAsia="仿宋_GB2312" w:cs="Times New Roman"/>
          <w:color w:val="000000" w:themeColor="text1"/>
          <w:sz w:val="32"/>
          <w:szCs w:val="32"/>
          <w14:textFill>
            <w14:solidFill>
              <w14:schemeClr w14:val="tx1"/>
            </w14:solidFill>
          </w14:textFill>
        </w:rPr>
        <w:t>收集、审核、整理。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村会计</w:t>
      </w:r>
      <w:r>
        <w:rPr>
          <w:rFonts w:hint="default" w:ascii="Times New Roman" w:hAnsi="Times New Roman" w:eastAsia="仿宋_GB2312" w:cs="Times New Roman"/>
          <w:color w:val="000000" w:themeColor="text1"/>
          <w:sz w:val="32"/>
          <w:szCs w:val="32"/>
          <w14:textFill>
            <w14:solidFill>
              <w14:schemeClr w14:val="tx1"/>
            </w14:solidFill>
          </w14:textFill>
        </w:rPr>
        <w:t>对原始凭证进行初步审核。</w:t>
      </w:r>
    </w:p>
    <w:p w14:paraId="34B537E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（四）监事会（民主理财小组）审查签字。监事会（或民主理财小组）对票据的真实性、合法性、合理性进行集体审核，审核同意后由负责人签字。</w:t>
      </w:r>
    </w:p>
    <w:p w14:paraId="7EBF926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（五）负责人审批签字。理事长（或财务负责人）按照审批权限审批签字。</w:t>
      </w:r>
    </w:p>
    <w:p w14:paraId="718F380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（六）乡镇审核。乡镇包村干部、挂村领导审核签字，乡镇（街道）农村集体财务管理部门对审批手续完备的凭证进行审核，确认无误后登记入账。</w:t>
      </w:r>
    </w:p>
    <w:p w14:paraId="51BF876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第四十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上级财政拨付的专项资金须专款专用，按规定审批支出，报销时除附原始凭证外，还应注明专项资金名称及相关文件。</w:t>
      </w:r>
    </w:p>
    <w:p w14:paraId="6A1401F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第四十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收益分配以效益为基础，民主决策、科学分配。年终分配前须做好资产清查、债权债务清理、合同兑现结算等工作，准确核算年度收入、支出及可分配收益。可分配收益为当年各项合规收入扣除支出后的余额， 加上年初未分配收益。</w:t>
      </w:r>
    </w:p>
    <w:p w14:paraId="63E653B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第四十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收益分配方案由成员（代表）会议审议通过，报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备案，方案及执行情况向全体成员公开。收益较多年份应合理控制分配额度，实行“以丰补歉”；一次性或集中收取的资产承包、租赁收入应分摊至受益年度，不宜一次性分配。征地补偿费等收入按规定分配使用。无可用分配收益时，严禁分配股红、举债分红，严禁因区划调整、班子换届等搞突击分红。</w:t>
      </w:r>
    </w:p>
    <w:p w14:paraId="2144F1E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第四十</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可分配收益按以下顺序分配：</w:t>
      </w:r>
    </w:p>
    <w:p w14:paraId="6D698EF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（一）弥补以前年度亏损；</w:t>
      </w:r>
    </w:p>
    <w:p w14:paraId="7198AC3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（二）提取公积公益金（计提比例按组织章程确定）； </w:t>
      </w:r>
    </w:p>
    <w:p w14:paraId="5ABBC85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（三）向成员分配收益；</w:t>
      </w:r>
    </w:p>
    <w:p w14:paraId="6B53753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（四）其他用途。公积公益金经批准后，可用于转增资本、弥补亏损、公益设施建设等。</w:t>
      </w:r>
    </w:p>
    <w:p w14:paraId="11D2CAD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10513C90">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lang w:val="en-US" w:eastAsia="zh-CN"/>
          <w14:textFill>
            <w14:solidFill>
              <w14:schemeClr w14:val="tx1"/>
            </w14:solidFill>
          </w14:textFill>
        </w:rPr>
        <w:t>六</w:t>
      </w:r>
      <w:r>
        <w:rPr>
          <w:rFonts w:hint="eastAsia" w:ascii="黑体" w:hAnsi="黑体" w:eastAsia="黑体" w:cs="黑体"/>
          <w:color w:val="000000" w:themeColor="text1"/>
          <w:sz w:val="32"/>
          <w:szCs w:val="32"/>
          <w14:textFill>
            <w14:solidFill>
              <w14:schemeClr w14:val="tx1"/>
            </w14:solidFill>
          </w14:textFill>
        </w:rPr>
        <w:t>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票据</w:t>
      </w:r>
      <w:r>
        <w:rPr>
          <w:rFonts w:hint="eastAsia" w:ascii="黑体" w:hAnsi="黑体" w:eastAsia="黑体" w:cs="黑体"/>
          <w:color w:val="000000" w:themeColor="text1"/>
          <w:sz w:val="32"/>
          <w:szCs w:val="32"/>
          <w14:textFill>
            <w14:solidFill>
              <w14:schemeClr w14:val="tx1"/>
            </w14:solidFill>
          </w14:textFill>
        </w:rPr>
        <w:t>管理</w:t>
      </w:r>
    </w:p>
    <w:p w14:paraId="448714C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四十五</w:t>
      </w:r>
      <w:r>
        <w:rPr>
          <w:rFonts w:hint="eastAsia"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农村集体经济组织财务票据是财务收支和会计核算的原始凭证，必须严格管理。</w:t>
      </w:r>
    </w:p>
    <w:p w14:paraId="52118C5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四十六</w:t>
      </w:r>
      <w:r>
        <w:rPr>
          <w:rFonts w:hint="eastAsia" w:ascii="楷体_GB2312" w:hAnsi="楷体_GB2312" w:eastAsia="楷体_GB2312" w:cs="楷体_GB2312"/>
          <w:color w:val="000000" w:themeColor="text1"/>
          <w:sz w:val="32"/>
          <w:szCs w:val="32"/>
          <w14:textFill>
            <w14:solidFill>
              <w14:schemeClr w14:val="tx1"/>
            </w14:solidFill>
          </w14:textFill>
        </w:rPr>
        <w:t xml:space="preserve">条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收入凭证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0E9F607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农村集体经济组织向单位和个人收取款项时，必须使用省级农业农村部门或财政部门统一印制（监制）的专用收款票据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55E1829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应税收入应当开具税务部门监制的发票。收取“一事一议”筹资筹劳资金，应当使用农民负担专用票据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1489576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严禁无据收款或白条收款。严禁使用自制票据或其他非法票据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20B4762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四十七</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支出凭证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32A6C8C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农村集体经济组织因与其他单位或个人的经济业务取得的原始凭证，应当是财政、税务部门监制的发票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495C20D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涉及与本集体经济组织成员之间发生的内部往来经济业务开支（如支付理事会和监事会人员报酬、成员误工费、优抚对象补助资金、土地征用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补偿费</w:t>
      </w:r>
      <w:r>
        <w:rPr>
          <w:rFonts w:hint="default" w:ascii="Times New Roman" w:hAnsi="Times New Roman" w:eastAsia="仿宋_GB2312" w:cs="Times New Roman"/>
          <w:color w:val="000000" w:themeColor="text1"/>
          <w:sz w:val="32"/>
          <w:szCs w:val="32"/>
          <w14:textFill>
            <w14:solidFill>
              <w14:schemeClr w14:val="tx1"/>
            </w14:solidFill>
          </w14:textFill>
        </w:rPr>
        <w:t>等内部往来事项），可使用符合规定的自制凭证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35338F1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严禁白条入账。</w:t>
      </w:r>
    </w:p>
    <w:p w14:paraId="3CD8C68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四十八</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票据规范填制要求：</w:t>
      </w:r>
    </w:p>
    <w:p w14:paraId="5ABB1BC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（一）记录真实。票据的填制日期、业务内容、数量、金额等必须与实际情况相符，保证原始票据内容真实可靠</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5266336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（二）内容完整。票据必须按规定的格式和内容逐项填写清楚，不得遗漏。发票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必须</w:t>
      </w:r>
      <w:r>
        <w:rPr>
          <w:rFonts w:hint="default" w:ascii="Times New Roman" w:hAnsi="Times New Roman" w:eastAsia="仿宋_GB2312" w:cs="Times New Roman"/>
          <w:color w:val="000000" w:themeColor="text1"/>
          <w:sz w:val="32"/>
          <w:szCs w:val="32"/>
          <w14:textFill>
            <w14:solidFill>
              <w14:schemeClr w14:val="tx1"/>
            </w14:solidFill>
          </w14:textFill>
        </w:rPr>
        <w:t>有填制单位的公章或专用章；自制凭证要有经办单位负责人或其指定人员及经办人员的签字或盖章。</w:t>
      </w:r>
    </w:p>
    <w:p w14:paraId="3DBBD39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（三）填写规范。专用收款票据要规范填写，做到按号码顺序填写、字迹清楚、内容完整真实、各联次内容和金额一致、印章齐全。</w:t>
      </w:r>
    </w:p>
    <w:p w14:paraId="202AEF1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（四）票据上的文字和数字要求字迹清楚，易于辨认，不得任意涂改、刮擦、挖补，不得单联次填写。填写错误的，应当重新填写。因填写错误等原因作废的，应当加盖作废戳记，并完整保存各联次。</w:t>
      </w:r>
    </w:p>
    <w:p w14:paraId="32EE662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四十九</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票据领用与保管：</w:t>
      </w:r>
    </w:p>
    <w:p w14:paraId="4E02D1A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（一）专用收款票据统一由代理会计或指定专人负责申领、保管、发放及核销，实行按次限量领用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1934A31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（二）建立票据领用登记制度，设立票据领用登记簿，如实记载领入、发出、使用、核销、结存等情况</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7074AAE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（三）票据实行专人、专责、专账管理，按照岗位不相容原则，建立领用、保管、核销管理制度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003DE85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（四）坚持核旧购新（或以旧换新）原则，未通过审核的不得换购新票据。</w:t>
      </w:r>
    </w:p>
    <w:p w14:paraId="40EE8D1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票据使用禁止事项：</w:t>
      </w:r>
    </w:p>
    <w:p w14:paraId="166D366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（一）严禁买卖、转借、伪造、代开票据；</w:t>
      </w:r>
    </w:p>
    <w:p w14:paraId="2F64750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（二）严禁擅自销毁票据；</w:t>
      </w:r>
    </w:p>
    <w:p w14:paraId="4B9DEDA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（三）票据仅限于本集体经济组织范围内使用。</w:t>
      </w:r>
    </w:p>
    <w:p w14:paraId="065A8CC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五十一</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原始凭证的附件是指对原始凭证作进一步佐证、说明、细化的证明文件。农村集体经济组织各项财务收支入账时，除取得合法有效的原始凭证外，还应当根据经济业务的性质和内容，提供相应的附件材料。附件材料应当真实、完整、有效，与原始凭证记载的经济业务一致。</w:t>
      </w:r>
    </w:p>
    <w:p w14:paraId="2CF2887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五十二</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各类收入入账的附件要求：</w:t>
      </w:r>
    </w:p>
    <w:p w14:paraId="727D04A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（一）经营收入（含生产经营、服务、租赁等经营活动收入）。报账依据材料包括：银行收款回单或现金收款收据、税务发票、业务合同或农村产权流转交易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合同</w:t>
      </w:r>
      <w:r>
        <w:rPr>
          <w:rFonts w:hint="default" w:ascii="Times New Roman" w:hAnsi="Times New Roman" w:eastAsia="仿宋_GB2312" w:cs="Times New Roman"/>
          <w:color w:val="000000" w:themeColor="text1"/>
          <w:sz w:val="32"/>
          <w:szCs w:val="32"/>
          <w14:textFill>
            <w14:solidFill>
              <w14:schemeClr w14:val="tx1"/>
            </w14:solidFill>
          </w14:textFill>
        </w:rPr>
        <w:t>、销售或服务结算明细清单、验收单或出入库单等。</w:t>
      </w:r>
    </w:p>
    <w:p w14:paraId="437033D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（二）资源发包收入（含耕地、果园、林地、坑塘、沟渠等土地资源发包及集体经营性建设用地出让等收入）。报账依据材料包括：银行收款回单或现金收款收据、税务发票、业务合同或农村产权流转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交易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合同</w:t>
      </w:r>
      <w:r>
        <w:rPr>
          <w:rFonts w:hint="default" w:ascii="Times New Roman" w:hAnsi="Times New Roman" w:eastAsia="仿宋_GB2312" w:cs="Times New Roman"/>
          <w:color w:val="000000" w:themeColor="text1"/>
          <w:sz w:val="32"/>
          <w:szCs w:val="32"/>
          <w14:textFill>
            <w14:solidFill>
              <w14:schemeClr w14:val="tx1"/>
            </w14:solidFill>
          </w14:textFill>
        </w:rPr>
        <w:t>等。</w:t>
      </w:r>
    </w:p>
    <w:p w14:paraId="558C77C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（三）投资收益。报账依据材料包括：银行收款回单、被投资企业的收益分配方案、业务合同、被投资企业财务报表等。</w:t>
      </w:r>
    </w:p>
    <w:p w14:paraId="362F97C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（四）资产处置收入。报账依据材料包括：银行收款回单、资产处置方案、议事决策会议纪要、公示信息、资产处置清查及评估报告、资产处置合同、资产处置照片或清单等。</w:t>
      </w:r>
    </w:p>
    <w:p w14:paraId="3032B9A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（五）银行存款利息收入。报账依据材料为银行收款回单。</w:t>
      </w:r>
    </w:p>
    <w:p w14:paraId="49CD69C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（六）补助收入及财政专项资金。报账依据材料包括：银行收款回单、财政专项资金下款发文及审批材料等。</w:t>
      </w:r>
    </w:p>
    <w:p w14:paraId="11E3EEF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（七）捐赠收入及其他收入。报账依据材料包括：银行收款回单、接受捐赠证明（函）或罚款说明（函）等。</w:t>
      </w:r>
    </w:p>
    <w:p w14:paraId="1C56AB8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五十三</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各类支出入账的附件要求：</w:t>
      </w:r>
    </w:p>
    <w:p w14:paraId="1A8AB46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（一）生产经营支出。应附有效的原始记录清单。购买生产经营物资的，须附采购清单（注明货物类别、型号、等级、数量和单价）、验收单或入库单。</w:t>
      </w:r>
    </w:p>
    <w:p w14:paraId="15FA810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（二）管理费用支出</w:t>
      </w:r>
    </w:p>
    <w:p w14:paraId="4F642C2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村组干部报酬：以银行打卡发放的清单为凭证，并附有关批复文件。</w:t>
      </w:r>
    </w:p>
    <w:p w14:paraId="529B994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办公用品及耗材支出：须附采购报价单、原始购货记录及验收单。购买办公用品、招待费开支明细清单等附件材料要齐全。</w:t>
      </w:r>
    </w:p>
    <w:p w14:paraId="0C7E07B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差旅费支出：须附差旅费报销单，注明出差事由、时间、地点、人员等。</w:t>
      </w:r>
    </w:p>
    <w:p w14:paraId="7F5C7A3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会议费支出：须附会议签到记录和参会人员补助花名册。</w:t>
      </w:r>
    </w:p>
    <w:p w14:paraId="378EC10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用车费用支出：须附用车记录审批单并注明事由。</w:t>
      </w:r>
    </w:p>
    <w:p w14:paraId="2333D3D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加班费、误工费支出：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需</w:t>
      </w:r>
      <w:r>
        <w:rPr>
          <w:rFonts w:hint="default" w:ascii="Times New Roman" w:hAnsi="Times New Roman" w:eastAsia="仿宋_GB2312" w:cs="Times New Roman"/>
          <w:color w:val="000000" w:themeColor="text1"/>
          <w:sz w:val="32"/>
          <w:szCs w:val="32"/>
          <w14:textFill>
            <w14:solidFill>
              <w14:schemeClr w14:val="tx1"/>
            </w14:solidFill>
          </w14:textFill>
        </w:rPr>
        <w:t>附加班的证明材料或用工清单。</w:t>
      </w:r>
    </w:p>
    <w:p w14:paraId="3EF6D74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（三）固定资产购建支出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属政府采购目录范围内的商品和服务项目，须附政府采购有关批复文件。不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属于</w:t>
      </w:r>
      <w:r>
        <w:rPr>
          <w:rFonts w:hint="default" w:ascii="Times New Roman" w:hAnsi="Times New Roman" w:eastAsia="仿宋_GB2312" w:cs="Times New Roman"/>
          <w:color w:val="000000" w:themeColor="text1"/>
          <w:sz w:val="32"/>
          <w:szCs w:val="32"/>
          <w14:textFill>
            <w14:solidFill>
              <w14:schemeClr w14:val="tx1"/>
            </w14:solidFill>
          </w14:textFill>
        </w:rPr>
        <w:t>政府采购目录范围的，须附村民代表会议决议、采购询价记录或公开询价、公开竞标采购资料。购买实物的附件材料，必须有验收证明。</w:t>
      </w:r>
    </w:p>
    <w:p w14:paraId="259A33F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（四）工程类项目支出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报账时须附以下资料：招投标文件、工程预算、中标（成交）通知书、施工合同、工程验收报告、决算和审计报告等。大额度资金支出原始凭证还须附成员（代表）大会会议记录或决议复印件。</w:t>
      </w:r>
    </w:p>
    <w:p w14:paraId="10C9FF4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（五）公益事业及公共服务支出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公益事业的人员工资：以打卡发放为凭证，并附用工清单。基础设施维护费用：附相关协议。购买服务的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附委托合同。</w:t>
      </w:r>
    </w:p>
    <w:p w14:paraId="221A4CA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（六）征地补偿费支出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须附原始丈量清单及合同。因公益事业建设征地且补偿标准低于规定的，需附村民代表会议通过此补偿标准的决议。以工资单形式发放征地款的，工资单作为入账原始凭证附件。</w:t>
      </w:r>
    </w:p>
    <w:p w14:paraId="7069775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内部往来支出（如支付理事会和监事会人员报酬、成员误工费、优抚对象补助资金、土地征用补偿费发放等）。可使用自制凭证，自制凭证应统一格式，注明支出事由、经手人、收款人签字、收款方地址、身份证号码及联系方式。农村集体经济组织发放个人劳务费用表只能作为现金支出凭证附件。</w:t>
      </w:r>
    </w:p>
    <w:p w14:paraId="4922E07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（八）专项资金支出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按主管部门规定列出附件，专项资金专款专用，不得与村集体财务支出混淆。报销时除按正常支出所附原始凭证外，还应在报销单上注明费用所使用的专项资金名称，并附专项资金相关文件。</w:t>
      </w:r>
    </w:p>
    <w:p w14:paraId="71ACE4D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72EE2E32">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购买第三方服务管理</w:t>
      </w:r>
    </w:p>
    <w:p w14:paraId="21160C3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五十四</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购买第三方服务（含劳务外包、专业技术服务等），须根据实际确定采购需求、预算及资金来源，通过江苏省农村产权交易信息服务平台开展采购，负责采购组织实施、合同签订履行及项目验收等工作。</w:t>
      </w:r>
    </w:p>
    <w:p w14:paraId="740554C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五十五</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职责：对辖区内农村集体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采购项目履行指导、审核、监管职责，重点审查采购必要性、决策合法性及经费规范性；负责单笔2万元（含）以上采购活动的审核监督，包括信息发布审核、合同履行及验收监督等。村集体须坚持“非必要不采购”，落实“过紧日子” 要求。</w:t>
      </w:r>
    </w:p>
    <w:p w14:paraId="37D3AB4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五十六</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备案及监管要求：经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审核的采购项目，单笔10万元以下的每季度由街道打包报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县级</w:t>
      </w:r>
      <w:r>
        <w:rPr>
          <w:rFonts w:hint="default" w:ascii="Times New Roman" w:hAnsi="Times New Roman" w:eastAsia="仿宋_GB2312" w:cs="Times New Roman"/>
          <w:color w:val="000000" w:themeColor="text1"/>
          <w:sz w:val="32"/>
          <w:szCs w:val="32"/>
          <w14:textFill>
            <w14:solidFill>
              <w14:schemeClr w14:val="tx1"/>
            </w14:solidFill>
          </w14:textFill>
        </w:rPr>
        <w:t>农业农村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14:textFill>
            <w14:solidFill>
              <w14:schemeClr w14:val="tx1"/>
            </w14:solidFill>
          </w14:textFill>
        </w:rPr>
        <w:t>、财政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14:textFill>
            <w14:solidFill>
              <w14:schemeClr w14:val="tx1"/>
            </w14:solidFill>
          </w14:textFill>
        </w:rPr>
        <w:t>备案，10万元及以上的即时上报。严禁采购“第三方服务负面清单” 所列服务。定期检查采购活动，对违规行为严肃查处。</w:t>
      </w:r>
    </w:p>
    <w:p w14:paraId="7625D5EA">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480484E5">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黑体" w:hAnsi="黑体" w:eastAsia="黑体" w:cs="黑体"/>
          <w:color w:val="000000" w:themeColor="text1"/>
          <w:sz w:val="32"/>
          <w:szCs w:val="32"/>
          <w14:textFill>
            <w14:solidFill>
              <w14:schemeClr w14:val="tx1"/>
            </w14:solidFill>
          </w14:textFill>
        </w:rPr>
      </w:pPr>
      <w:r>
        <w:rPr>
          <w:rFonts w:hint="default"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lang w:val="en-US" w:eastAsia="zh-CN"/>
          <w14:textFill>
            <w14:solidFill>
              <w14:schemeClr w14:val="tx1"/>
            </w14:solidFill>
          </w14:textFill>
        </w:rPr>
        <w:t>八</w:t>
      </w:r>
      <w:r>
        <w:rPr>
          <w:rFonts w:hint="default" w:ascii="黑体" w:hAnsi="黑体" w:eastAsia="黑体" w:cs="黑体"/>
          <w:color w:val="000000" w:themeColor="text1"/>
          <w:sz w:val="32"/>
          <w:szCs w:val="32"/>
          <w14:textFill>
            <w14:solidFill>
              <w14:schemeClr w14:val="tx1"/>
            </w14:solidFill>
          </w14:textFill>
        </w:rPr>
        <w:t>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财务档案</w:t>
      </w:r>
      <w:r>
        <w:rPr>
          <w:rFonts w:hint="default" w:ascii="黑体" w:hAnsi="黑体" w:eastAsia="黑体" w:cs="黑体"/>
          <w:color w:val="000000" w:themeColor="text1"/>
          <w:sz w:val="32"/>
          <w:szCs w:val="32"/>
          <w14:textFill>
            <w14:solidFill>
              <w14:schemeClr w14:val="tx1"/>
            </w14:solidFill>
          </w14:textFill>
        </w:rPr>
        <w:t>管理</w:t>
      </w:r>
    </w:p>
    <w:p w14:paraId="1C0808F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五十七</w:t>
      </w:r>
      <w:r>
        <w:rPr>
          <w:rFonts w:hint="eastAsia" w:ascii="楷体_GB2312" w:hAnsi="楷体_GB2312" w:eastAsia="楷体_GB2312" w:cs="楷体_GB2312"/>
          <w:color w:val="000000" w:themeColor="text1"/>
          <w:sz w:val="32"/>
          <w:szCs w:val="32"/>
          <w14:textFill>
            <w14:solidFill>
              <w14:schemeClr w14:val="tx1"/>
            </w14:solidFill>
          </w14:textFill>
        </w:rPr>
        <w:t>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应当在农村基层党组织领导下，建立健全财务档案管理制度，做好财务档案的收集、整理、保管、利用、移交和鉴定销毁等工作。实行会计委托代理服务的，代理服务机构应协助做好财务档案管理工作。</w:t>
      </w:r>
    </w:p>
    <w:p w14:paraId="7726480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五十八</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财务档案管理应当遵循以下原则：</w:t>
      </w:r>
    </w:p>
    <w:p w14:paraId="377E441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（一）真实完整。财务档案应当真实、完整、准确地反映本集体经济组织的财务状况，不得虚报、瞒报、漏报。</w:t>
      </w:r>
    </w:p>
    <w:p w14:paraId="0B6A62E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（二）规范管理。财务档案应当按照国家有关规定进行分类、整理、归档，确保档案的完整性和可查阅性。</w:t>
      </w:r>
    </w:p>
    <w:p w14:paraId="3A97079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（三）安全保密。财务档案应当妥善保管，防止损坏、丢失和泄露，确保信息安全。</w:t>
      </w:r>
    </w:p>
    <w:p w14:paraId="1BAE836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（四）有效利用。财务档案应当在保障安全的前提下，为集体经济组织的经营管理、民主监督和审计检查提供有效服务。</w:t>
      </w:r>
    </w:p>
    <w:p w14:paraId="4F6B8B6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五十九</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农村集体经济组织财务档案的归档范围包括：</w:t>
      </w:r>
    </w:p>
    <w:p w14:paraId="06208F9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（一）会计凭证类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原始凭证、记账凭证、汇总凭证及其他会计凭证。</w:t>
      </w:r>
    </w:p>
    <w:p w14:paraId="42D44C6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（二）会计账簿类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总账、明细账、日记账、固定资产卡片、辅助账簿及其他会计账簿。</w:t>
      </w:r>
    </w:p>
    <w:p w14:paraId="2AE8D43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（三）财务会计报告类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月度、季度、年度财务会计报告，包括会计报表、会计报表附注、财务情况说明书等。</w:t>
      </w:r>
    </w:p>
    <w:p w14:paraId="02E5B70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27F18C3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（四）财务计划与预决算类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年度财务收支预算方案及审批文件、决算报告、财务计划、收益分配方案等。</w:t>
      </w:r>
    </w:p>
    <w:p w14:paraId="4D1BB65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（五）资产资源管理类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资产、资源有关台账，固定资产购建与处置资料，资产清查盘点资料等。</w:t>
      </w:r>
    </w:p>
    <w:p w14:paraId="54D601F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（六）经济合同类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农村集体经济组织签订的各类经济合同或协议，包括土地承包合同、资产租赁合同、工程建设合同、投资合作协议等。</w:t>
      </w:r>
    </w:p>
    <w:p w14:paraId="18C1CC9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（七）项目工程类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项目招投标会议记录及文件、工程预算、中标通知书、施工合同、工程验收报告、决算和审计报告等。</w:t>
      </w:r>
    </w:p>
    <w:p w14:paraId="6611FDC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（八）民主决策类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成员（代表）大会会议记录、决议，理事会、监事会会议记录，“四议两公开”相关资料等。</w:t>
      </w:r>
    </w:p>
    <w:p w14:paraId="0FE37B4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（九）票据管理类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票据领用、使用、核销、结存登记簿，票据收发记录等。</w:t>
      </w:r>
    </w:p>
    <w:p w14:paraId="4125B6A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（十）审计监督类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内部审计报告、外部审计报告、审计整改资料等。</w:t>
      </w:r>
    </w:p>
    <w:p w14:paraId="72A3F34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（十一）财务公开类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财务公开资料、公开照片、成员意见及处理情况记录等。</w:t>
      </w:r>
    </w:p>
    <w:p w14:paraId="1F4E1CF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（十二）其他财务资料类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会计人员交接清单、财务档案保管清册、档案销毁清册、银行存款对账单、电子数据备份等。</w:t>
      </w:r>
    </w:p>
    <w:p w14:paraId="62DA6BA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default" w:ascii="楷体_GB2312" w:hAnsi="楷体_GB2312" w:eastAsia="楷体_GB2312" w:cs="楷体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农村集体经济组织应当在每年会计年度终了后，对当年形成的财务档案进行整理、立卷和归档。财务档案整理立卷应当符合以下要求：</w:t>
      </w:r>
    </w:p>
    <w:p w14:paraId="209723D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（一）各类财务档案应当按年度、分类别进行整理立卷，做到分类准确、排列有序。</w:t>
      </w:r>
    </w:p>
    <w:p w14:paraId="0BFA1EA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（二）会计凭证应当按月装订成册，加具封面，注明单位名称、年度、月份、起止日期、凭证种类、起止号码等。</w:t>
      </w:r>
    </w:p>
    <w:p w14:paraId="48E6781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（三）会计账簿应当在年度终了后及时打印装订，加具扉页，注明单位名称、账簿名称、年度、页码等。</w:t>
      </w:r>
    </w:p>
    <w:p w14:paraId="1B371AF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（四）会计报表应当按年度装订成册，加具封面，注明单位名称、年度、报表种类等。</w:t>
      </w:r>
    </w:p>
    <w:p w14:paraId="345EC0D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（五）经济合同、会议记录等其他财务资料应当按类别、年度整理归档。</w:t>
      </w:r>
    </w:p>
    <w:p w14:paraId="37B2121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六十一</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电子财务档案的归档管理：</w:t>
      </w:r>
    </w:p>
    <w:p w14:paraId="7D41788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（一）每个会计年度终了时，应当做好电子数据、档案的脱机备份。</w:t>
      </w:r>
    </w:p>
    <w:p w14:paraId="32EA96D7">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（二）电子档案应当按照“双重备份，分别存放”的要求管理。</w:t>
      </w:r>
    </w:p>
    <w:p w14:paraId="21AE372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（三）应当定期检查电子档案，定期复制，防止因存储介质损坏导致财务档案的毁损。</w:t>
      </w:r>
    </w:p>
    <w:p w14:paraId="63D2145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（四）符合国家有关电子会计档案管理要求的电子会计档案与纸质会计档案具有同等法律效力。</w:t>
      </w:r>
    </w:p>
    <w:p w14:paraId="4212AE3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六十二</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default" w:ascii="楷体_GB2312" w:hAnsi="楷体_GB2312" w:eastAsia="楷体_GB2312" w:cs="楷体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农村集体经济组织应当设置专门的档案室（柜），指定专人负责财务档案保管工作。实行会计委托代理服务的，代理服务机构应当设置专门的档案保管场所。</w:t>
      </w:r>
    </w:p>
    <w:p w14:paraId="2443147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六十三</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财务档案保管的禁止性规定：</w:t>
      </w:r>
    </w:p>
    <w:p w14:paraId="0F09F74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（一）严禁随意堆放财务档案，严防毁损、散失。</w:t>
      </w:r>
    </w:p>
    <w:p w14:paraId="4D2FF21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（二）严禁擅自销毁财务档案。</w:t>
      </w:r>
    </w:p>
    <w:p w14:paraId="2CB64BB2">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（三）严禁将财务档案据为己有或带离保管场所。</w:t>
      </w:r>
    </w:p>
    <w:p w14:paraId="4AB4E9A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（四）严禁泄露财务档案中的商业秘密和个人隐私。</w:t>
      </w:r>
    </w:p>
    <w:p w14:paraId="4B37671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六十四</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财务档案的查阅、借阅和复制应当严格履行审批和登记手续。</w:t>
      </w:r>
    </w:p>
    <w:p w14:paraId="0C5CEAE1">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（一）本集体经济组织理事会、监事会因工作需要查阅财务档案的，应当填写查阅申请单，经理事长批准后方可查阅。</w:t>
      </w:r>
    </w:p>
    <w:p w14:paraId="1755D77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（二）本集体经济组织成员因行使知情权、监督权需要查阅财务档案的，一般应当通过监事会（民主理财小组）进行。</w:t>
      </w:r>
    </w:p>
    <w:p w14:paraId="2CEA616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（三）外部审计、检查等需要查阅财务档案的，应当凭相关公函或通知书，经本集体经济组织负责人和代理服务机构负责人批准后方可查阅。</w:t>
      </w:r>
    </w:p>
    <w:p w14:paraId="77DF385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（四）查阅、借阅、复制财务档案，应当在档案管理人员在场的情况下进行，不得将档案擅自带离保管场所。</w:t>
      </w:r>
    </w:p>
    <w:p w14:paraId="1E248A7E">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（五）借阅财务档案应当办理借阅登记手续，注明借阅人、借阅事由、借阅内容、借阅日期和归还日期。</w:t>
      </w:r>
    </w:p>
    <w:p w14:paraId="26F867E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（六）复制财务档案应当经批准，并在复制件上注明“此件为复制件，与原件核对无误”字样及复制日期。</w:t>
      </w:r>
    </w:p>
    <w:p w14:paraId="7E6DB82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六十五</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default" w:ascii="楷体_GB2312" w:hAnsi="楷体_GB2312" w:eastAsia="楷体_GB2312" w:cs="楷体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会计人员因工作变动调离时，应当在相关人员监督下办理财务档案移交手续，否则不得离职。 财务档案移交应当符合以下要求：</w:t>
      </w:r>
    </w:p>
    <w:p w14:paraId="034AC8D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（一）移交前应当编制移交清册，列明移交的档案名称、年度、数量等内容。</w:t>
      </w:r>
    </w:p>
    <w:p w14:paraId="4054E83B">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（二）移交时应当由移交人、接收人、监交人共同在场，逐项清点核对。</w:t>
      </w:r>
    </w:p>
    <w:p w14:paraId="1E38CC5C">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（三）移交清册应当由移交人、接收人、监交人共同签字确认。</w:t>
      </w:r>
    </w:p>
    <w:p w14:paraId="67F89B8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（四）移交清册应当归档保管，作为财务档案的组成部分。</w:t>
      </w:r>
    </w:p>
    <w:p w14:paraId="5ECCA9B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六十六</w:t>
      </w:r>
      <w:r>
        <w:rPr>
          <w:rFonts w:hint="default" w:ascii="楷体_GB2312" w:hAnsi="楷体_GB2312" w:eastAsia="楷体_GB2312" w:cs="楷体_GB2312"/>
          <w:color w:val="000000" w:themeColor="text1"/>
          <w:sz w:val="32"/>
          <w:szCs w:val="32"/>
          <w14:textFill>
            <w14:solidFill>
              <w14:schemeClr w14:val="tx1"/>
            </w14:solidFill>
          </w14:textFill>
        </w:rPr>
        <w:t>条</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实行会计委托代理服务的，代理服务机构与农村集体经济组织之间的财务档案移交，应当按照委托代理服务协议的约定办理，并办理书面交接手续。</w:t>
      </w:r>
    </w:p>
    <w:p w14:paraId="0AF4FEA3">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六十七</w:t>
      </w:r>
      <w:r>
        <w:rPr>
          <w:rFonts w:hint="default" w:ascii="楷体_GB2312" w:hAnsi="楷体_GB2312" w:eastAsia="楷体_GB2312" w:cs="楷体_GB2312"/>
          <w:color w:val="000000" w:themeColor="text1"/>
          <w:sz w:val="32"/>
          <w:szCs w:val="32"/>
          <w14:textFill>
            <w14:solidFill>
              <w14:schemeClr w14:val="tx1"/>
            </w14:solidFill>
          </w14:textFill>
        </w:rPr>
        <w:t xml:space="preserve">条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财务档案销毁的程序：</w:t>
      </w:r>
    </w:p>
    <w:p w14:paraId="222980B6">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（一）对经鉴定确认已无保存价值的财务档案，应当编制销毁清册，列明拟销毁档案的名称、卷号、册数、起止年度、应保管期限、已保管期限等内容。</w:t>
      </w:r>
    </w:p>
    <w:p w14:paraId="113305A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（二）销毁清册应当经农村集体经济组织理事会审议通过，并报乡镇人民政府或农业农村部门批准。</w:t>
      </w:r>
    </w:p>
    <w:p w14:paraId="174139C4">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（三）销毁时应当由农村集体经济组织、监事会、乡镇相关部门共同派员监销。</w:t>
      </w:r>
    </w:p>
    <w:p w14:paraId="5AD2B91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（四）监销人应当在销毁清册上签字确认，注明销毁日期和方式。</w:t>
      </w:r>
    </w:p>
    <w:p w14:paraId="7FAB6F35">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（五）销毁清册应当归档永久保存。</w:t>
      </w:r>
    </w:p>
    <w:p w14:paraId="67FF86A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0054B84C">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黑体" w:hAnsi="黑体" w:eastAsia="黑体" w:cs="黑体"/>
          <w:color w:val="000000" w:themeColor="text1"/>
          <w:sz w:val="32"/>
          <w:szCs w:val="32"/>
          <w14:textFill>
            <w14:solidFill>
              <w14:schemeClr w14:val="tx1"/>
            </w14:solidFill>
          </w14:textFill>
        </w:rPr>
      </w:pPr>
      <w:r>
        <w:rPr>
          <w:rFonts w:hint="default"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default" w:ascii="黑体" w:hAnsi="黑体" w:eastAsia="黑体" w:cs="黑体"/>
          <w:color w:val="000000" w:themeColor="text1"/>
          <w:sz w:val="32"/>
          <w:szCs w:val="32"/>
          <w14:textFill>
            <w14:solidFill>
              <w14:schemeClr w14:val="tx1"/>
            </w14:solidFill>
          </w14:textFill>
        </w:rPr>
        <w:t>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黑体" w:hAnsi="黑体" w:eastAsia="黑体" w:cs="黑体"/>
          <w:color w:val="000000" w:themeColor="text1"/>
          <w:sz w:val="32"/>
          <w:szCs w:val="32"/>
          <w14:textFill>
            <w14:solidFill>
              <w14:schemeClr w14:val="tx1"/>
            </w14:solidFill>
          </w14:textFill>
        </w:rPr>
        <w:t>监督管理</w:t>
      </w:r>
    </w:p>
    <w:p w14:paraId="01081B7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六十八</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财务监督以财务公开、民主理财和审计监督为主要形式，严格按照《江苏省村务公开目录》公开财务活动。</w:t>
      </w:r>
    </w:p>
    <w:p w14:paraId="18B2184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六十九</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财务公开内容包括财务计划及执行、收支、资产、债权债务、收益分配、合同、工程发包、项目招标等情况，重大事项及时公开。</w:t>
      </w:r>
    </w:p>
    <w:p w14:paraId="466DDB00">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七十</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实行“ 线上+ 线下” 双公开模式 ：线上通过“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我的连云港</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“连云港农业信息”</w:t>
      </w:r>
      <w:r>
        <w:rPr>
          <w:rFonts w:hint="default" w:ascii="Times New Roman" w:hAnsi="Times New Roman" w:eastAsia="仿宋_GB2312" w:cs="Times New Roman"/>
          <w:color w:val="000000" w:themeColor="text1"/>
          <w:sz w:val="32"/>
          <w:szCs w:val="32"/>
          <w14:textFill>
            <w14:solidFill>
              <w14:schemeClr w14:val="tx1"/>
            </w14:solidFill>
          </w14:textFill>
        </w:rPr>
        <w:t>微信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公众号、二维码等方式</w:t>
      </w:r>
      <w:r>
        <w:rPr>
          <w:rFonts w:hint="default" w:ascii="Times New Roman" w:hAnsi="Times New Roman" w:eastAsia="仿宋_GB2312" w:cs="Times New Roman"/>
          <w:color w:val="000000" w:themeColor="text1"/>
          <w:sz w:val="32"/>
          <w:szCs w:val="32"/>
          <w14:textFill>
            <w14:solidFill>
              <w14:schemeClr w14:val="tx1"/>
            </w14:solidFill>
          </w14:textFill>
        </w:rPr>
        <w:t>公开资产、合同、凭证等信息；线下规范公开专栏，细化内容、健全程序，每月定期准确公开收支明细、资产状况等关键信息。</w:t>
      </w:r>
    </w:p>
    <w:p w14:paraId="54190C6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七十一</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农村集体财务管理部门须及时提供财务报表，指导督促村级组织按时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进行财务公开</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02AB12F8">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七十二</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强化审计监督：每年开展农村集体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非生产性支出专项检查，抽查比例不低于20% ；各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自行开展“三年一审 ，一审三年”审计，覆盖不少于50%的村集体；全面开展离任和任期审计；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县区</w:t>
      </w:r>
      <w:r>
        <w:rPr>
          <w:rFonts w:hint="default" w:ascii="Times New Roman" w:hAnsi="Times New Roman" w:eastAsia="仿宋_GB2312" w:cs="Times New Roman"/>
          <w:color w:val="000000" w:themeColor="text1"/>
          <w:sz w:val="32"/>
          <w:szCs w:val="32"/>
          <w14:textFill>
            <w14:solidFill>
              <w14:schemeClr w14:val="tx1"/>
            </w14:solidFill>
          </w14:textFill>
        </w:rPr>
        <w:t>农业农村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14:textFill>
            <w14:solidFill>
              <w14:schemeClr w14:val="tx1"/>
            </w14:solidFill>
          </w14:textFill>
        </w:rPr>
        <w:t>结合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审计情况开展“三年一审，一审三年”工作。审计成果须及时完整公开。</w:t>
      </w:r>
    </w:p>
    <w:p w14:paraId="355CDFBF">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6518FDDE">
      <w:pPr>
        <w:keepNext w:val="0"/>
        <w:keepLines w:val="0"/>
        <w:pageBreakBefore w:val="0"/>
        <w:widowControl/>
        <w:kinsoku/>
        <w:wordWrap/>
        <w:overflowPunct/>
        <w:topLinePunct/>
        <w:autoSpaceDE w:val="0"/>
        <w:autoSpaceDN w:val="0"/>
        <w:bidi w:val="0"/>
        <w:adjustRightInd w:val="0"/>
        <w:snapToGrid w:val="0"/>
        <w:spacing w:line="560" w:lineRule="exact"/>
        <w:jc w:val="center"/>
        <w:textAlignment w:val="baseline"/>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黑体" w:hAnsi="黑体" w:eastAsia="黑体" w:cs="黑体"/>
          <w:color w:val="000000" w:themeColor="text1"/>
          <w:sz w:val="32"/>
          <w:szCs w:val="32"/>
          <w:lang w:val="en-US" w:eastAsia="zh-CN"/>
          <w14:textFill>
            <w14:solidFill>
              <w14:schemeClr w14:val="tx1"/>
            </w14:solidFill>
          </w14:textFill>
        </w:rPr>
        <w:t>第</w:t>
      </w:r>
      <w:r>
        <w:rPr>
          <w:rFonts w:hint="eastAsia" w:ascii="黑体" w:hAnsi="黑体" w:eastAsia="黑体" w:cs="黑体"/>
          <w:color w:val="000000" w:themeColor="text1"/>
          <w:sz w:val="32"/>
          <w:szCs w:val="32"/>
          <w:lang w:val="en-US" w:eastAsia="zh-CN"/>
          <w14:textFill>
            <w14:solidFill>
              <w14:schemeClr w14:val="tx1"/>
            </w14:solidFill>
          </w14:textFill>
        </w:rPr>
        <w:t>十</w:t>
      </w:r>
      <w:r>
        <w:rPr>
          <w:rFonts w:hint="default" w:ascii="黑体" w:hAnsi="黑体" w:eastAsia="黑体" w:cs="黑体"/>
          <w:color w:val="000000" w:themeColor="text1"/>
          <w:sz w:val="32"/>
          <w:szCs w:val="32"/>
          <w:lang w:val="en-US" w:eastAsia="zh-CN"/>
          <w14:textFill>
            <w14:solidFill>
              <w14:schemeClr w14:val="tx1"/>
            </w14:solidFill>
          </w14:textFill>
        </w:rPr>
        <w:t>章  附</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default" w:ascii="黑体" w:hAnsi="黑体" w:eastAsia="黑体" w:cs="黑体"/>
          <w:color w:val="000000" w:themeColor="text1"/>
          <w:sz w:val="32"/>
          <w:szCs w:val="32"/>
          <w:lang w:val="en-US" w:eastAsia="zh-CN"/>
          <w14:textFill>
            <w14:solidFill>
              <w14:schemeClr w14:val="tx1"/>
            </w14:solidFill>
          </w14:textFill>
        </w:rPr>
        <w:t>则</w:t>
      </w:r>
    </w:p>
    <w:p w14:paraId="7E5AD35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七十三</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县区</w:t>
      </w:r>
      <w:r>
        <w:rPr>
          <w:rFonts w:hint="default" w:ascii="Times New Roman" w:hAnsi="Times New Roman" w:eastAsia="仿宋_GB2312" w:cs="Times New Roman"/>
          <w:color w:val="000000" w:themeColor="text1"/>
          <w:sz w:val="32"/>
          <w:szCs w:val="32"/>
          <w14:textFill>
            <w14:solidFill>
              <w14:schemeClr w14:val="tx1"/>
            </w14:solidFill>
          </w14:textFill>
        </w:rPr>
        <w:t>可结合实际，参照本办法制定实施细则。</w:t>
      </w:r>
    </w:p>
    <w:p w14:paraId="2DCF616D">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第</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七十四</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本办法自印发之日起施行。</w:t>
      </w:r>
    </w:p>
    <w:p w14:paraId="5B6689C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_GB2312" w:hAnsi="仿宋_GB2312" w:eastAsia="仿宋_GB2312" w:cs="仿宋_GB2312"/>
          <w:color w:val="000000" w:themeColor="text1"/>
          <w:sz w:val="28"/>
          <w:szCs w:val="28"/>
          <w14:textFill>
            <w14:solidFill>
              <w14:schemeClr w14:val="tx1"/>
            </w14:solidFill>
          </w14:textFill>
        </w:rPr>
        <w:sectPr>
          <w:headerReference r:id="rId5" w:type="default"/>
          <w:footerReference r:id="rId6" w:type="default"/>
          <w:pgSz w:w="11905" w:h="16838"/>
          <w:pgMar w:top="1440" w:right="1800" w:bottom="1440" w:left="1800" w:header="0" w:footer="968" w:gutter="0"/>
          <w:pgNumType w:fmt="decimal"/>
          <w:cols w:space="720" w:num="1"/>
        </w:sectPr>
      </w:pPr>
    </w:p>
    <w:p w14:paraId="4B8F8F7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仿宋_GB2312" w:hAnsi="仿宋_GB2312" w:eastAsia="仿宋_GB2312" w:cs="仿宋_GB2312"/>
          <w:color w:val="000000" w:themeColor="text1"/>
          <w:sz w:val="28"/>
          <w:szCs w:val="28"/>
          <w:lang w:val="en-US"/>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eastAsia" w:ascii="Times New Roman" w:hAnsi="Times New Roman" w:eastAsia="黑体" w:cs="Times New Roman"/>
          <w:color w:val="000000" w:themeColor="text1"/>
          <w:sz w:val="32"/>
          <w:szCs w:val="32"/>
          <w:lang w:eastAsia="zh-CN"/>
          <w14:textFill>
            <w14:solidFill>
              <w14:schemeClr w14:val="tx1"/>
            </w14:solidFill>
          </w14:textFill>
        </w:rPr>
        <w:t>：</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1</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-1</w:t>
      </w:r>
    </w:p>
    <w:p w14:paraId="0F62CF4E">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4D20BB0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村（社区）集体</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经济组织</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xx年度预算收支明细表</w:t>
      </w:r>
    </w:p>
    <w:p w14:paraId="5A1B7B8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编制单位：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 xml:space="preserve">   单位：元</w:t>
      </w:r>
    </w:p>
    <w:tbl>
      <w:tblPr>
        <w:tblStyle w:val="6"/>
        <w:tblW w:w="8208"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56"/>
        <w:gridCol w:w="764"/>
        <w:gridCol w:w="980"/>
        <w:gridCol w:w="2436"/>
        <w:gridCol w:w="672"/>
        <w:gridCol w:w="1200"/>
      </w:tblGrid>
      <w:tr w14:paraId="15AF3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3900" w:type="dxa"/>
            <w:gridSpan w:val="3"/>
            <w:vAlign w:val="top"/>
          </w:tcPr>
          <w:p w14:paraId="60FFB31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核算单位：</w:t>
            </w:r>
          </w:p>
        </w:tc>
        <w:tc>
          <w:tcPr>
            <w:tcW w:w="4308" w:type="dxa"/>
            <w:gridSpan w:val="3"/>
            <w:vAlign w:val="top"/>
          </w:tcPr>
          <w:p w14:paraId="2175D4E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会计期次</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14:textFill>
                  <w14:solidFill>
                    <w14:schemeClr w14:val="tx1"/>
                  </w14:solidFill>
                </w14:textFill>
              </w:rPr>
              <w:t xml:space="preserve">                  年</w:t>
            </w:r>
          </w:p>
        </w:tc>
      </w:tr>
      <w:tr w14:paraId="44F6C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156" w:type="dxa"/>
            <w:tcBorders>
              <w:left w:val="single" w:color="000000" w:sz="6" w:space="0"/>
            </w:tcBorders>
            <w:vAlign w:val="top"/>
          </w:tcPr>
          <w:p w14:paraId="6378098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项目明细</w:t>
            </w:r>
          </w:p>
        </w:tc>
        <w:tc>
          <w:tcPr>
            <w:tcW w:w="764" w:type="dxa"/>
            <w:vAlign w:val="top"/>
          </w:tcPr>
          <w:p w14:paraId="01CD306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行次</w:t>
            </w:r>
          </w:p>
        </w:tc>
        <w:tc>
          <w:tcPr>
            <w:tcW w:w="980" w:type="dxa"/>
            <w:vAlign w:val="top"/>
          </w:tcPr>
          <w:p w14:paraId="2692429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年度</w:t>
            </w:r>
          </w:p>
        </w:tc>
        <w:tc>
          <w:tcPr>
            <w:tcW w:w="2436" w:type="dxa"/>
            <w:vAlign w:val="top"/>
          </w:tcPr>
          <w:p w14:paraId="5347DAF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项目明细</w:t>
            </w:r>
          </w:p>
        </w:tc>
        <w:tc>
          <w:tcPr>
            <w:tcW w:w="672" w:type="dxa"/>
            <w:vAlign w:val="top"/>
          </w:tcPr>
          <w:p w14:paraId="6C68233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行次</w:t>
            </w:r>
          </w:p>
        </w:tc>
        <w:tc>
          <w:tcPr>
            <w:tcW w:w="1200" w:type="dxa"/>
            <w:vAlign w:val="top"/>
          </w:tcPr>
          <w:p w14:paraId="44033DD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年度</w:t>
            </w:r>
          </w:p>
        </w:tc>
      </w:tr>
      <w:tr w14:paraId="239BB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156" w:type="dxa"/>
            <w:vAlign w:val="top"/>
          </w:tcPr>
          <w:p w14:paraId="4F2C2D6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一、全年收入</w:t>
            </w:r>
          </w:p>
        </w:tc>
        <w:tc>
          <w:tcPr>
            <w:tcW w:w="764" w:type="dxa"/>
            <w:vAlign w:val="top"/>
          </w:tcPr>
          <w:p w14:paraId="2BC3194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w:t>
            </w:r>
          </w:p>
        </w:tc>
        <w:tc>
          <w:tcPr>
            <w:tcW w:w="980" w:type="dxa"/>
            <w:vAlign w:val="top"/>
          </w:tcPr>
          <w:p w14:paraId="12CD6A6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444D428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二、全年支出</w:t>
            </w:r>
          </w:p>
        </w:tc>
        <w:tc>
          <w:tcPr>
            <w:tcW w:w="672" w:type="dxa"/>
            <w:vAlign w:val="top"/>
          </w:tcPr>
          <w:p w14:paraId="1BF00D3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19</w:t>
            </w:r>
          </w:p>
        </w:tc>
        <w:tc>
          <w:tcPr>
            <w:tcW w:w="1200" w:type="dxa"/>
            <w:vAlign w:val="top"/>
          </w:tcPr>
          <w:p w14:paraId="2E695DC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27C90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156" w:type="dxa"/>
            <w:vAlign w:val="top"/>
          </w:tcPr>
          <w:p w14:paraId="726DE59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1.</w:t>
            </w:r>
            <w:r>
              <w:rPr>
                <w:rFonts w:hint="default" w:ascii="Times New Roman" w:hAnsi="Times New Roman" w:eastAsia="仿宋_GB2312" w:cs="Times New Roman"/>
                <w:color w:val="000000" w:themeColor="text1"/>
                <w:sz w:val="24"/>
                <w:szCs w:val="24"/>
                <w14:textFill>
                  <w14:solidFill>
                    <w14:schemeClr w14:val="tx1"/>
                  </w14:solidFill>
                </w14:textFill>
              </w:rPr>
              <w:t>经营收入</w:t>
            </w:r>
          </w:p>
        </w:tc>
        <w:tc>
          <w:tcPr>
            <w:tcW w:w="764" w:type="dxa"/>
            <w:vAlign w:val="top"/>
          </w:tcPr>
          <w:p w14:paraId="00FE172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w:t>
            </w:r>
          </w:p>
        </w:tc>
        <w:tc>
          <w:tcPr>
            <w:tcW w:w="980" w:type="dxa"/>
            <w:vAlign w:val="top"/>
          </w:tcPr>
          <w:p w14:paraId="0D948D8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2823EF3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1.</w:t>
            </w:r>
            <w:r>
              <w:rPr>
                <w:rFonts w:hint="default" w:ascii="Times New Roman" w:hAnsi="Times New Roman" w:eastAsia="仿宋_GB2312" w:cs="Times New Roman"/>
                <w:color w:val="000000" w:themeColor="text1"/>
                <w:sz w:val="24"/>
                <w:szCs w:val="24"/>
                <w14:textFill>
                  <w14:solidFill>
                    <w14:schemeClr w14:val="tx1"/>
                  </w14:solidFill>
                </w14:textFill>
              </w:rPr>
              <w:t>经营支出</w:t>
            </w:r>
          </w:p>
        </w:tc>
        <w:tc>
          <w:tcPr>
            <w:tcW w:w="672" w:type="dxa"/>
            <w:vAlign w:val="top"/>
          </w:tcPr>
          <w:p w14:paraId="0A20350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20</w:t>
            </w:r>
          </w:p>
        </w:tc>
        <w:tc>
          <w:tcPr>
            <w:tcW w:w="1200" w:type="dxa"/>
            <w:vAlign w:val="top"/>
          </w:tcPr>
          <w:p w14:paraId="1D5D88D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BC2C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156" w:type="dxa"/>
            <w:vAlign w:val="top"/>
          </w:tcPr>
          <w:p w14:paraId="095C1C9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销售收入</w:t>
            </w:r>
          </w:p>
        </w:tc>
        <w:tc>
          <w:tcPr>
            <w:tcW w:w="764" w:type="dxa"/>
            <w:vAlign w:val="top"/>
          </w:tcPr>
          <w:p w14:paraId="56D00B1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w:t>
            </w:r>
          </w:p>
        </w:tc>
        <w:tc>
          <w:tcPr>
            <w:tcW w:w="980" w:type="dxa"/>
            <w:vAlign w:val="top"/>
          </w:tcPr>
          <w:p w14:paraId="108F60A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5D79D57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生产</w:t>
            </w:r>
            <w:r>
              <w:rPr>
                <w:rFonts w:hint="default" w:ascii="Times New Roman" w:hAnsi="Times New Roman" w:eastAsia="仿宋_GB2312" w:cs="Times New Roman"/>
                <w:color w:val="000000" w:themeColor="text1"/>
                <w:sz w:val="24"/>
                <w:szCs w:val="24"/>
                <w14:textFill>
                  <w14:solidFill>
                    <w14:schemeClr w14:val="tx1"/>
                  </w14:solidFill>
                </w14:textFill>
              </w:rPr>
              <w:t>支出</w:t>
            </w:r>
          </w:p>
        </w:tc>
        <w:tc>
          <w:tcPr>
            <w:tcW w:w="672" w:type="dxa"/>
            <w:vAlign w:val="top"/>
          </w:tcPr>
          <w:p w14:paraId="644E48E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21</w:t>
            </w:r>
          </w:p>
        </w:tc>
        <w:tc>
          <w:tcPr>
            <w:tcW w:w="1200" w:type="dxa"/>
            <w:vAlign w:val="top"/>
          </w:tcPr>
          <w:p w14:paraId="5E882C0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7ABB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0B860A1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劳务收入</w:t>
            </w:r>
          </w:p>
        </w:tc>
        <w:tc>
          <w:tcPr>
            <w:tcW w:w="764" w:type="dxa"/>
            <w:vAlign w:val="top"/>
          </w:tcPr>
          <w:p w14:paraId="0F5D47A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w:t>
            </w:r>
          </w:p>
        </w:tc>
        <w:tc>
          <w:tcPr>
            <w:tcW w:w="980" w:type="dxa"/>
            <w:vAlign w:val="top"/>
          </w:tcPr>
          <w:p w14:paraId="6D4C0E6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4B8172C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出租支出</w:t>
            </w:r>
          </w:p>
        </w:tc>
        <w:tc>
          <w:tcPr>
            <w:tcW w:w="672" w:type="dxa"/>
            <w:vAlign w:val="top"/>
          </w:tcPr>
          <w:p w14:paraId="1A5D35C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22</w:t>
            </w:r>
          </w:p>
        </w:tc>
        <w:tc>
          <w:tcPr>
            <w:tcW w:w="1200" w:type="dxa"/>
            <w:vAlign w:val="top"/>
          </w:tcPr>
          <w:p w14:paraId="3109EDC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29C03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6FC3B1D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出租收入</w:t>
            </w:r>
          </w:p>
        </w:tc>
        <w:tc>
          <w:tcPr>
            <w:tcW w:w="764" w:type="dxa"/>
            <w:vAlign w:val="top"/>
          </w:tcPr>
          <w:p w14:paraId="066AFDF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5</w:t>
            </w:r>
          </w:p>
        </w:tc>
        <w:tc>
          <w:tcPr>
            <w:tcW w:w="980" w:type="dxa"/>
            <w:vAlign w:val="top"/>
          </w:tcPr>
          <w:p w14:paraId="4181994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787F1C1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劳务支出</w:t>
            </w:r>
          </w:p>
        </w:tc>
        <w:tc>
          <w:tcPr>
            <w:tcW w:w="672" w:type="dxa"/>
            <w:vAlign w:val="top"/>
          </w:tcPr>
          <w:p w14:paraId="113FE97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23</w:t>
            </w:r>
          </w:p>
        </w:tc>
        <w:tc>
          <w:tcPr>
            <w:tcW w:w="1200" w:type="dxa"/>
            <w:vAlign w:val="top"/>
          </w:tcPr>
          <w:p w14:paraId="3EDD8CE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2A842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42A3606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发包收入</w:t>
            </w:r>
          </w:p>
        </w:tc>
        <w:tc>
          <w:tcPr>
            <w:tcW w:w="764" w:type="dxa"/>
            <w:vAlign w:val="top"/>
          </w:tcPr>
          <w:p w14:paraId="4BF5ED3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6</w:t>
            </w:r>
          </w:p>
        </w:tc>
        <w:tc>
          <w:tcPr>
            <w:tcW w:w="980" w:type="dxa"/>
            <w:vAlign w:val="top"/>
          </w:tcPr>
          <w:p w14:paraId="577AC3E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6EB104B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672" w:type="dxa"/>
            <w:vAlign w:val="top"/>
          </w:tcPr>
          <w:p w14:paraId="7A160E9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24</w:t>
            </w:r>
          </w:p>
        </w:tc>
        <w:tc>
          <w:tcPr>
            <w:tcW w:w="1200" w:type="dxa"/>
            <w:vAlign w:val="top"/>
          </w:tcPr>
          <w:p w14:paraId="41790A8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30FD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68349CD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其他收入</w:t>
            </w:r>
          </w:p>
        </w:tc>
        <w:tc>
          <w:tcPr>
            <w:tcW w:w="764" w:type="dxa"/>
            <w:vAlign w:val="top"/>
          </w:tcPr>
          <w:p w14:paraId="41BBA29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7</w:t>
            </w:r>
          </w:p>
        </w:tc>
        <w:tc>
          <w:tcPr>
            <w:tcW w:w="980" w:type="dxa"/>
            <w:vAlign w:val="top"/>
          </w:tcPr>
          <w:p w14:paraId="7FC77D8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54310C4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2.</w:t>
            </w:r>
            <w:r>
              <w:rPr>
                <w:rFonts w:hint="default" w:ascii="Times New Roman" w:hAnsi="Times New Roman" w:eastAsia="仿宋_GB2312" w:cs="Times New Roman"/>
                <w:color w:val="000000" w:themeColor="text1"/>
                <w:sz w:val="24"/>
                <w:szCs w:val="24"/>
                <w14:textFill>
                  <w14:solidFill>
                    <w14:schemeClr w14:val="tx1"/>
                  </w14:solidFill>
                </w14:textFill>
              </w:rPr>
              <w:t>税金及附加</w:t>
            </w:r>
          </w:p>
        </w:tc>
        <w:tc>
          <w:tcPr>
            <w:tcW w:w="672" w:type="dxa"/>
            <w:vAlign w:val="top"/>
          </w:tcPr>
          <w:p w14:paraId="7639C6B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25</w:t>
            </w:r>
          </w:p>
        </w:tc>
        <w:tc>
          <w:tcPr>
            <w:tcW w:w="1200" w:type="dxa"/>
            <w:vAlign w:val="top"/>
          </w:tcPr>
          <w:p w14:paraId="56F0E30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2A1B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1B0C674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2.</w:t>
            </w:r>
            <w:r>
              <w:rPr>
                <w:rFonts w:hint="default" w:ascii="Times New Roman" w:hAnsi="Times New Roman" w:eastAsia="仿宋_GB2312" w:cs="Times New Roman"/>
                <w:color w:val="000000" w:themeColor="text1"/>
                <w:sz w:val="24"/>
                <w:szCs w:val="24"/>
                <w14:textFill>
                  <w14:solidFill>
                    <w14:schemeClr w14:val="tx1"/>
                  </w14:solidFill>
                </w14:textFill>
              </w:rPr>
              <w:t>投资收益</w:t>
            </w:r>
          </w:p>
        </w:tc>
        <w:tc>
          <w:tcPr>
            <w:tcW w:w="764" w:type="dxa"/>
            <w:vAlign w:val="top"/>
          </w:tcPr>
          <w:p w14:paraId="68FD185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8</w:t>
            </w:r>
          </w:p>
        </w:tc>
        <w:tc>
          <w:tcPr>
            <w:tcW w:w="980" w:type="dxa"/>
            <w:vAlign w:val="top"/>
          </w:tcPr>
          <w:p w14:paraId="5104164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114F399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3.</w:t>
            </w:r>
            <w:r>
              <w:rPr>
                <w:rFonts w:hint="default" w:ascii="Times New Roman" w:hAnsi="Times New Roman" w:eastAsia="仿宋_GB2312" w:cs="Times New Roman"/>
                <w:color w:val="000000" w:themeColor="text1"/>
                <w:sz w:val="24"/>
                <w:szCs w:val="24"/>
                <w14:textFill>
                  <w14:solidFill>
                    <w14:schemeClr w14:val="tx1"/>
                  </w14:solidFill>
                </w14:textFill>
              </w:rPr>
              <w:t>管理费用</w:t>
            </w:r>
          </w:p>
        </w:tc>
        <w:tc>
          <w:tcPr>
            <w:tcW w:w="672" w:type="dxa"/>
            <w:vAlign w:val="top"/>
          </w:tcPr>
          <w:p w14:paraId="524E869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26</w:t>
            </w:r>
          </w:p>
        </w:tc>
        <w:tc>
          <w:tcPr>
            <w:tcW w:w="1200" w:type="dxa"/>
            <w:vAlign w:val="top"/>
          </w:tcPr>
          <w:p w14:paraId="276CEF6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DC48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1EC07E0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股权投资</w:t>
            </w:r>
          </w:p>
        </w:tc>
        <w:tc>
          <w:tcPr>
            <w:tcW w:w="764" w:type="dxa"/>
            <w:vAlign w:val="top"/>
          </w:tcPr>
          <w:p w14:paraId="34BCC21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9</w:t>
            </w:r>
          </w:p>
        </w:tc>
        <w:tc>
          <w:tcPr>
            <w:tcW w:w="980" w:type="dxa"/>
            <w:vAlign w:val="top"/>
          </w:tcPr>
          <w:p w14:paraId="4068D88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3037496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管理人员报酬</w:t>
            </w:r>
          </w:p>
        </w:tc>
        <w:tc>
          <w:tcPr>
            <w:tcW w:w="672" w:type="dxa"/>
            <w:vAlign w:val="top"/>
          </w:tcPr>
          <w:p w14:paraId="794D303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27</w:t>
            </w:r>
          </w:p>
        </w:tc>
        <w:tc>
          <w:tcPr>
            <w:tcW w:w="1200" w:type="dxa"/>
            <w:vAlign w:val="top"/>
          </w:tcPr>
          <w:p w14:paraId="5BBAE82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5E4B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2B5FC58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债权投资</w:t>
            </w:r>
          </w:p>
        </w:tc>
        <w:tc>
          <w:tcPr>
            <w:tcW w:w="764" w:type="dxa"/>
            <w:vAlign w:val="top"/>
          </w:tcPr>
          <w:p w14:paraId="060125B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10</w:t>
            </w:r>
          </w:p>
        </w:tc>
        <w:tc>
          <w:tcPr>
            <w:tcW w:w="980" w:type="dxa"/>
            <w:vAlign w:val="top"/>
          </w:tcPr>
          <w:p w14:paraId="3AA1DAC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34EBA11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固定人员报酬</w:t>
            </w:r>
          </w:p>
        </w:tc>
        <w:tc>
          <w:tcPr>
            <w:tcW w:w="672" w:type="dxa"/>
            <w:vAlign w:val="top"/>
          </w:tcPr>
          <w:p w14:paraId="31A5651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28</w:t>
            </w:r>
          </w:p>
        </w:tc>
        <w:tc>
          <w:tcPr>
            <w:tcW w:w="1200" w:type="dxa"/>
            <w:vAlign w:val="top"/>
          </w:tcPr>
          <w:p w14:paraId="2A84F3A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7453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33C0CA0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764" w:type="dxa"/>
            <w:vAlign w:val="top"/>
          </w:tcPr>
          <w:p w14:paraId="2549B72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11</w:t>
            </w:r>
          </w:p>
        </w:tc>
        <w:tc>
          <w:tcPr>
            <w:tcW w:w="980" w:type="dxa"/>
            <w:vAlign w:val="top"/>
          </w:tcPr>
          <w:p w14:paraId="3794301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1819E9E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办公费用</w:t>
            </w:r>
          </w:p>
        </w:tc>
        <w:tc>
          <w:tcPr>
            <w:tcW w:w="672" w:type="dxa"/>
            <w:vAlign w:val="top"/>
          </w:tcPr>
          <w:p w14:paraId="1F0E358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29</w:t>
            </w:r>
          </w:p>
        </w:tc>
        <w:tc>
          <w:tcPr>
            <w:tcW w:w="1200" w:type="dxa"/>
            <w:vAlign w:val="top"/>
          </w:tcPr>
          <w:p w14:paraId="79A3B35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1417F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01FD874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3.</w:t>
            </w:r>
            <w:r>
              <w:rPr>
                <w:rFonts w:hint="default" w:ascii="Times New Roman" w:hAnsi="Times New Roman" w:eastAsia="仿宋_GB2312" w:cs="Times New Roman"/>
                <w:color w:val="000000" w:themeColor="text1"/>
                <w:sz w:val="24"/>
                <w:szCs w:val="24"/>
                <w14:textFill>
                  <w14:solidFill>
                    <w14:schemeClr w14:val="tx1"/>
                  </w14:solidFill>
                </w14:textFill>
              </w:rPr>
              <w:t>补助收入</w:t>
            </w:r>
          </w:p>
        </w:tc>
        <w:tc>
          <w:tcPr>
            <w:tcW w:w="764" w:type="dxa"/>
            <w:vAlign w:val="top"/>
          </w:tcPr>
          <w:p w14:paraId="53F5472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12</w:t>
            </w:r>
          </w:p>
        </w:tc>
        <w:tc>
          <w:tcPr>
            <w:tcW w:w="980" w:type="dxa"/>
            <w:vAlign w:val="top"/>
          </w:tcPr>
          <w:p w14:paraId="35027D4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4046F5A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报刊费用</w:t>
            </w:r>
          </w:p>
        </w:tc>
        <w:tc>
          <w:tcPr>
            <w:tcW w:w="672" w:type="dxa"/>
            <w:vAlign w:val="top"/>
          </w:tcPr>
          <w:p w14:paraId="21B5706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30</w:t>
            </w:r>
          </w:p>
        </w:tc>
        <w:tc>
          <w:tcPr>
            <w:tcW w:w="1200" w:type="dxa"/>
            <w:vAlign w:val="top"/>
          </w:tcPr>
          <w:p w14:paraId="02D5F13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107B7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5C6572E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财政补助收入</w:t>
            </w:r>
          </w:p>
        </w:tc>
        <w:tc>
          <w:tcPr>
            <w:tcW w:w="764" w:type="dxa"/>
            <w:vAlign w:val="top"/>
          </w:tcPr>
          <w:p w14:paraId="47B5F8C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13</w:t>
            </w:r>
          </w:p>
        </w:tc>
        <w:tc>
          <w:tcPr>
            <w:tcW w:w="980" w:type="dxa"/>
            <w:vAlign w:val="top"/>
          </w:tcPr>
          <w:p w14:paraId="2270BA9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1B94F2B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会议费用</w:t>
            </w:r>
          </w:p>
        </w:tc>
        <w:tc>
          <w:tcPr>
            <w:tcW w:w="672" w:type="dxa"/>
            <w:vAlign w:val="top"/>
          </w:tcPr>
          <w:p w14:paraId="4009B95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31</w:t>
            </w:r>
          </w:p>
        </w:tc>
        <w:tc>
          <w:tcPr>
            <w:tcW w:w="1200" w:type="dxa"/>
            <w:vAlign w:val="top"/>
          </w:tcPr>
          <w:p w14:paraId="58C78FC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11EA6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651D3E9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764" w:type="dxa"/>
            <w:vAlign w:val="top"/>
          </w:tcPr>
          <w:p w14:paraId="44EE006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14</w:t>
            </w:r>
          </w:p>
        </w:tc>
        <w:tc>
          <w:tcPr>
            <w:tcW w:w="980" w:type="dxa"/>
            <w:vAlign w:val="top"/>
          </w:tcPr>
          <w:p w14:paraId="71BAD6F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0119E9A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培训费用</w:t>
            </w:r>
          </w:p>
        </w:tc>
        <w:tc>
          <w:tcPr>
            <w:tcW w:w="672" w:type="dxa"/>
            <w:vAlign w:val="top"/>
          </w:tcPr>
          <w:p w14:paraId="72ADCF6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32</w:t>
            </w:r>
          </w:p>
        </w:tc>
        <w:tc>
          <w:tcPr>
            <w:tcW w:w="1200" w:type="dxa"/>
            <w:vAlign w:val="top"/>
          </w:tcPr>
          <w:p w14:paraId="0457B9E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51DC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70E3F24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4.</w:t>
            </w:r>
            <w:r>
              <w:rPr>
                <w:rFonts w:hint="default" w:ascii="Times New Roman" w:hAnsi="Times New Roman" w:eastAsia="仿宋_GB2312" w:cs="Times New Roman"/>
                <w:color w:val="000000" w:themeColor="text1"/>
                <w:sz w:val="24"/>
                <w:szCs w:val="24"/>
                <w14:textFill>
                  <w14:solidFill>
                    <w14:schemeClr w14:val="tx1"/>
                  </w14:solidFill>
                </w14:textFill>
              </w:rPr>
              <w:t>其他收入</w:t>
            </w:r>
          </w:p>
        </w:tc>
        <w:tc>
          <w:tcPr>
            <w:tcW w:w="764" w:type="dxa"/>
            <w:vAlign w:val="top"/>
          </w:tcPr>
          <w:p w14:paraId="2E866EC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15</w:t>
            </w:r>
          </w:p>
        </w:tc>
        <w:tc>
          <w:tcPr>
            <w:tcW w:w="980" w:type="dxa"/>
            <w:vAlign w:val="top"/>
          </w:tcPr>
          <w:p w14:paraId="13EABDC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3048AA4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宣传费用</w:t>
            </w:r>
          </w:p>
        </w:tc>
        <w:tc>
          <w:tcPr>
            <w:tcW w:w="672" w:type="dxa"/>
            <w:vAlign w:val="top"/>
          </w:tcPr>
          <w:p w14:paraId="283AB6E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33</w:t>
            </w:r>
          </w:p>
        </w:tc>
        <w:tc>
          <w:tcPr>
            <w:tcW w:w="1200" w:type="dxa"/>
            <w:vAlign w:val="top"/>
          </w:tcPr>
          <w:p w14:paraId="71689FC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2C323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4C071CC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利息收入</w:t>
            </w:r>
          </w:p>
        </w:tc>
        <w:tc>
          <w:tcPr>
            <w:tcW w:w="764" w:type="dxa"/>
            <w:vAlign w:val="top"/>
          </w:tcPr>
          <w:p w14:paraId="78D2908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16</w:t>
            </w:r>
          </w:p>
        </w:tc>
        <w:tc>
          <w:tcPr>
            <w:tcW w:w="980" w:type="dxa"/>
            <w:vAlign w:val="top"/>
          </w:tcPr>
          <w:p w14:paraId="058AFEF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49B0567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交通及差旅费</w:t>
            </w:r>
          </w:p>
        </w:tc>
        <w:tc>
          <w:tcPr>
            <w:tcW w:w="672" w:type="dxa"/>
            <w:vAlign w:val="top"/>
          </w:tcPr>
          <w:p w14:paraId="66E4FED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34</w:t>
            </w:r>
          </w:p>
        </w:tc>
        <w:tc>
          <w:tcPr>
            <w:tcW w:w="1200" w:type="dxa"/>
            <w:vAlign w:val="top"/>
          </w:tcPr>
          <w:p w14:paraId="687A63E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AB5C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7CD3DB0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资产盘盈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收益</w:t>
            </w:r>
          </w:p>
        </w:tc>
        <w:tc>
          <w:tcPr>
            <w:tcW w:w="764" w:type="dxa"/>
            <w:vAlign w:val="top"/>
          </w:tcPr>
          <w:p w14:paraId="08CF3E9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17</w:t>
            </w:r>
          </w:p>
        </w:tc>
        <w:tc>
          <w:tcPr>
            <w:tcW w:w="980" w:type="dxa"/>
            <w:vAlign w:val="top"/>
          </w:tcPr>
          <w:p w14:paraId="2E46CE6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0E55869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折旧费用</w:t>
            </w:r>
          </w:p>
        </w:tc>
        <w:tc>
          <w:tcPr>
            <w:tcW w:w="672" w:type="dxa"/>
            <w:vAlign w:val="top"/>
          </w:tcPr>
          <w:p w14:paraId="1F51D23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35</w:t>
            </w:r>
          </w:p>
        </w:tc>
        <w:tc>
          <w:tcPr>
            <w:tcW w:w="1200" w:type="dxa"/>
            <w:vAlign w:val="top"/>
          </w:tcPr>
          <w:p w14:paraId="2EA7AEC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1B454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5296C53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764" w:type="dxa"/>
            <w:vAlign w:val="top"/>
          </w:tcPr>
          <w:p w14:paraId="64C1A50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18</w:t>
            </w:r>
          </w:p>
        </w:tc>
        <w:tc>
          <w:tcPr>
            <w:tcW w:w="980" w:type="dxa"/>
            <w:vAlign w:val="top"/>
          </w:tcPr>
          <w:p w14:paraId="75A37B1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2A4DABD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无形资产摊销费用</w:t>
            </w:r>
          </w:p>
        </w:tc>
        <w:tc>
          <w:tcPr>
            <w:tcW w:w="672" w:type="dxa"/>
            <w:vAlign w:val="top"/>
          </w:tcPr>
          <w:p w14:paraId="3F4B1F1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36</w:t>
            </w:r>
          </w:p>
        </w:tc>
        <w:tc>
          <w:tcPr>
            <w:tcW w:w="1200" w:type="dxa"/>
            <w:vAlign w:val="top"/>
          </w:tcPr>
          <w:p w14:paraId="3947069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783B5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0A4C08F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二、公益公积金</w:t>
            </w:r>
          </w:p>
        </w:tc>
        <w:tc>
          <w:tcPr>
            <w:tcW w:w="764" w:type="dxa"/>
            <w:vAlign w:val="top"/>
          </w:tcPr>
          <w:p w14:paraId="3B3F89D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19</w:t>
            </w:r>
          </w:p>
        </w:tc>
        <w:tc>
          <w:tcPr>
            <w:tcW w:w="980" w:type="dxa"/>
            <w:vAlign w:val="top"/>
          </w:tcPr>
          <w:p w14:paraId="159ED42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27FA10E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维修费用</w:t>
            </w:r>
          </w:p>
        </w:tc>
        <w:tc>
          <w:tcPr>
            <w:tcW w:w="672" w:type="dxa"/>
            <w:vAlign w:val="top"/>
          </w:tcPr>
          <w:p w14:paraId="37B862C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37</w:t>
            </w:r>
          </w:p>
        </w:tc>
        <w:tc>
          <w:tcPr>
            <w:tcW w:w="1200" w:type="dxa"/>
            <w:vAlign w:val="top"/>
          </w:tcPr>
          <w:p w14:paraId="0A891BF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337D9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7B91D88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4590D3D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20</w:t>
            </w:r>
          </w:p>
        </w:tc>
        <w:tc>
          <w:tcPr>
            <w:tcW w:w="980" w:type="dxa"/>
            <w:vAlign w:val="top"/>
          </w:tcPr>
          <w:p w14:paraId="29A7EB5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03D3486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项目支出</w:t>
            </w:r>
          </w:p>
        </w:tc>
        <w:tc>
          <w:tcPr>
            <w:tcW w:w="672" w:type="dxa"/>
            <w:vAlign w:val="top"/>
          </w:tcPr>
          <w:p w14:paraId="55F2870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38</w:t>
            </w:r>
          </w:p>
        </w:tc>
        <w:tc>
          <w:tcPr>
            <w:tcW w:w="1200" w:type="dxa"/>
            <w:vAlign w:val="top"/>
          </w:tcPr>
          <w:p w14:paraId="5E56D95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8350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02E614D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2B6579B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21</w:t>
            </w:r>
          </w:p>
        </w:tc>
        <w:tc>
          <w:tcPr>
            <w:tcW w:w="980" w:type="dxa"/>
            <w:vAlign w:val="top"/>
          </w:tcPr>
          <w:p w14:paraId="122E77E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2D88716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672" w:type="dxa"/>
            <w:vAlign w:val="top"/>
          </w:tcPr>
          <w:p w14:paraId="6584759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39</w:t>
            </w:r>
          </w:p>
        </w:tc>
        <w:tc>
          <w:tcPr>
            <w:tcW w:w="1200" w:type="dxa"/>
            <w:vAlign w:val="top"/>
          </w:tcPr>
          <w:p w14:paraId="06866FE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1FFB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7C4CD8D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3F39E99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22</w:t>
            </w:r>
          </w:p>
        </w:tc>
        <w:tc>
          <w:tcPr>
            <w:tcW w:w="980" w:type="dxa"/>
            <w:vAlign w:val="top"/>
          </w:tcPr>
          <w:p w14:paraId="32A2EBD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623DD80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4.</w:t>
            </w:r>
            <w:r>
              <w:rPr>
                <w:rFonts w:hint="default" w:ascii="Times New Roman" w:hAnsi="Times New Roman" w:eastAsia="仿宋_GB2312" w:cs="Times New Roman"/>
                <w:color w:val="000000" w:themeColor="text1"/>
                <w:sz w:val="24"/>
                <w:szCs w:val="24"/>
                <w14:textFill>
                  <w14:solidFill>
                    <w14:schemeClr w14:val="tx1"/>
                  </w14:solidFill>
                </w14:textFill>
              </w:rPr>
              <w:t>公益支出</w:t>
            </w:r>
          </w:p>
        </w:tc>
        <w:tc>
          <w:tcPr>
            <w:tcW w:w="672" w:type="dxa"/>
            <w:vAlign w:val="top"/>
          </w:tcPr>
          <w:p w14:paraId="78138CC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40</w:t>
            </w:r>
          </w:p>
        </w:tc>
        <w:tc>
          <w:tcPr>
            <w:tcW w:w="1200" w:type="dxa"/>
            <w:vAlign w:val="top"/>
          </w:tcPr>
          <w:p w14:paraId="41B05FD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724C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5DB1E84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4435F3E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23</w:t>
            </w:r>
          </w:p>
        </w:tc>
        <w:tc>
          <w:tcPr>
            <w:tcW w:w="980" w:type="dxa"/>
            <w:vAlign w:val="top"/>
          </w:tcPr>
          <w:p w14:paraId="2E197E9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2386A1C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5.</w:t>
            </w:r>
            <w:r>
              <w:rPr>
                <w:rFonts w:hint="default" w:ascii="Times New Roman" w:hAnsi="Times New Roman" w:eastAsia="仿宋_GB2312" w:cs="Times New Roman"/>
                <w:color w:val="000000" w:themeColor="text1"/>
                <w:sz w:val="24"/>
                <w:szCs w:val="24"/>
                <w14:textFill>
                  <w14:solidFill>
                    <w14:schemeClr w14:val="tx1"/>
                  </w14:solidFill>
                </w14:textFill>
              </w:rPr>
              <w:t>其他支出</w:t>
            </w:r>
          </w:p>
        </w:tc>
        <w:tc>
          <w:tcPr>
            <w:tcW w:w="672" w:type="dxa"/>
            <w:vAlign w:val="top"/>
          </w:tcPr>
          <w:p w14:paraId="1218E10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41</w:t>
            </w:r>
          </w:p>
        </w:tc>
        <w:tc>
          <w:tcPr>
            <w:tcW w:w="1200" w:type="dxa"/>
            <w:vAlign w:val="top"/>
          </w:tcPr>
          <w:p w14:paraId="207C3A0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793E3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792CE7D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3FB5D8E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24</w:t>
            </w:r>
          </w:p>
        </w:tc>
        <w:tc>
          <w:tcPr>
            <w:tcW w:w="980" w:type="dxa"/>
            <w:vAlign w:val="top"/>
          </w:tcPr>
          <w:p w14:paraId="0D56757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4F59F41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利息支出</w:t>
            </w:r>
          </w:p>
        </w:tc>
        <w:tc>
          <w:tcPr>
            <w:tcW w:w="672" w:type="dxa"/>
            <w:vAlign w:val="top"/>
          </w:tcPr>
          <w:p w14:paraId="404601D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42</w:t>
            </w:r>
          </w:p>
        </w:tc>
        <w:tc>
          <w:tcPr>
            <w:tcW w:w="1200" w:type="dxa"/>
            <w:vAlign w:val="top"/>
          </w:tcPr>
          <w:p w14:paraId="355163B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2EC0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69FCBE5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4BBDDE1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25</w:t>
            </w:r>
          </w:p>
        </w:tc>
        <w:tc>
          <w:tcPr>
            <w:tcW w:w="980" w:type="dxa"/>
            <w:vAlign w:val="top"/>
          </w:tcPr>
          <w:p w14:paraId="00D704F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0F58DAA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资产损失</w:t>
            </w:r>
          </w:p>
        </w:tc>
        <w:tc>
          <w:tcPr>
            <w:tcW w:w="672" w:type="dxa"/>
            <w:vAlign w:val="top"/>
          </w:tcPr>
          <w:p w14:paraId="42209B9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43</w:t>
            </w:r>
          </w:p>
        </w:tc>
        <w:tc>
          <w:tcPr>
            <w:tcW w:w="1200" w:type="dxa"/>
            <w:vAlign w:val="top"/>
          </w:tcPr>
          <w:p w14:paraId="5BB5E31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7225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2B7CED2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760BF92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26</w:t>
            </w:r>
          </w:p>
        </w:tc>
        <w:tc>
          <w:tcPr>
            <w:tcW w:w="980" w:type="dxa"/>
            <w:vAlign w:val="top"/>
          </w:tcPr>
          <w:p w14:paraId="3DD9536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0E30331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672" w:type="dxa"/>
            <w:vAlign w:val="top"/>
          </w:tcPr>
          <w:p w14:paraId="11C0C2C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44</w:t>
            </w:r>
          </w:p>
        </w:tc>
        <w:tc>
          <w:tcPr>
            <w:tcW w:w="1200" w:type="dxa"/>
            <w:vAlign w:val="top"/>
          </w:tcPr>
          <w:p w14:paraId="4746A8D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A71A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2CA3E39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30E4B83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27</w:t>
            </w:r>
          </w:p>
        </w:tc>
        <w:tc>
          <w:tcPr>
            <w:tcW w:w="980" w:type="dxa"/>
            <w:vAlign w:val="top"/>
          </w:tcPr>
          <w:p w14:paraId="79F2458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4DF9315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6</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szCs w:val="24"/>
                <w14:textFill>
                  <w14:solidFill>
                    <w14:schemeClr w14:val="tx1"/>
                  </w14:solidFill>
                </w14:textFill>
              </w:rPr>
              <w:t>所得税费用</w:t>
            </w:r>
          </w:p>
        </w:tc>
        <w:tc>
          <w:tcPr>
            <w:tcW w:w="672" w:type="dxa"/>
            <w:vAlign w:val="top"/>
          </w:tcPr>
          <w:p w14:paraId="29737CB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45</w:t>
            </w:r>
          </w:p>
        </w:tc>
        <w:tc>
          <w:tcPr>
            <w:tcW w:w="1200" w:type="dxa"/>
            <w:vAlign w:val="top"/>
          </w:tcPr>
          <w:p w14:paraId="544B1EE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8C99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56" w:type="dxa"/>
            <w:vAlign w:val="top"/>
          </w:tcPr>
          <w:p w14:paraId="37172A6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64" w:type="dxa"/>
            <w:vAlign w:val="top"/>
          </w:tcPr>
          <w:p w14:paraId="1541FE3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28</w:t>
            </w:r>
          </w:p>
        </w:tc>
        <w:tc>
          <w:tcPr>
            <w:tcW w:w="980" w:type="dxa"/>
            <w:vAlign w:val="top"/>
          </w:tcPr>
          <w:p w14:paraId="14EE4E2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436" w:type="dxa"/>
            <w:vAlign w:val="top"/>
          </w:tcPr>
          <w:p w14:paraId="0F419E0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三、全年收益</w:t>
            </w:r>
          </w:p>
        </w:tc>
        <w:tc>
          <w:tcPr>
            <w:tcW w:w="672" w:type="dxa"/>
            <w:vAlign w:val="top"/>
          </w:tcPr>
          <w:p w14:paraId="7EC8F18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46</w:t>
            </w:r>
          </w:p>
        </w:tc>
        <w:tc>
          <w:tcPr>
            <w:tcW w:w="1200" w:type="dxa"/>
            <w:vAlign w:val="top"/>
          </w:tcPr>
          <w:p w14:paraId="7F7A0B0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37355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3900" w:type="dxa"/>
            <w:gridSpan w:val="3"/>
            <w:vAlign w:val="top"/>
          </w:tcPr>
          <w:p w14:paraId="5C95F4F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单位负责人：</w:t>
            </w:r>
          </w:p>
        </w:tc>
        <w:tc>
          <w:tcPr>
            <w:tcW w:w="4308" w:type="dxa"/>
            <w:gridSpan w:val="3"/>
            <w:vAlign w:val="top"/>
          </w:tcPr>
          <w:p w14:paraId="0D829EB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编制日期：</w:t>
            </w:r>
          </w:p>
        </w:tc>
      </w:tr>
      <w:tr w14:paraId="1B90C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3900" w:type="dxa"/>
            <w:gridSpan w:val="3"/>
            <w:vAlign w:val="top"/>
          </w:tcPr>
          <w:p w14:paraId="6D2937A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单位盖章</w:t>
            </w:r>
          </w:p>
        </w:tc>
        <w:tc>
          <w:tcPr>
            <w:tcW w:w="4308" w:type="dxa"/>
            <w:gridSpan w:val="3"/>
            <w:vAlign w:val="top"/>
          </w:tcPr>
          <w:p w14:paraId="7C8BEA4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bl>
    <w:p w14:paraId="2EF71A32">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eastAsia" w:ascii="Times New Roman" w:hAnsi="Times New Roman" w:eastAsia="黑体" w:cs="Times New Roman"/>
          <w:color w:val="000000" w:themeColor="text1"/>
          <w:sz w:val="32"/>
          <w:szCs w:val="32"/>
          <w:lang w:eastAsia="zh-CN"/>
          <w14:textFill>
            <w14:solidFill>
              <w14:schemeClr w14:val="tx1"/>
            </w14:solidFill>
          </w14:textFill>
        </w:rPr>
        <w:t>：</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1-2</w:t>
      </w:r>
    </w:p>
    <w:p w14:paraId="01D974C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村（社区）集体</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经济组织</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xx年度预算调整明细表</w:t>
      </w:r>
    </w:p>
    <w:p w14:paraId="0C0D1C6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4D08CE1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申请单位（盖章）：          申请时间：             单位：元</w:t>
      </w:r>
    </w:p>
    <w:p w14:paraId="70B9109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bl>
      <w:tblPr>
        <w:tblStyle w:val="6"/>
        <w:tblW w:w="8240" w:type="dxa"/>
        <w:tblInd w:w="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4"/>
        <w:gridCol w:w="2088"/>
        <w:gridCol w:w="1302"/>
        <w:gridCol w:w="1890"/>
        <w:gridCol w:w="1200"/>
        <w:gridCol w:w="936"/>
      </w:tblGrid>
      <w:tr w14:paraId="7DA4A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824" w:type="dxa"/>
            <w:vAlign w:val="center"/>
          </w:tcPr>
          <w:p w14:paraId="7C386B1F">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序号</w:t>
            </w:r>
          </w:p>
        </w:tc>
        <w:tc>
          <w:tcPr>
            <w:tcW w:w="2088" w:type="dxa"/>
            <w:vAlign w:val="center"/>
          </w:tcPr>
          <w:p w14:paraId="28EA61D7">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项目明细</w:t>
            </w:r>
          </w:p>
        </w:tc>
        <w:tc>
          <w:tcPr>
            <w:tcW w:w="1302" w:type="dxa"/>
            <w:vAlign w:val="center"/>
          </w:tcPr>
          <w:p w14:paraId="6406F52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计划数</w:t>
            </w:r>
          </w:p>
        </w:tc>
        <w:tc>
          <w:tcPr>
            <w:tcW w:w="1890" w:type="dxa"/>
            <w:vAlign w:val="center"/>
          </w:tcPr>
          <w:p w14:paraId="4393E95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调整额度（调增+、调减</w:t>
            </w:r>
            <w:r>
              <w:rPr>
                <w:rFonts w:hint="eastAsia" w:ascii="黑体" w:hAnsi="黑体" w:eastAsia="黑体" w:cs="黑体"/>
                <w:color w:val="000000" w:themeColor="text1"/>
                <w:sz w:val="28"/>
                <w:szCs w:val="28"/>
                <w:lang w:eastAsia="zh-CN"/>
                <w14:textFill>
                  <w14:solidFill>
                    <w14:schemeClr w14:val="tx1"/>
                  </w14:solidFill>
                </w14:textFill>
              </w:rPr>
              <w:t>－</w:t>
            </w:r>
            <w:r>
              <w:rPr>
                <w:rFonts w:hint="eastAsia" w:ascii="黑体" w:hAnsi="黑体" w:eastAsia="黑体" w:cs="黑体"/>
                <w:color w:val="000000" w:themeColor="text1"/>
                <w:sz w:val="28"/>
                <w:szCs w:val="28"/>
                <w14:textFill>
                  <w14:solidFill>
                    <w14:schemeClr w14:val="tx1"/>
                  </w14:solidFill>
                </w14:textFill>
              </w:rPr>
              <w:t>）</w:t>
            </w:r>
          </w:p>
        </w:tc>
        <w:tc>
          <w:tcPr>
            <w:tcW w:w="1200" w:type="dxa"/>
            <w:vAlign w:val="center"/>
          </w:tcPr>
          <w:p w14:paraId="45971C0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调整后计划数</w:t>
            </w:r>
          </w:p>
        </w:tc>
        <w:tc>
          <w:tcPr>
            <w:tcW w:w="936" w:type="dxa"/>
            <w:vAlign w:val="center"/>
          </w:tcPr>
          <w:p w14:paraId="26710919">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备注</w:t>
            </w:r>
          </w:p>
        </w:tc>
      </w:tr>
      <w:tr w14:paraId="102FD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824" w:type="dxa"/>
            <w:vAlign w:val="top"/>
          </w:tcPr>
          <w:p w14:paraId="53D407A7">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2088" w:type="dxa"/>
            <w:vAlign w:val="top"/>
          </w:tcPr>
          <w:p w14:paraId="05FE867F">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302" w:type="dxa"/>
            <w:vAlign w:val="top"/>
          </w:tcPr>
          <w:p w14:paraId="3A93D4D2">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890" w:type="dxa"/>
            <w:vAlign w:val="top"/>
          </w:tcPr>
          <w:p w14:paraId="279AADB8">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200" w:type="dxa"/>
            <w:vAlign w:val="top"/>
          </w:tcPr>
          <w:p w14:paraId="51CDCD7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936" w:type="dxa"/>
            <w:vAlign w:val="top"/>
          </w:tcPr>
          <w:p w14:paraId="008D1415">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12C2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824" w:type="dxa"/>
            <w:vAlign w:val="top"/>
          </w:tcPr>
          <w:p w14:paraId="501CE676">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2088" w:type="dxa"/>
            <w:vAlign w:val="top"/>
          </w:tcPr>
          <w:p w14:paraId="46A88D5F">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302" w:type="dxa"/>
            <w:vAlign w:val="top"/>
          </w:tcPr>
          <w:p w14:paraId="732813D6">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890" w:type="dxa"/>
            <w:vAlign w:val="top"/>
          </w:tcPr>
          <w:p w14:paraId="3DE468B8">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200" w:type="dxa"/>
            <w:vAlign w:val="top"/>
          </w:tcPr>
          <w:p w14:paraId="3A8070F9">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936" w:type="dxa"/>
            <w:vAlign w:val="top"/>
          </w:tcPr>
          <w:p w14:paraId="4AADB0E9">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0C34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24" w:type="dxa"/>
            <w:vAlign w:val="top"/>
          </w:tcPr>
          <w:p w14:paraId="4E535BA1">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2088" w:type="dxa"/>
            <w:vAlign w:val="top"/>
          </w:tcPr>
          <w:p w14:paraId="1F7738B1">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302" w:type="dxa"/>
            <w:vAlign w:val="top"/>
          </w:tcPr>
          <w:p w14:paraId="28347E4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890" w:type="dxa"/>
            <w:vAlign w:val="top"/>
          </w:tcPr>
          <w:p w14:paraId="3F6CDAC6">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200" w:type="dxa"/>
            <w:vAlign w:val="top"/>
          </w:tcPr>
          <w:p w14:paraId="45C3262C">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936" w:type="dxa"/>
            <w:vAlign w:val="top"/>
          </w:tcPr>
          <w:p w14:paraId="2C49C6EC">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716A2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2912" w:type="dxa"/>
            <w:gridSpan w:val="2"/>
            <w:vAlign w:val="top"/>
          </w:tcPr>
          <w:p w14:paraId="42859E0B">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237579AE">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合计</w:t>
            </w:r>
          </w:p>
        </w:tc>
        <w:tc>
          <w:tcPr>
            <w:tcW w:w="1302" w:type="dxa"/>
            <w:vAlign w:val="top"/>
          </w:tcPr>
          <w:p w14:paraId="769389C6">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890" w:type="dxa"/>
            <w:vAlign w:val="top"/>
          </w:tcPr>
          <w:p w14:paraId="3F934FEC">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1200" w:type="dxa"/>
            <w:vAlign w:val="top"/>
          </w:tcPr>
          <w:p w14:paraId="1BBBB94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936" w:type="dxa"/>
            <w:vAlign w:val="top"/>
          </w:tcPr>
          <w:p w14:paraId="6B0EF830">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01299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trPr>
        <w:tc>
          <w:tcPr>
            <w:tcW w:w="2912" w:type="dxa"/>
            <w:gridSpan w:val="2"/>
            <w:vAlign w:val="center"/>
          </w:tcPr>
          <w:p w14:paraId="2628CFC5">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村（居）“两委”或理事会意见</w:t>
            </w:r>
          </w:p>
        </w:tc>
        <w:tc>
          <w:tcPr>
            <w:tcW w:w="5328" w:type="dxa"/>
            <w:gridSpan w:val="4"/>
            <w:vAlign w:val="top"/>
          </w:tcPr>
          <w:p w14:paraId="02D036F8">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01909A46">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046CB3CC">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会议成员签字：</w:t>
            </w:r>
          </w:p>
          <w:p w14:paraId="0F289522">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年   月   日</w:t>
            </w:r>
          </w:p>
        </w:tc>
      </w:tr>
      <w:tr w14:paraId="45354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2912" w:type="dxa"/>
            <w:gridSpan w:val="2"/>
            <w:vAlign w:val="center"/>
          </w:tcPr>
          <w:p w14:paraId="12521E9F">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村（居）务监督委员会（监事会）意见</w:t>
            </w:r>
          </w:p>
        </w:tc>
        <w:tc>
          <w:tcPr>
            <w:tcW w:w="5328" w:type="dxa"/>
            <w:gridSpan w:val="4"/>
            <w:vAlign w:val="top"/>
          </w:tcPr>
          <w:p w14:paraId="7F387AD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458D2477">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218BED6F">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会议成员签字：</w:t>
            </w:r>
          </w:p>
          <w:p w14:paraId="5916ACCA">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年   月   日</w:t>
            </w:r>
          </w:p>
        </w:tc>
      </w:tr>
      <w:tr w14:paraId="00A75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3" w:hRule="atLeast"/>
        </w:trPr>
        <w:tc>
          <w:tcPr>
            <w:tcW w:w="2912" w:type="dxa"/>
            <w:gridSpan w:val="2"/>
            <w:vAlign w:val="center"/>
          </w:tcPr>
          <w:p w14:paraId="7DD536D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村（居）民（代表）大会或集体经济组织成员（代表）大会意</w:t>
            </w:r>
          </w:p>
          <w:p w14:paraId="3CD5B808">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见（附决议，签到表，</w:t>
            </w:r>
          </w:p>
          <w:p w14:paraId="4184AB0D">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会议照片）</w:t>
            </w:r>
          </w:p>
        </w:tc>
        <w:tc>
          <w:tcPr>
            <w:tcW w:w="5328" w:type="dxa"/>
            <w:gridSpan w:val="4"/>
            <w:vAlign w:val="top"/>
          </w:tcPr>
          <w:p w14:paraId="0BD6D914">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69F21997">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7AE6F119">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3DE3C488">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170F6032">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17D4F8DD">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2E7AD17A">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村（社区）集体负责人签字：</w:t>
            </w:r>
          </w:p>
          <w:p w14:paraId="445EB337">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年   月   日</w:t>
            </w:r>
          </w:p>
        </w:tc>
      </w:tr>
    </w:tbl>
    <w:p w14:paraId="7F87D245">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6D94A1A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_GB2312" w:hAnsi="仿宋_GB2312" w:eastAsia="仿宋_GB2312" w:cs="仿宋_GB2312"/>
          <w:color w:val="000000" w:themeColor="text1"/>
          <w:sz w:val="28"/>
          <w:szCs w:val="28"/>
          <w14:textFill>
            <w14:solidFill>
              <w14:schemeClr w14:val="tx1"/>
            </w14:solidFill>
          </w14:textFill>
        </w:rPr>
        <w:sectPr>
          <w:footerReference r:id="rId7" w:type="default"/>
          <w:pgSz w:w="11905" w:h="16838"/>
          <w:pgMar w:top="1440" w:right="1800" w:bottom="1440" w:left="1800" w:header="0" w:footer="968" w:gutter="0"/>
          <w:pgNumType w:fmt="decimal"/>
          <w:cols w:space="720" w:num="1"/>
        </w:sectPr>
      </w:pPr>
    </w:p>
    <w:p w14:paraId="74C00656">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eastAsia" w:ascii="Times New Roman" w:hAnsi="Times New Roman" w:eastAsia="黑体" w:cs="Times New Roman"/>
          <w:color w:val="000000" w:themeColor="text1"/>
          <w:sz w:val="32"/>
          <w:szCs w:val="32"/>
          <w:lang w:eastAsia="zh-CN"/>
          <w14:textFill>
            <w14:solidFill>
              <w14:schemeClr w14:val="tx1"/>
            </w14:solidFill>
          </w14:textFill>
        </w:rPr>
        <w:t>：</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1-3</w:t>
      </w:r>
    </w:p>
    <w:p w14:paraId="752E3EBC">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村（社区）集体</w:t>
      </w:r>
      <w:r>
        <w:rPr>
          <w:rFonts w:hint="eastAsia" w:ascii="方正小标宋简体" w:hAnsi="方正小标宋简体" w:eastAsia="方正小标宋简体" w:cs="方正小标宋简体"/>
          <w:color w:val="000000" w:themeColor="text1"/>
          <w:sz w:val="32"/>
          <w:szCs w:val="32"/>
          <w:lang w:val="en-US" w:eastAsia="zh-CN"/>
          <w14:textFill>
            <w14:solidFill>
              <w14:schemeClr w14:val="tx1"/>
            </w14:solidFill>
          </w14:textFill>
        </w:rPr>
        <w:t>经济组织</w:t>
      </w: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xx年度决算收支明细表</w:t>
      </w:r>
    </w:p>
    <w:p w14:paraId="7E9B85EB">
      <w:pPr>
        <w:keepNext w:val="0"/>
        <w:keepLines w:val="0"/>
        <w:pageBreakBefore w:val="0"/>
        <w:widowControl/>
        <w:kinsoku w:val="0"/>
        <w:wordWrap/>
        <w:overflowPunct/>
        <w:topLinePunct w:val="0"/>
        <w:autoSpaceDE w:val="0"/>
        <w:autoSpaceDN w:val="0"/>
        <w:bidi w:val="0"/>
        <w:adjustRightInd w:val="0"/>
        <w:snapToGrid w:val="0"/>
        <w:spacing w:line="440" w:lineRule="exact"/>
        <w:jc w:val="right"/>
        <w:textAlignment w:val="baseline"/>
        <w:rPr>
          <w:rFonts w:hint="eastAsia" w:ascii="方正小标宋简体" w:hAnsi="方正小标宋简体" w:eastAsia="方正小标宋简体" w:cs="方正小标宋简体"/>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 xml:space="preserve">单位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14:textFill>
            <w14:solidFill>
              <w14:schemeClr w14:val="tx1"/>
            </w14:solidFill>
          </w14:textFill>
        </w:rPr>
        <w:t>元</w:t>
      </w:r>
    </w:p>
    <w:tbl>
      <w:tblPr>
        <w:tblStyle w:val="6"/>
        <w:tblW w:w="838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41"/>
        <w:gridCol w:w="689"/>
        <w:gridCol w:w="924"/>
        <w:gridCol w:w="2928"/>
        <w:gridCol w:w="792"/>
        <w:gridCol w:w="1008"/>
      </w:tblGrid>
      <w:tr w14:paraId="274C1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3654" w:type="dxa"/>
            <w:gridSpan w:val="3"/>
            <w:vAlign w:val="top"/>
          </w:tcPr>
          <w:p w14:paraId="0118B47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核算单位：</w:t>
            </w:r>
          </w:p>
        </w:tc>
        <w:tc>
          <w:tcPr>
            <w:tcW w:w="4728" w:type="dxa"/>
            <w:gridSpan w:val="3"/>
            <w:vAlign w:val="top"/>
          </w:tcPr>
          <w:p w14:paraId="281A050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会计期次</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w:t>
            </w:r>
            <w:r>
              <w:rPr>
                <w:rFonts w:hint="default" w:ascii="Times New Roman" w:hAnsi="Times New Roman" w:eastAsia="仿宋_GB2312" w:cs="Times New Roman"/>
                <w:color w:val="000000" w:themeColor="text1"/>
                <w:sz w:val="24"/>
                <w:szCs w:val="24"/>
                <w14:textFill>
                  <w14:solidFill>
                    <w14:schemeClr w14:val="tx1"/>
                  </w14:solidFill>
                </w14:textFill>
              </w:rPr>
              <w:t xml:space="preserve">            年     </w:t>
            </w:r>
          </w:p>
        </w:tc>
      </w:tr>
      <w:tr w14:paraId="78CAE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tcBorders>
              <w:left w:val="single" w:color="000000" w:sz="6" w:space="0"/>
            </w:tcBorders>
            <w:vAlign w:val="top"/>
          </w:tcPr>
          <w:p w14:paraId="052E179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项目明细</w:t>
            </w:r>
          </w:p>
        </w:tc>
        <w:tc>
          <w:tcPr>
            <w:tcW w:w="689" w:type="dxa"/>
            <w:vAlign w:val="top"/>
          </w:tcPr>
          <w:p w14:paraId="56CEB90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行次</w:t>
            </w:r>
          </w:p>
        </w:tc>
        <w:tc>
          <w:tcPr>
            <w:tcW w:w="924" w:type="dxa"/>
            <w:vAlign w:val="top"/>
          </w:tcPr>
          <w:p w14:paraId="6ADFBD7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年度</w:t>
            </w:r>
          </w:p>
        </w:tc>
        <w:tc>
          <w:tcPr>
            <w:tcW w:w="2928" w:type="dxa"/>
            <w:vAlign w:val="top"/>
          </w:tcPr>
          <w:p w14:paraId="072B803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项目明细</w:t>
            </w:r>
          </w:p>
        </w:tc>
        <w:tc>
          <w:tcPr>
            <w:tcW w:w="792" w:type="dxa"/>
            <w:vAlign w:val="top"/>
          </w:tcPr>
          <w:p w14:paraId="636D028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行次</w:t>
            </w:r>
          </w:p>
        </w:tc>
        <w:tc>
          <w:tcPr>
            <w:tcW w:w="1008" w:type="dxa"/>
            <w:vAlign w:val="top"/>
          </w:tcPr>
          <w:p w14:paraId="6021287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年度</w:t>
            </w:r>
          </w:p>
        </w:tc>
      </w:tr>
      <w:tr w14:paraId="423F4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67B2F13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一、全年收入</w:t>
            </w:r>
          </w:p>
        </w:tc>
        <w:tc>
          <w:tcPr>
            <w:tcW w:w="689" w:type="dxa"/>
            <w:vAlign w:val="top"/>
          </w:tcPr>
          <w:p w14:paraId="09FB3B5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w:t>
            </w:r>
          </w:p>
        </w:tc>
        <w:tc>
          <w:tcPr>
            <w:tcW w:w="924" w:type="dxa"/>
            <w:vAlign w:val="top"/>
          </w:tcPr>
          <w:p w14:paraId="52EFC7B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740A4D2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二、全年支出</w:t>
            </w:r>
          </w:p>
        </w:tc>
        <w:tc>
          <w:tcPr>
            <w:tcW w:w="792" w:type="dxa"/>
            <w:vAlign w:val="top"/>
          </w:tcPr>
          <w:p w14:paraId="0F2CDD1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19</w:t>
            </w:r>
          </w:p>
        </w:tc>
        <w:tc>
          <w:tcPr>
            <w:tcW w:w="1008" w:type="dxa"/>
            <w:vAlign w:val="top"/>
          </w:tcPr>
          <w:p w14:paraId="7117841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60A9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2533256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1.</w:t>
            </w:r>
            <w:r>
              <w:rPr>
                <w:rFonts w:hint="default" w:ascii="Times New Roman" w:hAnsi="Times New Roman" w:eastAsia="仿宋_GB2312" w:cs="Times New Roman"/>
                <w:color w:val="000000" w:themeColor="text1"/>
                <w:sz w:val="24"/>
                <w:szCs w:val="24"/>
                <w14:textFill>
                  <w14:solidFill>
                    <w14:schemeClr w14:val="tx1"/>
                  </w14:solidFill>
                </w14:textFill>
              </w:rPr>
              <w:t>经营收入</w:t>
            </w:r>
          </w:p>
        </w:tc>
        <w:tc>
          <w:tcPr>
            <w:tcW w:w="689" w:type="dxa"/>
            <w:vAlign w:val="top"/>
          </w:tcPr>
          <w:p w14:paraId="2BA100D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w:t>
            </w:r>
          </w:p>
        </w:tc>
        <w:tc>
          <w:tcPr>
            <w:tcW w:w="924" w:type="dxa"/>
            <w:vAlign w:val="top"/>
          </w:tcPr>
          <w:p w14:paraId="5FC59E5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3809D53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1.</w:t>
            </w:r>
            <w:r>
              <w:rPr>
                <w:rFonts w:hint="default" w:ascii="Times New Roman" w:hAnsi="Times New Roman" w:eastAsia="仿宋_GB2312" w:cs="Times New Roman"/>
                <w:color w:val="000000" w:themeColor="text1"/>
                <w:sz w:val="24"/>
                <w:szCs w:val="24"/>
                <w14:textFill>
                  <w14:solidFill>
                    <w14:schemeClr w14:val="tx1"/>
                  </w14:solidFill>
                </w14:textFill>
              </w:rPr>
              <w:t>经营支出</w:t>
            </w:r>
          </w:p>
        </w:tc>
        <w:tc>
          <w:tcPr>
            <w:tcW w:w="792" w:type="dxa"/>
            <w:vAlign w:val="top"/>
          </w:tcPr>
          <w:p w14:paraId="588861C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20</w:t>
            </w:r>
          </w:p>
        </w:tc>
        <w:tc>
          <w:tcPr>
            <w:tcW w:w="1008" w:type="dxa"/>
            <w:vAlign w:val="top"/>
          </w:tcPr>
          <w:p w14:paraId="4FA47EF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AB79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72CC2C5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销售收入</w:t>
            </w:r>
          </w:p>
        </w:tc>
        <w:tc>
          <w:tcPr>
            <w:tcW w:w="689" w:type="dxa"/>
            <w:vAlign w:val="top"/>
          </w:tcPr>
          <w:p w14:paraId="16E3FDF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w:t>
            </w:r>
          </w:p>
        </w:tc>
        <w:tc>
          <w:tcPr>
            <w:tcW w:w="924" w:type="dxa"/>
            <w:vAlign w:val="top"/>
          </w:tcPr>
          <w:p w14:paraId="19DD036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4414D4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生产</w:t>
            </w:r>
            <w:r>
              <w:rPr>
                <w:rFonts w:hint="default" w:ascii="Times New Roman" w:hAnsi="Times New Roman" w:eastAsia="仿宋_GB2312" w:cs="Times New Roman"/>
                <w:color w:val="000000" w:themeColor="text1"/>
                <w:sz w:val="24"/>
                <w:szCs w:val="24"/>
                <w14:textFill>
                  <w14:solidFill>
                    <w14:schemeClr w14:val="tx1"/>
                  </w14:solidFill>
                </w14:textFill>
              </w:rPr>
              <w:t>支出</w:t>
            </w:r>
          </w:p>
        </w:tc>
        <w:tc>
          <w:tcPr>
            <w:tcW w:w="792" w:type="dxa"/>
            <w:vAlign w:val="top"/>
          </w:tcPr>
          <w:p w14:paraId="73A3B58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21</w:t>
            </w:r>
          </w:p>
        </w:tc>
        <w:tc>
          <w:tcPr>
            <w:tcW w:w="1008" w:type="dxa"/>
            <w:vAlign w:val="top"/>
          </w:tcPr>
          <w:p w14:paraId="3479D16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176EC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5E215A9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劳务收入</w:t>
            </w:r>
          </w:p>
        </w:tc>
        <w:tc>
          <w:tcPr>
            <w:tcW w:w="689" w:type="dxa"/>
            <w:vAlign w:val="top"/>
          </w:tcPr>
          <w:p w14:paraId="2E2CCC3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w:t>
            </w:r>
          </w:p>
        </w:tc>
        <w:tc>
          <w:tcPr>
            <w:tcW w:w="924" w:type="dxa"/>
            <w:vAlign w:val="top"/>
          </w:tcPr>
          <w:p w14:paraId="7CE9A0C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360426F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出租支出</w:t>
            </w:r>
          </w:p>
        </w:tc>
        <w:tc>
          <w:tcPr>
            <w:tcW w:w="792" w:type="dxa"/>
            <w:vAlign w:val="top"/>
          </w:tcPr>
          <w:p w14:paraId="17B7521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22</w:t>
            </w:r>
          </w:p>
        </w:tc>
        <w:tc>
          <w:tcPr>
            <w:tcW w:w="1008" w:type="dxa"/>
            <w:vAlign w:val="top"/>
          </w:tcPr>
          <w:p w14:paraId="391CE7A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AE63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05C6924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出租收入</w:t>
            </w:r>
          </w:p>
        </w:tc>
        <w:tc>
          <w:tcPr>
            <w:tcW w:w="689" w:type="dxa"/>
            <w:vAlign w:val="top"/>
          </w:tcPr>
          <w:p w14:paraId="6788782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5</w:t>
            </w:r>
          </w:p>
        </w:tc>
        <w:tc>
          <w:tcPr>
            <w:tcW w:w="924" w:type="dxa"/>
            <w:vAlign w:val="top"/>
          </w:tcPr>
          <w:p w14:paraId="6DAD98C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0FC434C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劳务支出</w:t>
            </w:r>
          </w:p>
        </w:tc>
        <w:tc>
          <w:tcPr>
            <w:tcW w:w="792" w:type="dxa"/>
            <w:vAlign w:val="top"/>
          </w:tcPr>
          <w:p w14:paraId="71F9FCE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23</w:t>
            </w:r>
          </w:p>
        </w:tc>
        <w:tc>
          <w:tcPr>
            <w:tcW w:w="1008" w:type="dxa"/>
            <w:vAlign w:val="top"/>
          </w:tcPr>
          <w:p w14:paraId="4382A2A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3DDCB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0B5DD72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发包收入</w:t>
            </w:r>
          </w:p>
        </w:tc>
        <w:tc>
          <w:tcPr>
            <w:tcW w:w="689" w:type="dxa"/>
            <w:vAlign w:val="top"/>
          </w:tcPr>
          <w:p w14:paraId="6AEF00E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6</w:t>
            </w:r>
          </w:p>
        </w:tc>
        <w:tc>
          <w:tcPr>
            <w:tcW w:w="924" w:type="dxa"/>
            <w:vAlign w:val="top"/>
          </w:tcPr>
          <w:p w14:paraId="161EDC9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AEA906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792" w:type="dxa"/>
            <w:vAlign w:val="top"/>
          </w:tcPr>
          <w:p w14:paraId="3FC5C55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24</w:t>
            </w:r>
          </w:p>
        </w:tc>
        <w:tc>
          <w:tcPr>
            <w:tcW w:w="1008" w:type="dxa"/>
            <w:vAlign w:val="top"/>
          </w:tcPr>
          <w:p w14:paraId="74ECDA6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7CE4F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2E36B65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其他收入</w:t>
            </w:r>
          </w:p>
        </w:tc>
        <w:tc>
          <w:tcPr>
            <w:tcW w:w="689" w:type="dxa"/>
            <w:vAlign w:val="top"/>
          </w:tcPr>
          <w:p w14:paraId="078887A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7</w:t>
            </w:r>
          </w:p>
        </w:tc>
        <w:tc>
          <w:tcPr>
            <w:tcW w:w="924" w:type="dxa"/>
            <w:vAlign w:val="top"/>
          </w:tcPr>
          <w:p w14:paraId="3889385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783F737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2.</w:t>
            </w:r>
            <w:r>
              <w:rPr>
                <w:rFonts w:hint="default" w:ascii="Times New Roman" w:hAnsi="Times New Roman" w:eastAsia="仿宋_GB2312" w:cs="Times New Roman"/>
                <w:color w:val="000000" w:themeColor="text1"/>
                <w:sz w:val="24"/>
                <w:szCs w:val="24"/>
                <w14:textFill>
                  <w14:solidFill>
                    <w14:schemeClr w14:val="tx1"/>
                  </w14:solidFill>
                </w14:textFill>
              </w:rPr>
              <w:t>税金及附加</w:t>
            </w:r>
          </w:p>
        </w:tc>
        <w:tc>
          <w:tcPr>
            <w:tcW w:w="792" w:type="dxa"/>
            <w:vAlign w:val="top"/>
          </w:tcPr>
          <w:p w14:paraId="3F65EDF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25</w:t>
            </w:r>
          </w:p>
        </w:tc>
        <w:tc>
          <w:tcPr>
            <w:tcW w:w="1008" w:type="dxa"/>
            <w:vAlign w:val="top"/>
          </w:tcPr>
          <w:p w14:paraId="30452C4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28D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35CCCD2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2.</w:t>
            </w:r>
            <w:r>
              <w:rPr>
                <w:rFonts w:hint="default" w:ascii="Times New Roman" w:hAnsi="Times New Roman" w:eastAsia="仿宋_GB2312" w:cs="Times New Roman"/>
                <w:color w:val="000000" w:themeColor="text1"/>
                <w:sz w:val="24"/>
                <w:szCs w:val="24"/>
                <w14:textFill>
                  <w14:solidFill>
                    <w14:schemeClr w14:val="tx1"/>
                  </w14:solidFill>
                </w14:textFill>
              </w:rPr>
              <w:t>投资收益</w:t>
            </w:r>
          </w:p>
        </w:tc>
        <w:tc>
          <w:tcPr>
            <w:tcW w:w="689" w:type="dxa"/>
            <w:vAlign w:val="top"/>
          </w:tcPr>
          <w:p w14:paraId="20F6173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8</w:t>
            </w:r>
          </w:p>
        </w:tc>
        <w:tc>
          <w:tcPr>
            <w:tcW w:w="924" w:type="dxa"/>
            <w:vAlign w:val="top"/>
          </w:tcPr>
          <w:p w14:paraId="2D8F9FD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45E55BC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3.</w:t>
            </w:r>
            <w:r>
              <w:rPr>
                <w:rFonts w:hint="default" w:ascii="Times New Roman" w:hAnsi="Times New Roman" w:eastAsia="仿宋_GB2312" w:cs="Times New Roman"/>
                <w:color w:val="000000" w:themeColor="text1"/>
                <w:sz w:val="24"/>
                <w:szCs w:val="24"/>
                <w14:textFill>
                  <w14:solidFill>
                    <w14:schemeClr w14:val="tx1"/>
                  </w14:solidFill>
                </w14:textFill>
              </w:rPr>
              <w:t>管理费用</w:t>
            </w:r>
          </w:p>
        </w:tc>
        <w:tc>
          <w:tcPr>
            <w:tcW w:w="792" w:type="dxa"/>
            <w:vAlign w:val="top"/>
          </w:tcPr>
          <w:p w14:paraId="3D9B00A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26</w:t>
            </w:r>
          </w:p>
        </w:tc>
        <w:tc>
          <w:tcPr>
            <w:tcW w:w="1008" w:type="dxa"/>
            <w:vAlign w:val="top"/>
          </w:tcPr>
          <w:p w14:paraId="730E96F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6F14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0A48C41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股权投资</w:t>
            </w:r>
          </w:p>
        </w:tc>
        <w:tc>
          <w:tcPr>
            <w:tcW w:w="689" w:type="dxa"/>
            <w:vAlign w:val="top"/>
          </w:tcPr>
          <w:p w14:paraId="4260569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9</w:t>
            </w:r>
          </w:p>
        </w:tc>
        <w:tc>
          <w:tcPr>
            <w:tcW w:w="924" w:type="dxa"/>
            <w:vAlign w:val="top"/>
          </w:tcPr>
          <w:p w14:paraId="4D96E00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6268B2B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管理人员报酬</w:t>
            </w:r>
          </w:p>
        </w:tc>
        <w:tc>
          <w:tcPr>
            <w:tcW w:w="792" w:type="dxa"/>
            <w:vAlign w:val="top"/>
          </w:tcPr>
          <w:p w14:paraId="5337973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27</w:t>
            </w:r>
          </w:p>
        </w:tc>
        <w:tc>
          <w:tcPr>
            <w:tcW w:w="1008" w:type="dxa"/>
            <w:vAlign w:val="top"/>
          </w:tcPr>
          <w:p w14:paraId="1AEBA56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ED1A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041" w:type="dxa"/>
            <w:vAlign w:val="top"/>
          </w:tcPr>
          <w:p w14:paraId="13F192D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债权投资</w:t>
            </w:r>
          </w:p>
        </w:tc>
        <w:tc>
          <w:tcPr>
            <w:tcW w:w="689" w:type="dxa"/>
            <w:vAlign w:val="top"/>
          </w:tcPr>
          <w:p w14:paraId="7364E3F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10</w:t>
            </w:r>
          </w:p>
        </w:tc>
        <w:tc>
          <w:tcPr>
            <w:tcW w:w="924" w:type="dxa"/>
            <w:vAlign w:val="top"/>
          </w:tcPr>
          <w:p w14:paraId="28F597B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55839B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固定人员报酬</w:t>
            </w:r>
          </w:p>
        </w:tc>
        <w:tc>
          <w:tcPr>
            <w:tcW w:w="792" w:type="dxa"/>
            <w:vAlign w:val="top"/>
          </w:tcPr>
          <w:p w14:paraId="308859A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28</w:t>
            </w:r>
          </w:p>
        </w:tc>
        <w:tc>
          <w:tcPr>
            <w:tcW w:w="1008" w:type="dxa"/>
            <w:vAlign w:val="top"/>
          </w:tcPr>
          <w:p w14:paraId="491186F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3C47E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4CDC532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689" w:type="dxa"/>
            <w:vAlign w:val="top"/>
          </w:tcPr>
          <w:p w14:paraId="702812C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11</w:t>
            </w:r>
          </w:p>
        </w:tc>
        <w:tc>
          <w:tcPr>
            <w:tcW w:w="924" w:type="dxa"/>
            <w:vAlign w:val="top"/>
          </w:tcPr>
          <w:p w14:paraId="46E0957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744B9E6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办公费用</w:t>
            </w:r>
          </w:p>
        </w:tc>
        <w:tc>
          <w:tcPr>
            <w:tcW w:w="792" w:type="dxa"/>
            <w:vAlign w:val="top"/>
          </w:tcPr>
          <w:p w14:paraId="10F33C4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29</w:t>
            </w:r>
          </w:p>
        </w:tc>
        <w:tc>
          <w:tcPr>
            <w:tcW w:w="1008" w:type="dxa"/>
            <w:vAlign w:val="top"/>
          </w:tcPr>
          <w:p w14:paraId="00B37D7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6616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324143A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3.</w:t>
            </w:r>
            <w:r>
              <w:rPr>
                <w:rFonts w:hint="default" w:ascii="Times New Roman" w:hAnsi="Times New Roman" w:eastAsia="仿宋_GB2312" w:cs="Times New Roman"/>
                <w:color w:val="000000" w:themeColor="text1"/>
                <w:sz w:val="24"/>
                <w:szCs w:val="24"/>
                <w14:textFill>
                  <w14:solidFill>
                    <w14:schemeClr w14:val="tx1"/>
                  </w14:solidFill>
                </w14:textFill>
              </w:rPr>
              <w:t>补助收入</w:t>
            </w:r>
          </w:p>
        </w:tc>
        <w:tc>
          <w:tcPr>
            <w:tcW w:w="689" w:type="dxa"/>
            <w:vAlign w:val="top"/>
          </w:tcPr>
          <w:p w14:paraId="38AADD3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12</w:t>
            </w:r>
          </w:p>
        </w:tc>
        <w:tc>
          <w:tcPr>
            <w:tcW w:w="924" w:type="dxa"/>
            <w:vAlign w:val="top"/>
          </w:tcPr>
          <w:p w14:paraId="353B904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8811A9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报刊费用</w:t>
            </w:r>
          </w:p>
        </w:tc>
        <w:tc>
          <w:tcPr>
            <w:tcW w:w="792" w:type="dxa"/>
            <w:vAlign w:val="top"/>
          </w:tcPr>
          <w:p w14:paraId="2E6FD5A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30</w:t>
            </w:r>
          </w:p>
        </w:tc>
        <w:tc>
          <w:tcPr>
            <w:tcW w:w="1008" w:type="dxa"/>
            <w:vAlign w:val="top"/>
          </w:tcPr>
          <w:p w14:paraId="6CD80FD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EF44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2C62888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财政补助收入</w:t>
            </w:r>
          </w:p>
        </w:tc>
        <w:tc>
          <w:tcPr>
            <w:tcW w:w="689" w:type="dxa"/>
            <w:vAlign w:val="top"/>
          </w:tcPr>
          <w:p w14:paraId="50C92A8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13</w:t>
            </w:r>
          </w:p>
        </w:tc>
        <w:tc>
          <w:tcPr>
            <w:tcW w:w="924" w:type="dxa"/>
            <w:vAlign w:val="top"/>
          </w:tcPr>
          <w:p w14:paraId="68A1B77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674F318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会议费用</w:t>
            </w:r>
          </w:p>
        </w:tc>
        <w:tc>
          <w:tcPr>
            <w:tcW w:w="792" w:type="dxa"/>
            <w:vAlign w:val="top"/>
          </w:tcPr>
          <w:p w14:paraId="1304259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31</w:t>
            </w:r>
          </w:p>
        </w:tc>
        <w:tc>
          <w:tcPr>
            <w:tcW w:w="1008" w:type="dxa"/>
            <w:vAlign w:val="top"/>
          </w:tcPr>
          <w:p w14:paraId="6EE6D8B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E058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592E9C0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689" w:type="dxa"/>
            <w:vAlign w:val="top"/>
          </w:tcPr>
          <w:p w14:paraId="2E52979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14</w:t>
            </w:r>
          </w:p>
        </w:tc>
        <w:tc>
          <w:tcPr>
            <w:tcW w:w="924" w:type="dxa"/>
            <w:vAlign w:val="top"/>
          </w:tcPr>
          <w:p w14:paraId="2B64D13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70DC257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培训费用</w:t>
            </w:r>
          </w:p>
        </w:tc>
        <w:tc>
          <w:tcPr>
            <w:tcW w:w="792" w:type="dxa"/>
            <w:vAlign w:val="top"/>
          </w:tcPr>
          <w:p w14:paraId="2A649D0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32</w:t>
            </w:r>
          </w:p>
        </w:tc>
        <w:tc>
          <w:tcPr>
            <w:tcW w:w="1008" w:type="dxa"/>
            <w:vAlign w:val="top"/>
          </w:tcPr>
          <w:p w14:paraId="5BFA43A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2180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751BAE9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4.</w:t>
            </w:r>
            <w:r>
              <w:rPr>
                <w:rFonts w:hint="default" w:ascii="Times New Roman" w:hAnsi="Times New Roman" w:eastAsia="仿宋_GB2312" w:cs="Times New Roman"/>
                <w:color w:val="000000" w:themeColor="text1"/>
                <w:sz w:val="24"/>
                <w:szCs w:val="24"/>
                <w14:textFill>
                  <w14:solidFill>
                    <w14:schemeClr w14:val="tx1"/>
                  </w14:solidFill>
                </w14:textFill>
              </w:rPr>
              <w:t>其他收入</w:t>
            </w:r>
          </w:p>
        </w:tc>
        <w:tc>
          <w:tcPr>
            <w:tcW w:w="689" w:type="dxa"/>
            <w:vAlign w:val="top"/>
          </w:tcPr>
          <w:p w14:paraId="692A857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15</w:t>
            </w:r>
          </w:p>
        </w:tc>
        <w:tc>
          <w:tcPr>
            <w:tcW w:w="924" w:type="dxa"/>
            <w:vAlign w:val="top"/>
          </w:tcPr>
          <w:p w14:paraId="6FAD3D4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1E7449F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宣传费用</w:t>
            </w:r>
          </w:p>
        </w:tc>
        <w:tc>
          <w:tcPr>
            <w:tcW w:w="792" w:type="dxa"/>
            <w:vAlign w:val="top"/>
          </w:tcPr>
          <w:p w14:paraId="277A0EE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33</w:t>
            </w:r>
          </w:p>
        </w:tc>
        <w:tc>
          <w:tcPr>
            <w:tcW w:w="1008" w:type="dxa"/>
            <w:vAlign w:val="top"/>
          </w:tcPr>
          <w:p w14:paraId="6AE967F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CFCE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42BC45E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利息收入</w:t>
            </w:r>
          </w:p>
        </w:tc>
        <w:tc>
          <w:tcPr>
            <w:tcW w:w="689" w:type="dxa"/>
            <w:vAlign w:val="top"/>
          </w:tcPr>
          <w:p w14:paraId="74CB6B9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16</w:t>
            </w:r>
          </w:p>
        </w:tc>
        <w:tc>
          <w:tcPr>
            <w:tcW w:w="924" w:type="dxa"/>
            <w:vAlign w:val="top"/>
          </w:tcPr>
          <w:p w14:paraId="70FC89C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0FE1BAE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交通及差旅费</w:t>
            </w:r>
          </w:p>
        </w:tc>
        <w:tc>
          <w:tcPr>
            <w:tcW w:w="792" w:type="dxa"/>
            <w:vAlign w:val="top"/>
          </w:tcPr>
          <w:p w14:paraId="0AD01A0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34</w:t>
            </w:r>
          </w:p>
        </w:tc>
        <w:tc>
          <w:tcPr>
            <w:tcW w:w="1008" w:type="dxa"/>
            <w:vAlign w:val="top"/>
          </w:tcPr>
          <w:p w14:paraId="5951396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9535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14F9A7F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资产盘盈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收益</w:t>
            </w:r>
          </w:p>
        </w:tc>
        <w:tc>
          <w:tcPr>
            <w:tcW w:w="689" w:type="dxa"/>
            <w:vAlign w:val="top"/>
          </w:tcPr>
          <w:p w14:paraId="5500B64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17</w:t>
            </w:r>
          </w:p>
        </w:tc>
        <w:tc>
          <w:tcPr>
            <w:tcW w:w="924" w:type="dxa"/>
            <w:vAlign w:val="top"/>
          </w:tcPr>
          <w:p w14:paraId="43505F8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081BBF5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折旧费用</w:t>
            </w:r>
          </w:p>
        </w:tc>
        <w:tc>
          <w:tcPr>
            <w:tcW w:w="792" w:type="dxa"/>
            <w:vAlign w:val="top"/>
          </w:tcPr>
          <w:p w14:paraId="19BD5A2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35</w:t>
            </w:r>
          </w:p>
        </w:tc>
        <w:tc>
          <w:tcPr>
            <w:tcW w:w="1008" w:type="dxa"/>
            <w:vAlign w:val="top"/>
          </w:tcPr>
          <w:p w14:paraId="06853A1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33578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6A2CB38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689" w:type="dxa"/>
            <w:vAlign w:val="top"/>
          </w:tcPr>
          <w:p w14:paraId="4A2E19B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18</w:t>
            </w:r>
          </w:p>
        </w:tc>
        <w:tc>
          <w:tcPr>
            <w:tcW w:w="924" w:type="dxa"/>
            <w:vAlign w:val="top"/>
          </w:tcPr>
          <w:p w14:paraId="2DB6DBD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1A3EEA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无形资产摊销费用</w:t>
            </w:r>
          </w:p>
        </w:tc>
        <w:tc>
          <w:tcPr>
            <w:tcW w:w="792" w:type="dxa"/>
            <w:vAlign w:val="top"/>
          </w:tcPr>
          <w:p w14:paraId="7F97A28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36</w:t>
            </w:r>
          </w:p>
        </w:tc>
        <w:tc>
          <w:tcPr>
            <w:tcW w:w="1008" w:type="dxa"/>
            <w:vAlign w:val="top"/>
          </w:tcPr>
          <w:p w14:paraId="084440B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9DA3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5ABD1BE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二、公益公积金</w:t>
            </w:r>
          </w:p>
        </w:tc>
        <w:tc>
          <w:tcPr>
            <w:tcW w:w="689" w:type="dxa"/>
            <w:vAlign w:val="top"/>
          </w:tcPr>
          <w:p w14:paraId="0302AC7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19</w:t>
            </w:r>
          </w:p>
        </w:tc>
        <w:tc>
          <w:tcPr>
            <w:tcW w:w="924" w:type="dxa"/>
            <w:vAlign w:val="top"/>
          </w:tcPr>
          <w:p w14:paraId="4EBB222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141772A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维修费用</w:t>
            </w:r>
          </w:p>
        </w:tc>
        <w:tc>
          <w:tcPr>
            <w:tcW w:w="792" w:type="dxa"/>
            <w:vAlign w:val="top"/>
          </w:tcPr>
          <w:p w14:paraId="57ECD40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37</w:t>
            </w:r>
          </w:p>
        </w:tc>
        <w:tc>
          <w:tcPr>
            <w:tcW w:w="1008" w:type="dxa"/>
            <w:vAlign w:val="top"/>
          </w:tcPr>
          <w:p w14:paraId="0991E47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1850D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3221516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5398B0A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20</w:t>
            </w:r>
          </w:p>
        </w:tc>
        <w:tc>
          <w:tcPr>
            <w:tcW w:w="924" w:type="dxa"/>
            <w:vAlign w:val="top"/>
          </w:tcPr>
          <w:p w14:paraId="1A9ED9E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FC046F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项目支出</w:t>
            </w:r>
          </w:p>
        </w:tc>
        <w:tc>
          <w:tcPr>
            <w:tcW w:w="792" w:type="dxa"/>
            <w:vAlign w:val="top"/>
          </w:tcPr>
          <w:p w14:paraId="4E195FAF">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38</w:t>
            </w:r>
          </w:p>
        </w:tc>
        <w:tc>
          <w:tcPr>
            <w:tcW w:w="1008" w:type="dxa"/>
            <w:vAlign w:val="top"/>
          </w:tcPr>
          <w:p w14:paraId="0E158B1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1A377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2AAF6E4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33F3252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21</w:t>
            </w:r>
          </w:p>
        </w:tc>
        <w:tc>
          <w:tcPr>
            <w:tcW w:w="924" w:type="dxa"/>
            <w:vAlign w:val="top"/>
          </w:tcPr>
          <w:p w14:paraId="6F77D9A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639179E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792" w:type="dxa"/>
            <w:vAlign w:val="top"/>
          </w:tcPr>
          <w:p w14:paraId="4E34431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39</w:t>
            </w:r>
          </w:p>
        </w:tc>
        <w:tc>
          <w:tcPr>
            <w:tcW w:w="1008" w:type="dxa"/>
            <w:vAlign w:val="top"/>
          </w:tcPr>
          <w:p w14:paraId="2F7ACCF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5937E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6919CA8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29E852A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22</w:t>
            </w:r>
          </w:p>
        </w:tc>
        <w:tc>
          <w:tcPr>
            <w:tcW w:w="924" w:type="dxa"/>
            <w:vAlign w:val="top"/>
          </w:tcPr>
          <w:p w14:paraId="5633197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C8F94A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4.</w:t>
            </w:r>
            <w:r>
              <w:rPr>
                <w:rFonts w:hint="default" w:ascii="Times New Roman" w:hAnsi="Times New Roman" w:eastAsia="仿宋_GB2312" w:cs="Times New Roman"/>
                <w:color w:val="000000" w:themeColor="text1"/>
                <w:sz w:val="24"/>
                <w:szCs w:val="24"/>
                <w14:textFill>
                  <w14:solidFill>
                    <w14:schemeClr w14:val="tx1"/>
                  </w14:solidFill>
                </w14:textFill>
              </w:rPr>
              <w:t>公益支出</w:t>
            </w:r>
          </w:p>
        </w:tc>
        <w:tc>
          <w:tcPr>
            <w:tcW w:w="792" w:type="dxa"/>
            <w:vAlign w:val="top"/>
          </w:tcPr>
          <w:p w14:paraId="2297252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40</w:t>
            </w:r>
          </w:p>
        </w:tc>
        <w:tc>
          <w:tcPr>
            <w:tcW w:w="1008" w:type="dxa"/>
            <w:vAlign w:val="top"/>
          </w:tcPr>
          <w:p w14:paraId="2B28486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4181B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444EB85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41863B0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23</w:t>
            </w:r>
          </w:p>
        </w:tc>
        <w:tc>
          <w:tcPr>
            <w:tcW w:w="924" w:type="dxa"/>
            <w:vAlign w:val="top"/>
          </w:tcPr>
          <w:p w14:paraId="751746C8">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23C7233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5.</w:t>
            </w:r>
            <w:r>
              <w:rPr>
                <w:rFonts w:hint="default" w:ascii="Times New Roman" w:hAnsi="Times New Roman" w:eastAsia="仿宋_GB2312" w:cs="Times New Roman"/>
                <w:color w:val="000000" w:themeColor="text1"/>
                <w:sz w:val="24"/>
                <w:szCs w:val="24"/>
                <w14:textFill>
                  <w14:solidFill>
                    <w14:schemeClr w14:val="tx1"/>
                  </w14:solidFill>
                </w14:textFill>
              </w:rPr>
              <w:t>其他支出</w:t>
            </w:r>
          </w:p>
        </w:tc>
        <w:tc>
          <w:tcPr>
            <w:tcW w:w="792" w:type="dxa"/>
            <w:vAlign w:val="top"/>
          </w:tcPr>
          <w:p w14:paraId="5589864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41</w:t>
            </w:r>
          </w:p>
        </w:tc>
        <w:tc>
          <w:tcPr>
            <w:tcW w:w="1008" w:type="dxa"/>
            <w:vAlign w:val="top"/>
          </w:tcPr>
          <w:p w14:paraId="0C8B320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705A5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7B171DB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4435036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24</w:t>
            </w:r>
          </w:p>
        </w:tc>
        <w:tc>
          <w:tcPr>
            <w:tcW w:w="924" w:type="dxa"/>
            <w:vAlign w:val="top"/>
          </w:tcPr>
          <w:p w14:paraId="0CE5A95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5820ACC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利息支出</w:t>
            </w:r>
          </w:p>
        </w:tc>
        <w:tc>
          <w:tcPr>
            <w:tcW w:w="792" w:type="dxa"/>
            <w:vAlign w:val="top"/>
          </w:tcPr>
          <w:p w14:paraId="582CD3F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42</w:t>
            </w:r>
          </w:p>
        </w:tc>
        <w:tc>
          <w:tcPr>
            <w:tcW w:w="1008" w:type="dxa"/>
            <w:vAlign w:val="top"/>
          </w:tcPr>
          <w:p w14:paraId="1674905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05D06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3D51423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17F2BBA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25</w:t>
            </w:r>
          </w:p>
        </w:tc>
        <w:tc>
          <w:tcPr>
            <w:tcW w:w="924" w:type="dxa"/>
            <w:vAlign w:val="top"/>
          </w:tcPr>
          <w:p w14:paraId="107BC416">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04FAD74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资产损失</w:t>
            </w:r>
          </w:p>
        </w:tc>
        <w:tc>
          <w:tcPr>
            <w:tcW w:w="792" w:type="dxa"/>
            <w:vAlign w:val="top"/>
          </w:tcPr>
          <w:p w14:paraId="21A18E6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43</w:t>
            </w:r>
          </w:p>
        </w:tc>
        <w:tc>
          <w:tcPr>
            <w:tcW w:w="1008" w:type="dxa"/>
            <w:vAlign w:val="top"/>
          </w:tcPr>
          <w:p w14:paraId="0FC1700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3A7F1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23B78A5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50E4F981">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26</w:t>
            </w:r>
          </w:p>
        </w:tc>
        <w:tc>
          <w:tcPr>
            <w:tcW w:w="924" w:type="dxa"/>
            <w:vAlign w:val="top"/>
          </w:tcPr>
          <w:p w14:paraId="0F57EDB5">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730F4A1B">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其他</w:t>
            </w:r>
          </w:p>
        </w:tc>
        <w:tc>
          <w:tcPr>
            <w:tcW w:w="792" w:type="dxa"/>
            <w:vAlign w:val="top"/>
          </w:tcPr>
          <w:p w14:paraId="08DA38F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44</w:t>
            </w:r>
          </w:p>
        </w:tc>
        <w:tc>
          <w:tcPr>
            <w:tcW w:w="1008" w:type="dxa"/>
            <w:vAlign w:val="top"/>
          </w:tcPr>
          <w:p w14:paraId="6B99FD8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26886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5729EC90">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4530768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27</w:t>
            </w:r>
          </w:p>
        </w:tc>
        <w:tc>
          <w:tcPr>
            <w:tcW w:w="924" w:type="dxa"/>
            <w:vAlign w:val="top"/>
          </w:tcPr>
          <w:p w14:paraId="057928A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119E2C6A">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6.</w:t>
            </w:r>
            <w:r>
              <w:rPr>
                <w:rFonts w:hint="default" w:ascii="Times New Roman" w:hAnsi="Times New Roman" w:eastAsia="仿宋_GB2312" w:cs="Times New Roman"/>
                <w:color w:val="000000" w:themeColor="text1"/>
                <w:sz w:val="24"/>
                <w:szCs w:val="24"/>
                <w14:textFill>
                  <w14:solidFill>
                    <w14:schemeClr w14:val="tx1"/>
                  </w14:solidFill>
                </w14:textFill>
              </w:rPr>
              <w:t>所得税费用</w:t>
            </w:r>
          </w:p>
        </w:tc>
        <w:tc>
          <w:tcPr>
            <w:tcW w:w="792" w:type="dxa"/>
            <w:vAlign w:val="top"/>
          </w:tcPr>
          <w:p w14:paraId="1D72BC9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45</w:t>
            </w:r>
          </w:p>
        </w:tc>
        <w:tc>
          <w:tcPr>
            <w:tcW w:w="1008" w:type="dxa"/>
            <w:vAlign w:val="top"/>
          </w:tcPr>
          <w:p w14:paraId="289B0EED">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E599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041" w:type="dxa"/>
            <w:vAlign w:val="top"/>
          </w:tcPr>
          <w:p w14:paraId="391AE0F7">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689" w:type="dxa"/>
            <w:vAlign w:val="top"/>
          </w:tcPr>
          <w:p w14:paraId="2CD7D62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28</w:t>
            </w:r>
          </w:p>
        </w:tc>
        <w:tc>
          <w:tcPr>
            <w:tcW w:w="924" w:type="dxa"/>
            <w:vAlign w:val="top"/>
          </w:tcPr>
          <w:p w14:paraId="07900B0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c>
          <w:tcPr>
            <w:tcW w:w="2928" w:type="dxa"/>
            <w:vAlign w:val="top"/>
          </w:tcPr>
          <w:p w14:paraId="33FB31E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三、全年收益</w:t>
            </w:r>
          </w:p>
        </w:tc>
        <w:tc>
          <w:tcPr>
            <w:tcW w:w="792" w:type="dxa"/>
            <w:vAlign w:val="top"/>
          </w:tcPr>
          <w:p w14:paraId="4A5D6CB4">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46</w:t>
            </w:r>
          </w:p>
        </w:tc>
        <w:tc>
          <w:tcPr>
            <w:tcW w:w="1008" w:type="dxa"/>
            <w:vAlign w:val="top"/>
          </w:tcPr>
          <w:p w14:paraId="0A20E57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r w14:paraId="6642A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3654" w:type="dxa"/>
            <w:gridSpan w:val="3"/>
            <w:vAlign w:val="top"/>
          </w:tcPr>
          <w:p w14:paraId="04550C4C">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单位负责人：</w:t>
            </w:r>
          </w:p>
        </w:tc>
        <w:tc>
          <w:tcPr>
            <w:tcW w:w="4728" w:type="dxa"/>
            <w:gridSpan w:val="3"/>
            <w:vAlign w:val="top"/>
          </w:tcPr>
          <w:p w14:paraId="65452902">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编制日期：</w:t>
            </w:r>
          </w:p>
        </w:tc>
      </w:tr>
      <w:tr w14:paraId="3CFC5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3654" w:type="dxa"/>
            <w:gridSpan w:val="3"/>
            <w:vAlign w:val="top"/>
          </w:tcPr>
          <w:p w14:paraId="49AF378E">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单位盖章</w:t>
            </w:r>
          </w:p>
        </w:tc>
        <w:tc>
          <w:tcPr>
            <w:tcW w:w="4728" w:type="dxa"/>
            <w:gridSpan w:val="3"/>
            <w:vAlign w:val="top"/>
          </w:tcPr>
          <w:p w14:paraId="660EEEA3">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textAlignment w:val="baseline"/>
              <w:rPr>
                <w:rFonts w:hint="default" w:ascii="Times New Roman" w:hAnsi="Times New Roman" w:eastAsia="仿宋_GB2312" w:cs="Times New Roman"/>
                <w:color w:val="000000" w:themeColor="text1"/>
                <w:sz w:val="24"/>
                <w:szCs w:val="24"/>
                <w14:textFill>
                  <w14:solidFill>
                    <w14:schemeClr w14:val="tx1"/>
                  </w14:solidFill>
                </w14:textFill>
              </w:rPr>
            </w:pPr>
          </w:p>
        </w:tc>
      </w:tr>
    </w:tbl>
    <w:p w14:paraId="63AD3B7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PSEMBED8">
    <w:panose1 w:val="02010609030101010101"/>
    <w:charset w:val="86"/>
    <w:family w:val="auto"/>
    <w:pitch w:val="default"/>
    <w:sig w:usb0="00000001" w:usb1="080E0000" w:usb2="00000000" w:usb3="00000000" w:csb0="00040000" w:csb1="00000000"/>
  </w:font>
  <w:font w:name="WPSEMBED9">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E25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-132080</wp:posOffset>
              </wp:positionV>
              <wp:extent cx="795655" cy="27622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95655"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91009">
                          <w:pPr>
                            <w:pStyle w:val="3"/>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0.4pt;height:21.75pt;width:62.65pt;mso-position-horizontal:outside;mso-position-horizontal-relative:margin;z-index:251659264;mso-width-relative:page;mso-height-relative:page;" filled="f" stroked="f" coordsize="21600,21600" o:gfxdata="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9+F7fdYAAAAHAQAADwAAAAAAAAABACAAAAAiAAAAZHJzL2Rvd25y&#10;ZXYueG1sUEsBAhQAFAAAAAgAh07iQCGXJzE5AgAAYQQAAA4AAAAAAAAAAQAgAAAAJQEAAGRycy9l&#10;Mm9Eb2MueG1sUEsFBgAAAAAGAAYAWQEAANAFAAAAAA==&#10;">
              <v:fill on="f" focussize="0,0"/>
              <v:stroke on="f" weight="0.5pt"/>
              <v:imagedata o:title=""/>
              <o:lock v:ext="edit" aspectratio="f"/>
              <v:textbox inset="0mm,0mm,0mm,0mm">
                <w:txbxContent>
                  <w:p w14:paraId="71F91009">
                    <w:pPr>
                      <w:pStyle w:val="3"/>
                      <w:jc w:val="center"/>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9236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-132080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09D1D2">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4pt;height:144pt;width:144pt;mso-position-horizontal:outside;mso-position-horizontal-relative:margin;mso-wrap-style:none;z-index:251660288;mso-width-relative:page;mso-height-relative:page;" filled="f" stroked="f" coordsize="21600,21600" o:gfxdata="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LKCVXVAAAACAEAAA8AAAAAAAAAAQAgAAAAIgAAAGRycy9kb3ducmV2LnhtbFBL&#10;AQIUABQAAAAIAIdO4kC6jDgrMgIAAGEEAAAOAAAAAAAAAAEAIAAAACQBAABkcnMvZTJvRG9jLnht&#10;bFBLBQYAAAAABgAGAFkBAADIBQAAAAA=&#10;">
              <v:fill on="f" focussize="0,0"/>
              <v:stroke on="f" weight="0.5pt"/>
              <v:imagedata o:title=""/>
              <o:lock v:ext="edit" aspectratio="f"/>
              <v:textbox inset="0mm,0mm,0mm,0mm" style="mso-fit-shape-to-text:t;">
                <w:txbxContent>
                  <w:p w14:paraId="1A09D1D2">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CFF1C">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AC3862"/>
    <w:rsid w:val="621B6BC4"/>
    <w:rsid w:val="7A0E159A"/>
    <w:rsid w:val="7F151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9501</Words>
  <Characters>9524</Characters>
  <Lines>0</Lines>
  <Paragraphs>0</Paragraphs>
  <TotalTime>0</TotalTime>
  <ScaleCrop>false</ScaleCrop>
  <LinksUpToDate>false</LinksUpToDate>
  <CharactersWithSpaces>9782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2026-08-24T01:12:00Z</dcterms:created>
  <dc:creator>47086</dc:creator>
  <cp:lastModifiedBy>赞</cp:lastModifiedBy>
  <dcterms:modified xsi:type="dcterms:W3CDTF">2026-08-25T02:02:18Z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eyJoZGlkIjoiZWFjMjM0MzFkNzAyMzljZThkMWE2MDM4ODFiOTk3ZjIiLCJ1c2VySWQiOiI0NTc1MjcyOTQifQ==</vt:lpwstr>
  </property>
  <property fmtid="{D5CDD505-2E9C-101B-9397-08002B2CF9AE}" pid="4" name="ICV">
    <vt:lpwstr>088B8322B6254D9CBD7A6BC816F0D05E_13</vt:lpwstr>
  </property>
</Properties>
</file>