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40" w:lineRule="atLeast"/>
        <w:ind w:left="0" w:right="0" w:firstLine="0"/>
        <w:jc w:val="center"/>
        <w:rPr>
          <w:rFonts w:ascii="微软雅黑" w:hAnsi="微软雅黑" w:eastAsia="微软雅黑" w:cs="微软雅黑"/>
          <w:i w:val="0"/>
          <w:caps w:val="0"/>
          <w:color w:val="333333"/>
          <w:spacing w:val="0"/>
          <w:sz w:val="39"/>
          <w:szCs w:val="39"/>
        </w:rPr>
      </w:pPr>
      <w:r>
        <w:rPr>
          <w:rFonts w:hint="eastAsia" w:ascii="微软雅黑" w:hAnsi="微软雅黑" w:eastAsia="微软雅黑" w:cs="微软雅黑"/>
          <w:i w:val="0"/>
          <w:caps w:val="0"/>
          <w:color w:val="333333"/>
          <w:spacing w:val="0"/>
          <w:kern w:val="0"/>
          <w:sz w:val="39"/>
          <w:szCs w:val="39"/>
          <w:bdr w:val="none" w:color="auto" w:sz="0" w:space="0"/>
          <w:shd w:val="clear" w:fill="FEFEFE"/>
          <w:lang w:val="en-US" w:eastAsia="zh-CN" w:bidi="ar"/>
        </w:rPr>
        <w:t>中国银行保险监督管理委员会令（2021年第1号）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376" w:right="376" w:firstLine="720"/>
        <w:jc w:val="left"/>
        <w:rPr>
          <w:rFonts w:ascii="Calibri" w:hAnsi="Calibri" w:cs="Calibri"/>
          <w:sz w:val="21"/>
          <w:szCs w:val="21"/>
        </w:rPr>
      </w:pPr>
      <w:r>
        <w:rPr>
          <w:rFonts w:ascii="仿宋_GB2312" w:hAnsi="Calibri" w:eastAsia="仿宋_GB2312" w:cs="仿宋_GB2312"/>
          <w:i w:val="0"/>
          <w:caps w:val="0"/>
          <w:color w:val="333333"/>
          <w:spacing w:val="0"/>
          <w:kern w:val="0"/>
          <w:sz w:val="36"/>
          <w:szCs w:val="36"/>
          <w:bdr w:val="none" w:color="auto" w:sz="0" w:space="0"/>
          <w:shd w:val="clear" w:fill="FEFEFE"/>
          <w:lang w:val="en-US" w:eastAsia="zh-CN" w:bidi="ar"/>
        </w:rPr>
        <w:t>《</w:t>
      </w:r>
      <w:r>
        <w:rPr>
          <w:rFonts w:hint="default" w:ascii="仿宋_GB2312" w:hAnsi="Calibri" w:eastAsia="仿宋_GB2312" w:cs="仿宋_GB2312"/>
          <w:i w:val="0"/>
          <w:caps w:val="0"/>
          <w:color w:val="333333"/>
          <w:spacing w:val="0"/>
          <w:kern w:val="0"/>
          <w:sz w:val="36"/>
          <w:szCs w:val="36"/>
          <w:bdr w:val="none" w:color="auto" w:sz="0" w:space="0"/>
          <w:shd w:val="clear" w:fill="FEFEFE"/>
          <w:lang w:val="en-US" w:eastAsia="zh-CN" w:bidi="ar"/>
        </w:rPr>
        <w:t>保险公司偿付能力管理规定》已经2020年6月11日中国银保监会2020年第9次委务会议审议通过。现予公布，自2021年3月1日起施行。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40" w:lineRule="atLeast"/>
        <w:ind w:left="376" w:right="376"/>
        <w:jc w:val="right"/>
        <w:rPr>
          <w:rFonts w:hint="default" w:ascii="Calibri" w:hAnsi="Calibri" w:cs="Calibri"/>
          <w:sz w:val="21"/>
          <w:szCs w:val="21"/>
        </w:rPr>
      </w:pPr>
      <w:r>
        <w:rPr>
          <w:rFonts w:hint="default" w:ascii="仿宋_GB2312" w:hAnsi="Calibri" w:eastAsia="仿宋_GB2312" w:cs="仿宋_GB2312"/>
          <w:i w:val="0"/>
          <w:caps w:val="0"/>
          <w:color w:val="333333"/>
          <w:spacing w:val="0"/>
          <w:kern w:val="0"/>
          <w:sz w:val="36"/>
          <w:szCs w:val="36"/>
          <w:bdr w:val="none" w:color="auto" w:sz="0" w:space="0"/>
          <w:shd w:val="clear" w:fill="FEFEFE"/>
          <w:lang w:val="en-US" w:eastAsia="zh-CN" w:bidi="ar"/>
        </w:rPr>
        <w:t xml:space="preserve">主席 郭树清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40" w:lineRule="atLeast"/>
        <w:ind w:left="376" w:right="376"/>
        <w:jc w:val="right"/>
        <w:rPr>
          <w:rFonts w:hint="default" w:ascii="Calibri" w:hAnsi="Calibri" w:cs="Calibri"/>
          <w:sz w:val="21"/>
          <w:szCs w:val="21"/>
        </w:rPr>
      </w:pPr>
      <w:r>
        <w:rPr>
          <w:rFonts w:hint="default" w:ascii="仿宋_GB2312" w:hAnsi="Calibri" w:eastAsia="仿宋_GB2312" w:cs="仿宋_GB2312"/>
          <w:i w:val="0"/>
          <w:caps w:val="0"/>
          <w:color w:val="333333"/>
          <w:spacing w:val="0"/>
          <w:kern w:val="0"/>
          <w:sz w:val="36"/>
          <w:szCs w:val="36"/>
          <w:bdr w:val="none" w:color="auto" w:sz="0" w:space="0"/>
          <w:shd w:val="clear" w:fill="FEFEFE"/>
          <w:lang w:val="en-US" w:eastAsia="zh-CN" w:bidi="ar"/>
        </w:rPr>
        <w:t xml:space="preserve">2021年1月15日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376" w:right="376"/>
        <w:jc w:val="center"/>
        <w:rPr>
          <w:rFonts w:hint="default" w:ascii="Calibri" w:hAnsi="Calibri" w:cs="Calibri"/>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376" w:right="376"/>
        <w:jc w:val="center"/>
        <w:rPr>
          <w:rFonts w:hint="default" w:ascii="Calibri" w:hAnsi="Calibri" w:cs="Calibri"/>
          <w:sz w:val="21"/>
          <w:szCs w:val="21"/>
        </w:rPr>
      </w:pPr>
      <w:r>
        <w:rPr>
          <w:rFonts w:ascii="方正小标宋_GBK" w:hAnsi="方正小标宋_GBK" w:eastAsia="方正小标宋_GBK" w:cs="方正小标宋_GBK"/>
          <w:b w:val="0"/>
          <w:i w:val="0"/>
          <w:caps w:val="0"/>
          <w:color w:val="333333"/>
          <w:spacing w:val="0"/>
          <w:kern w:val="0"/>
          <w:sz w:val="44"/>
          <w:szCs w:val="44"/>
          <w:bdr w:val="none" w:color="auto" w:sz="0" w:space="0"/>
          <w:shd w:val="clear" w:fill="FEFEFE"/>
          <w:lang w:val="en-US" w:eastAsia="zh-CN" w:bidi="ar"/>
        </w:rPr>
        <w:t>保险公司偿付能力管理规定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1096" w:right="376" w:hanging="720"/>
        <w:jc w:val="center"/>
        <w:rPr>
          <w:rFonts w:hint="default" w:ascii="Calibri" w:hAnsi="Calibri" w:cs="Calibri"/>
          <w:sz w:val="21"/>
          <w:szCs w:val="21"/>
        </w:rPr>
      </w:pPr>
      <w:r>
        <w:rPr>
          <w:rFonts w:ascii="黑体" w:hAnsi="宋体" w:eastAsia="黑体" w:cs="黑体"/>
          <w:b w:val="0"/>
          <w:i w:val="0"/>
          <w:caps w:val="0"/>
          <w:color w:val="333333"/>
          <w:spacing w:val="0"/>
          <w:sz w:val="36"/>
          <w:szCs w:val="36"/>
          <w:bdr w:val="none" w:color="auto" w:sz="0" w:space="0"/>
          <w:shd w:val="clear" w:fill="FEFEFE"/>
        </w:rPr>
        <w:t>第一章</w:t>
      </w:r>
      <w:r>
        <w:rPr>
          <w:rFonts w:hint="eastAsia" w:ascii="黑体" w:hAnsi="宋体" w:eastAsia="黑体" w:cs="黑体"/>
          <w:b w:val="0"/>
          <w:i w:val="0"/>
          <w:caps w:val="0"/>
          <w:color w:val="333333"/>
          <w:spacing w:val="0"/>
          <w:sz w:val="36"/>
          <w:szCs w:val="36"/>
          <w:bdr w:val="none" w:color="auto" w:sz="0" w:space="0"/>
          <w:shd w:val="clear" w:fill="FEFEFE"/>
        </w:rPr>
        <w:t xml:space="preserve">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376" w:right="376" w:firstLine="720"/>
        <w:jc w:val="left"/>
        <w:rPr>
          <w:rFonts w:hint="default" w:ascii="Calibri" w:hAnsi="Calibri" w:cs="Calibri"/>
          <w:sz w:val="21"/>
          <w:szCs w:val="21"/>
        </w:rPr>
      </w:pPr>
      <w:r>
        <w:rPr>
          <w:rFonts w:hint="default" w:ascii="仿宋_GB2312" w:hAnsi="Calibri" w:eastAsia="仿宋_GB2312" w:cs="仿宋_GB2312"/>
          <w:b/>
          <w:i w:val="0"/>
          <w:caps w:val="0"/>
          <w:color w:val="333333"/>
          <w:spacing w:val="0"/>
          <w:sz w:val="36"/>
          <w:szCs w:val="36"/>
          <w:bdr w:val="none" w:color="auto" w:sz="0" w:space="0"/>
          <w:shd w:val="clear" w:fill="FEFEFE"/>
        </w:rPr>
        <w:t xml:space="preserve">第一条 </w:t>
      </w:r>
      <w:r>
        <w:rPr>
          <w:rFonts w:hint="default" w:ascii="仿宋_GB2312" w:hAnsi="Calibri" w:eastAsia="仿宋_GB2312" w:cs="仿宋_GB2312"/>
          <w:i w:val="0"/>
          <w:caps w:val="0"/>
          <w:color w:val="333333"/>
          <w:spacing w:val="0"/>
          <w:sz w:val="36"/>
          <w:szCs w:val="36"/>
          <w:bdr w:val="none" w:color="auto" w:sz="0" w:space="0"/>
          <w:shd w:val="clear" w:fill="FEFEFE"/>
        </w:rPr>
        <w:t>为加强保险公司偿付能力监管，有效防控保险市场风险，维护保单持有人利益，根据《中华人民共和国保险法》，制定本规定。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376" w:right="376" w:firstLine="720"/>
        <w:jc w:val="left"/>
        <w:rPr>
          <w:rFonts w:hint="default" w:ascii="Calibri" w:hAnsi="Calibri" w:cs="Calibri"/>
          <w:sz w:val="21"/>
          <w:szCs w:val="21"/>
        </w:rPr>
      </w:pPr>
      <w:r>
        <w:rPr>
          <w:rFonts w:hint="default" w:ascii="仿宋_GB2312" w:hAnsi="Calibri" w:eastAsia="仿宋_GB2312" w:cs="仿宋_GB2312"/>
          <w:b/>
          <w:i w:val="0"/>
          <w:caps w:val="0"/>
          <w:color w:val="333333"/>
          <w:spacing w:val="0"/>
          <w:sz w:val="36"/>
          <w:szCs w:val="36"/>
          <w:bdr w:val="none" w:color="auto" w:sz="0" w:space="0"/>
          <w:shd w:val="clear" w:fill="FEFEFE"/>
        </w:rPr>
        <w:t xml:space="preserve">第二条 </w:t>
      </w:r>
      <w:r>
        <w:rPr>
          <w:rFonts w:hint="default" w:ascii="仿宋_GB2312" w:hAnsi="Calibri" w:eastAsia="仿宋_GB2312" w:cs="仿宋_GB2312"/>
          <w:i w:val="0"/>
          <w:caps w:val="0"/>
          <w:color w:val="333333"/>
          <w:spacing w:val="0"/>
          <w:sz w:val="36"/>
          <w:szCs w:val="36"/>
          <w:bdr w:val="none" w:color="auto" w:sz="0" w:space="0"/>
          <w:shd w:val="clear" w:fill="FEFEFE"/>
        </w:rPr>
        <w:t>本规定所称保险公司，是指依法在中国境内设立的经营商业保险业务的保险公司和外国保险公司分公司。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376" w:right="376" w:firstLine="720"/>
        <w:jc w:val="left"/>
        <w:rPr>
          <w:rFonts w:hint="default" w:ascii="Calibri" w:hAnsi="Calibri" w:cs="Calibri"/>
          <w:sz w:val="21"/>
          <w:szCs w:val="21"/>
        </w:rPr>
      </w:pPr>
      <w:r>
        <w:rPr>
          <w:rFonts w:hint="default" w:ascii="仿宋_GB2312" w:hAnsi="Calibri" w:eastAsia="仿宋_GB2312" w:cs="仿宋_GB2312"/>
          <w:b/>
          <w:i w:val="0"/>
          <w:caps w:val="0"/>
          <w:color w:val="333333"/>
          <w:spacing w:val="0"/>
          <w:sz w:val="36"/>
          <w:szCs w:val="36"/>
          <w:bdr w:val="none" w:color="auto" w:sz="0" w:space="0"/>
          <w:shd w:val="clear" w:fill="FEFEFE"/>
        </w:rPr>
        <w:t xml:space="preserve">第三条 </w:t>
      </w:r>
      <w:r>
        <w:rPr>
          <w:rFonts w:hint="default" w:ascii="仿宋_GB2312" w:hAnsi="Calibri" w:eastAsia="仿宋_GB2312" w:cs="仿宋_GB2312"/>
          <w:i w:val="0"/>
          <w:caps w:val="0"/>
          <w:color w:val="333333"/>
          <w:spacing w:val="0"/>
          <w:sz w:val="36"/>
          <w:szCs w:val="36"/>
          <w:bdr w:val="none" w:color="auto" w:sz="0" w:space="0"/>
          <w:shd w:val="clear" w:fill="FEFEFE"/>
        </w:rPr>
        <w:t>本规定所称偿付能力，是保险公司对保单持有人履行赔付义务的能力。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376" w:right="376" w:firstLine="720"/>
        <w:jc w:val="left"/>
        <w:rPr>
          <w:rFonts w:hint="default" w:ascii="Calibri" w:hAnsi="Calibri" w:cs="Calibri"/>
          <w:sz w:val="21"/>
          <w:szCs w:val="21"/>
        </w:rPr>
      </w:pPr>
      <w:r>
        <w:rPr>
          <w:rFonts w:hint="default" w:ascii="仿宋_GB2312" w:hAnsi="Calibri" w:eastAsia="仿宋_GB2312" w:cs="仿宋_GB2312"/>
          <w:b/>
          <w:i w:val="0"/>
          <w:caps w:val="0"/>
          <w:color w:val="333333"/>
          <w:spacing w:val="0"/>
          <w:sz w:val="36"/>
          <w:szCs w:val="36"/>
          <w:bdr w:val="none" w:color="auto" w:sz="0" w:space="0"/>
          <w:shd w:val="clear" w:fill="FEFEFE"/>
        </w:rPr>
        <w:t xml:space="preserve">第四条 </w:t>
      </w:r>
      <w:r>
        <w:rPr>
          <w:rFonts w:hint="default" w:ascii="仿宋_GB2312" w:hAnsi="Calibri" w:eastAsia="仿宋_GB2312" w:cs="仿宋_GB2312"/>
          <w:i w:val="0"/>
          <w:caps w:val="0"/>
          <w:color w:val="333333"/>
          <w:spacing w:val="0"/>
          <w:sz w:val="36"/>
          <w:szCs w:val="36"/>
          <w:bdr w:val="none" w:color="auto" w:sz="0" w:space="0"/>
          <w:shd w:val="clear" w:fill="FEFEFE"/>
        </w:rPr>
        <w:t>保险公司应当建立健全偿付能力管理体系，有效识别管理各类风险，不断提升偿付能力风险管理水平，及时监测偿付能力状况，编报偿付能力报告，披露偿付能力相关信息，做好资本规划，确保偿付能力达标。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376" w:right="376" w:firstLine="720"/>
        <w:jc w:val="left"/>
        <w:rPr>
          <w:rFonts w:hint="default" w:ascii="Calibri" w:hAnsi="Calibri" w:cs="Calibri"/>
          <w:sz w:val="21"/>
          <w:szCs w:val="21"/>
        </w:rPr>
      </w:pPr>
      <w:r>
        <w:rPr>
          <w:rFonts w:hint="default" w:ascii="仿宋_GB2312" w:hAnsi="Calibri" w:eastAsia="仿宋_GB2312" w:cs="仿宋_GB2312"/>
          <w:b/>
          <w:i w:val="0"/>
          <w:caps w:val="0"/>
          <w:color w:val="333333"/>
          <w:spacing w:val="0"/>
          <w:sz w:val="36"/>
          <w:szCs w:val="36"/>
          <w:bdr w:val="none" w:color="auto" w:sz="0" w:space="0"/>
          <w:shd w:val="clear" w:fill="FEFEFE"/>
        </w:rPr>
        <w:t xml:space="preserve">第五条 </w:t>
      </w:r>
      <w:r>
        <w:rPr>
          <w:rFonts w:hint="default" w:ascii="仿宋_GB2312" w:hAnsi="Calibri" w:eastAsia="仿宋_GB2312" w:cs="仿宋_GB2312"/>
          <w:i w:val="0"/>
          <w:caps w:val="0"/>
          <w:color w:val="333333"/>
          <w:spacing w:val="0"/>
          <w:sz w:val="36"/>
          <w:szCs w:val="36"/>
          <w:bdr w:val="none" w:color="auto" w:sz="0" w:space="0"/>
          <w:shd w:val="clear" w:fill="FEFEFE"/>
        </w:rPr>
        <w:t>中国银保监会以风险为导向，制定定量资本要求、定性监管要求、市场约束机制相结合的偿付能力监管具体规则，对保险公司偿付能力充足率状况、综合风险、风险管理能力进行全面评价和监督检查，并依法采取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376" w:right="376" w:firstLine="720"/>
        <w:jc w:val="left"/>
        <w:rPr>
          <w:rFonts w:hint="default" w:ascii="Calibri" w:hAnsi="Calibri" w:cs="Calibri"/>
          <w:sz w:val="21"/>
          <w:szCs w:val="21"/>
        </w:rPr>
      </w:pPr>
      <w:r>
        <w:rPr>
          <w:rFonts w:hint="default" w:ascii="仿宋_GB2312" w:hAnsi="Calibri" w:eastAsia="仿宋_GB2312" w:cs="仿宋_GB2312"/>
          <w:b/>
          <w:i w:val="0"/>
          <w:caps w:val="0"/>
          <w:color w:val="333333"/>
          <w:spacing w:val="0"/>
          <w:sz w:val="36"/>
          <w:szCs w:val="36"/>
          <w:bdr w:val="none" w:color="auto" w:sz="0" w:space="0"/>
          <w:shd w:val="clear" w:fill="FEFEFE"/>
        </w:rPr>
        <w:t xml:space="preserve">第六条 </w:t>
      </w:r>
      <w:r>
        <w:rPr>
          <w:rFonts w:hint="default" w:ascii="仿宋_GB2312" w:hAnsi="Calibri" w:eastAsia="仿宋_GB2312" w:cs="仿宋_GB2312"/>
          <w:i w:val="0"/>
          <w:caps w:val="0"/>
          <w:color w:val="333333"/>
          <w:spacing w:val="0"/>
          <w:sz w:val="36"/>
          <w:szCs w:val="36"/>
          <w:bdr w:val="none" w:color="auto" w:sz="0" w:space="0"/>
          <w:shd w:val="clear" w:fill="FEFEFE"/>
        </w:rPr>
        <w:t>偿付能力监管指标包括：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376" w:right="376" w:firstLine="720"/>
        <w:jc w:val="left"/>
        <w:rPr>
          <w:rFonts w:hint="default" w:ascii="Calibri" w:hAnsi="Calibri" w:cs="Calibri"/>
          <w:sz w:val="21"/>
          <w:szCs w:val="21"/>
        </w:rPr>
      </w:pPr>
      <w:r>
        <w:rPr>
          <w:rFonts w:hint="default" w:ascii="仿宋_GB2312" w:hAnsi="Calibri" w:eastAsia="仿宋_GB2312" w:cs="仿宋_GB2312"/>
          <w:i w:val="0"/>
          <w:caps w:val="0"/>
          <w:color w:val="333333"/>
          <w:spacing w:val="0"/>
          <w:kern w:val="0"/>
          <w:sz w:val="36"/>
          <w:szCs w:val="36"/>
          <w:bdr w:val="none" w:color="auto" w:sz="0" w:space="0"/>
          <w:shd w:val="clear" w:fill="FEFEFE"/>
          <w:lang w:val="en-US" w:eastAsia="zh-CN" w:bidi="ar"/>
        </w:rPr>
        <w:t>（一）核心偿付能力充足率，即核心资本与最低资本的比值，衡量保险公司高质量资本的充足状况；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376" w:right="376" w:firstLine="720"/>
        <w:jc w:val="left"/>
        <w:rPr>
          <w:rFonts w:hint="default" w:ascii="Calibri" w:hAnsi="Calibri" w:cs="Calibri"/>
          <w:sz w:val="21"/>
          <w:szCs w:val="21"/>
        </w:rPr>
      </w:pPr>
      <w:r>
        <w:rPr>
          <w:rFonts w:hint="default" w:ascii="仿宋_GB2312" w:hAnsi="Calibri" w:eastAsia="仿宋_GB2312" w:cs="仿宋_GB2312"/>
          <w:i w:val="0"/>
          <w:caps w:val="0"/>
          <w:color w:val="333333"/>
          <w:spacing w:val="0"/>
          <w:kern w:val="0"/>
          <w:sz w:val="36"/>
          <w:szCs w:val="36"/>
          <w:bdr w:val="none" w:color="auto" w:sz="0" w:space="0"/>
          <w:shd w:val="clear" w:fill="FEFEFE"/>
          <w:lang w:val="en-US" w:eastAsia="zh-CN" w:bidi="ar"/>
        </w:rPr>
        <w:t>（二）综合偿付能力充足率，即实际资本与最低资本的比值，衡量保险公司资本的总体充足状况；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376" w:right="376" w:firstLine="720"/>
        <w:jc w:val="left"/>
        <w:rPr>
          <w:rFonts w:hint="default" w:ascii="Calibri" w:hAnsi="Calibri" w:cs="Calibri"/>
          <w:sz w:val="21"/>
          <w:szCs w:val="21"/>
        </w:rPr>
      </w:pPr>
      <w:r>
        <w:rPr>
          <w:rFonts w:hint="default" w:ascii="仿宋_GB2312" w:hAnsi="Calibri" w:eastAsia="仿宋_GB2312" w:cs="仿宋_GB2312"/>
          <w:i w:val="0"/>
          <w:caps w:val="0"/>
          <w:color w:val="333333"/>
          <w:spacing w:val="0"/>
          <w:kern w:val="0"/>
          <w:sz w:val="36"/>
          <w:szCs w:val="36"/>
          <w:bdr w:val="none" w:color="auto" w:sz="0" w:space="0"/>
          <w:shd w:val="clear" w:fill="FEFEFE"/>
          <w:lang w:val="en-US" w:eastAsia="zh-CN" w:bidi="ar"/>
        </w:rPr>
        <w:t>（三）风险综合评级，即对保险公司偿付能力综合风险的评价，衡量保险公司总体偿付能力风险的大小。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376" w:right="376" w:firstLine="720"/>
        <w:jc w:val="left"/>
        <w:rPr>
          <w:rFonts w:hint="default" w:ascii="Calibri" w:hAnsi="Calibri" w:cs="Calibri"/>
          <w:sz w:val="21"/>
          <w:szCs w:val="21"/>
        </w:rPr>
      </w:pPr>
      <w:r>
        <w:rPr>
          <w:rFonts w:hint="default" w:ascii="仿宋_GB2312" w:hAnsi="Calibri" w:eastAsia="仿宋_GB2312" w:cs="仿宋_GB2312"/>
          <w:i w:val="0"/>
          <w:caps w:val="0"/>
          <w:color w:val="333333"/>
          <w:spacing w:val="0"/>
          <w:kern w:val="0"/>
          <w:sz w:val="36"/>
          <w:szCs w:val="36"/>
          <w:bdr w:val="none" w:color="auto" w:sz="0" w:space="0"/>
          <w:shd w:val="clear" w:fill="FEFEFE"/>
          <w:lang w:val="en-US" w:eastAsia="zh-CN" w:bidi="ar"/>
        </w:rPr>
        <w:t>核心资本，是指保险公司在持续经营和破产清算状态下均可以吸收损失的资本。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376" w:right="376" w:firstLine="720"/>
        <w:jc w:val="left"/>
        <w:rPr>
          <w:rFonts w:hint="default" w:ascii="Calibri" w:hAnsi="Calibri" w:cs="Calibri"/>
          <w:sz w:val="21"/>
          <w:szCs w:val="21"/>
        </w:rPr>
      </w:pPr>
      <w:r>
        <w:rPr>
          <w:rFonts w:hint="default" w:ascii="仿宋_GB2312" w:hAnsi="Calibri" w:eastAsia="仿宋_GB2312" w:cs="仿宋_GB2312"/>
          <w:i w:val="0"/>
          <w:caps w:val="0"/>
          <w:color w:val="333333"/>
          <w:spacing w:val="0"/>
          <w:kern w:val="0"/>
          <w:sz w:val="36"/>
          <w:szCs w:val="36"/>
          <w:bdr w:val="none" w:color="auto" w:sz="0" w:space="0"/>
          <w:shd w:val="clear" w:fill="FEFEFE"/>
          <w:lang w:val="en-US" w:eastAsia="zh-CN" w:bidi="ar"/>
        </w:rPr>
        <w:t>实际资本，是指保险公司在持续经营或破产清算状态下可以吸收损失的财务资源。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376" w:right="376" w:firstLine="720"/>
        <w:jc w:val="left"/>
        <w:rPr>
          <w:rFonts w:hint="default" w:ascii="Calibri" w:hAnsi="Calibri" w:cs="Calibri"/>
          <w:sz w:val="21"/>
          <w:szCs w:val="21"/>
        </w:rPr>
      </w:pPr>
      <w:r>
        <w:rPr>
          <w:rFonts w:hint="default" w:ascii="仿宋_GB2312" w:hAnsi="Calibri" w:eastAsia="仿宋_GB2312" w:cs="仿宋_GB2312"/>
          <w:i w:val="0"/>
          <w:caps w:val="0"/>
          <w:color w:val="333333"/>
          <w:spacing w:val="0"/>
          <w:kern w:val="0"/>
          <w:sz w:val="36"/>
          <w:szCs w:val="36"/>
          <w:bdr w:val="none" w:color="auto" w:sz="0" w:space="0"/>
          <w:shd w:val="clear" w:fill="FEFEFE"/>
          <w:lang w:val="en-US" w:eastAsia="zh-CN" w:bidi="ar"/>
        </w:rPr>
        <w:t>最低资本，是指基于审慎监管目的，为使保险公司具有适当的财务资源应对各类可量化为资本要求的风险对偿付能力的不利影响，所要求保险公司应当具有的资本数额。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376" w:right="376" w:firstLine="720"/>
        <w:jc w:val="left"/>
        <w:rPr>
          <w:rFonts w:hint="default" w:ascii="Calibri" w:hAnsi="Calibri" w:cs="Calibri"/>
          <w:sz w:val="21"/>
          <w:szCs w:val="21"/>
        </w:rPr>
      </w:pPr>
      <w:r>
        <w:rPr>
          <w:rFonts w:hint="default" w:ascii="仿宋_GB2312" w:hAnsi="Calibri" w:eastAsia="仿宋_GB2312" w:cs="仿宋_GB2312"/>
          <w:i w:val="0"/>
          <w:caps w:val="0"/>
          <w:color w:val="333333"/>
          <w:spacing w:val="0"/>
          <w:kern w:val="0"/>
          <w:sz w:val="36"/>
          <w:szCs w:val="36"/>
          <w:bdr w:val="none" w:color="auto" w:sz="0" w:space="0"/>
          <w:shd w:val="clear" w:fill="FEFEFE"/>
          <w:lang w:val="en-US" w:eastAsia="zh-CN" w:bidi="ar"/>
        </w:rPr>
        <w:t>核心资本、实际资本、最低资本的计量标准等监管具体规则由中国银保监会另行规定。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376" w:right="376" w:firstLine="720"/>
        <w:jc w:val="left"/>
        <w:rPr>
          <w:rFonts w:hint="default" w:ascii="Calibri" w:hAnsi="Calibri" w:cs="Calibri"/>
          <w:sz w:val="21"/>
          <w:szCs w:val="21"/>
        </w:rPr>
      </w:pPr>
      <w:r>
        <w:rPr>
          <w:rFonts w:hint="default" w:ascii="仿宋_GB2312" w:hAnsi="Calibri" w:eastAsia="仿宋_GB2312" w:cs="仿宋_GB2312"/>
          <w:b/>
          <w:i w:val="0"/>
          <w:caps w:val="0"/>
          <w:color w:val="333333"/>
          <w:spacing w:val="0"/>
          <w:sz w:val="36"/>
          <w:szCs w:val="36"/>
          <w:bdr w:val="none" w:color="auto" w:sz="0" w:space="0"/>
          <w:shd w:val="clear" w:fill="FEFEFE"/>
        </w:rPr>
        <w:t xml:space="preserve">第七条 </w:t>
      </w:r>
      <w:r>
        <w:rPr>
          <w:rFonts w:hint="default" w:ascii="仿宋_GB2312" w:hAnsi="Calibri" w:eastAsia="仿宋_GB2312" w:cs="仿宋_GB2312"/>
          <w:i w:val="0"/>
          <w:caps w:val="0"/>
          <w:color w:val="333333"/>
          <w:spacing w:val="0"/>
          <w:sz w:val="36"/>
          <w:szCs w:val="36"/>
          <w:bdr w:val="none" w:color="auto" w:sz="0" w:space="0"/>
          <w:shd w:val="clear" w:fill="FEFEFE"/>
        </w:rPr>
        <w:t>保险公司逆周期附加资本、系统重要性保险机构附加资本的计提另行规定。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376" w:right="376" w:firstLine="720"/>
        <w:jc w:val="left"/>
        <w:rPr>
          <w:rFonts w:hint="default" w:ascii="Calibri" w:hAnsi="Calibri" w:cs="Calibri"/>
          <w:sz w:val="21"/>
          <w:szCs w:val="21"/>
        </w:rPr>
      </w:pPr>
      <w:r>
        <w:rPr>
          <w:rFonts w:hint="default" w:ascii="仿宋_GB2312" w:hAnsi="Calibri" w:eastAsia="仿宋_GB2312" w:cs="仿宋_GB2312"/>
          <w:b/>
          <w:i w:val="0"/>
          <w:caps w:val="0"/>
          <w:color w:val="333333"/>
          <w:spacing w:val="0"/>
          <w:sz w:val="36"/>
          <w:szCs w:val="36"/>
          <w:bdr w:val="none" w:color="auto" w:sz="0" w:space="0"/>
          <w:shd w:val="clear" w:fill="FEFEFE"/>
        </w:rPr>
        <w:t xml:space="preserve">第八条 </w:t>
      </w:r>
      <w:r>
        <w:rPr>
          <w:rFonts w:hint="default" w:ascii="仿宋_GB2312" w:hAnsi="Calibri" w:eastAsia="仿宋_GB2312" w:cs="仿宋_GB2312"/>
          <w:i w:val="0"/>
          <w:caps w:val="0"/>
          <w:color w:val="333333"/>
          <w:spacing w:val="0"/>
          <w:sz w:val="36"/>
          <w:szCs w:val="36"/>
          <w:bdr w:val="none" w:color="auto" w:sz="0" w:space="0"/>
          <w:shd w:val="clear" w:fill="FEFEFE"/>
        </w:rPr>
        <w:t>保险公司同时符合以下三项监管要求的，为偿付能力达标公司：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376" w:right="376" w:firstLine="720"/>
        <w:jc w:val="left"/>
        <w:rPr>
          <w:rFonts w:hint="default" w:ascii="Calibri" w:hAnsi="Calibri" w:cs="Calibri"/>
          <w:sz w:val="21"/>
          <w:szCs w:val="21"/>
        </w:rPr>
      </w:pPr>
      <w:r>
        <w:rPr>
          <w:rFonts w:hint="default" w:ascii="仿宋_GB2312" w:hAnsi="Calibri" w:eastAsia="仿宋_GB2312" w:cs="仿宋_GB2312"/>
          <w:i w:val="0"/>
          <w:caps w:val="0"/>
          <w:color w:val="333333"/>
          <w:spacing w:val="0"/>
          <w:sz w:val="36"/>
          <w:szCs w:val="36"/>
          <w:bdr w:val="none" w:color="auto" w:sz="0" w:space="0"/>
          <w:shd w:val="clear" w:fill="FEFEFE"/>
        </w:rPr>
        <w:t>（一）核心偿付能力充足率不低于50%；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376" w:right="376" w:firstLine="720"/>
        <w:jc w:val="left"/>
        <w:rPr>
          <w:rFonts w:hint="default" w:ascii="Calibri" w:hAnsi="Calibri" w:cs="Calibri"/>
          <w:sz w:val="21"/>
          <w:szCs w:val="21"/>
        </w:rPr>
      </w:pPr>
      <w:r>
        <w:rPr>
          <w:rFonts w:hint="default" w:ascii="仿宋_GB2312" w:hAnsi="Calibri" w:eastAsia="仿宋_GB2312" w:cs="仿宋_GB2312"/>
          <w:i w:val="0"/>
          <w:caps w:val="0"/>
          <w:color w:val="333333"/>
          <w:spacing w:val="0"/>
          <w:sz w:val="36"/>
          <w:szCs w:val="36"/>
          <w:bdr w:val="none" w:color="auto" w:sz="0" w:space="0"/>
          <w:shd w:val="clear" w:fill="FEFEFE"/>
        </w:rPr>
        <w:t>（二）综合偿付能力充足率不低于100%；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376" w:right="376" w:firstLine="720"/>
        <w:jc w:val="left"/>
        <w:rPr>
          <w:rFonts w:hint="default" w:ascii="Calibri" w:hAnsi="Calibri" w:cs="Calibri"/>
          <w:sz w:val="21"/>
          <w:szCs w:val="21"/>
        </w:rPr>
      </w:pPr>
      <w:r>
        <w:rPr>
          <w:rFonts w:hint="default" w:ascii="仿宋_GB2312" w:hAnsi="Calibri" w:eastAsia="仿宋_GB2312" w:cs="仿宋_GB2312"/>
          <w:i w:val="0"/>
          <w:caps w:val="0"/>
          <w:color w:val="333333"/>
          <w:spacing w:val="0"/>
          <w:sz w:val="36"/>
          <w:szCs w:val="36"/>
          <w:bdr w:val="none" w:color="auto" w:sz="0" w:space="0"/>
          <w:shd w:val="clear" w:fill="FEFEFE"/>
        </w:rPr>
        <w:t>（三）风险综合评级在B类及以上。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376" w:right="376" w:firstLine="720"/>
        <w:jc w:val="left"/>
        <w:rPr>
          <w:rFonts w:hint="default" w:ascii="Calibri" w:hAnsi="Calibri" w:cs="Calibri"/>
          <w:sz w:val="21"/>
          <w:szCs w:val="21"/>
        </w:rPr>
      </w:pPr>
      <w:r>
        <w:rPr>
          <w:rFonts w:hint="default" w:ascii="仿宋_GB2312" w:hAnsi="Calibri" w:eastAsia="仿宋_GB2312" w:cs="仿宋_GB2312"/>
          <w:i w:val="0"/>
          <w:caps w:val="0"/>
          <w:color w:val="333333"/>
          <w:spacing w:val="0"/>
          <w:kern w:val="0"/>
          <w:sz w:val="36"/>
          <w:szCs w:val="36"/>
          <w:bdr w:val="none" w:color="auto" w:sz="0" w:space="0"/>
          <w:shd w:val="clear" w:fill="FEFEFE"/>
          <w:lang w:val="en-US" w:eastAsia="zh-CN" w:bidi="ar"/>
        </w:rPr>
        <w:t>不符合上述任意一项要求的，为偿付能力不达标公司。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1096" w:right="376" w:hanging="720"/>
        <w:jc w:val="center"/>
        <w:rPr>
          <w:rFonts w:hint="default" w:ascii="Calibri" w:hAnsi="Calibri" w:cs="Calibri"/>
          <w:sz w:val="21"/>
          <w:szCs w:val="21"/>
        </w:rPr>
      </w:pPr>
      <w:r>
        <w:rPr>
          <w:rFonts w:hint="eastAsia" w:ascii="黑体" w:hAnsi="宋体" w:eastAsia="黑体" w:cs="黑体"/>
          <w:b w:val="0"/>
          <w:i w:val="0"/>
          <w:caps w:val="0"/>
          <w:color w:val="333333"/>
          <w:spacing w:val="0"/>
          <w:sz w:val="36"/>
          <w:szCs w:val="36"/>
          <w:bdr w:val="none" w:color="auto" w:sz="0" w:space="0"/>
          <w:shd w:val="clear" w:fill="FEFEFE"/>
        </w:rPr>
        <w:t>第二章 保险公司偿付能力管理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376" w:right="376" w:firstLine="720"/>
        <w:jc w:val="left"/>
        <w:rPr>
          <w:rFonts w:hint="default" w:ascii="Calibri" w:hAnsi="Calibri" w:cs="Calibri"/>
          <w:sz w:val="21"/>
          <w:szCs w:val="21"/>
        </w:rPr>
      </w:pPr>
      <w:r>
        <w:rPr>
          <w:rFonts w:hint="default" w:ascii="仿宋_GB2312" w:hAnsi="Calibri" w:eastAsia="仿宋_GB2312" w:cs="仿宋_GB2312"/>
          <w:b/>
          <w:i w:val="0"/>
          <w:caps w:val="0"/>
          <w:color w:val="333333"/>
          <w:spacing w:val="0"/>
          <w:sz w:val="36"/>
          <w:szCs w:val="36"/>
          <w:bdr w:val="none" w:color="auto" w:sz="0" w:space="0"/>
          <w:shd w:val="clear" w:fill="FEFEFE"/>
        </w:rPr>
        <w:t xml:space="preserve">第九条 </w:t>
      </w:r>
      <w:r>
        <w:rPr>
          <w:rFonts w:hint="default" w:ascii="仿宋_GB2312" w:hAnsi="Calibri" w:eastAsia="仿宋_GB2312" w:cs="仿宋_GB2312"/>
          <w:i w:val="0"/>
          <w:caps w:val="0"/>
          <w:color w:val="333333"/>
          <w:spacing w:val="0"/>
          <w:sz w:val="36"/>
          <w:szCs w:val="36"/>
          <w:bdr w:val="none" w:color="auto" w:sz="0" w:space="0"/>
          <w:shd w:val="clear" w:fill="FEFEFE"/>
        </w:rPr>
        <w:t>保险公司董事会和高级管理层对本公司的偿付能力管理工作负责；总公司不在中国境内的外国保险公司分公司的高级管理层对本公司的偿付能力管理工作负责。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376" w:right="376" w:firstLine="720"/>
        <w:jc w:val="left"/>
        <w:rPr>
          <w:rFonts w:hint="default" w:ascii="Calibri" w:hAnsi="Calibri" w:cs="Calibri"/>
          <w:sz w:val="21"/>
          <w:szCs w:val="21"/>
        </w:rPr>
      </w:pPr>
      <w:r>
        <w:rPr>
          <w:rFonts w:hint="default" w:ascii="仿宋_GB2312" w:hAnsi="Calibri" w:eastAsia="仿宋_GB2312" w:cs="仿宋_GB2312"/>
          <w:b/>
          <w:i w:val="0"/>
          <w:caps w:val="0"/>
          <w:color w:val="333333"/>
          <w:spacing w:val="0"/>
          <w:sz w:val="36"/>
          <w:szCs w:val="36"/>
          <w:bdr w:val="none" w:color="auto" w:sz="0" w:space="0"/>
          <w:shd w:val="clear" w:fill="FEFEFE"/>
        </w:rPr>
        <w:t xml:space="preserve">第十条 </w:t>
      </w:r>
      <w:r>
        <w:rPr>
          <w:rFonts w:hint="default" w:ascii="仿宋_GB2312" w:hAnsi="Calibri" w:eastAsia="仿宋_GB2312" w:cs="仿宋_GB2312"/>
          <w:i w:val="0"/>
          <w:caps w:val="0"/>
          <w:color w:val="333333"/>
          <w:spacing w:val="0"/>
          <w:sz w:val="36"/>
          <w:szCs w:val="36"/>
          <w:bdr w:val="none" w:color="auto" w:sz="0" w:space="0"/>
          <w:shd w:val="clear" w:fill="FEFEFE"/>
        </w:rPr>
        <w:t>保险公司应当建立健全偿付能力风险管理的组织架构，明确董事会及其相关专业委员会、高级管理层和相关部门的职责与权限，并指定一名高级管理人员作为首席风险官负责偿付能力风险管理工作。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376" w:right="376" w:firstLine="720"/>
        <w:jc w:val="left"/>
        <w:rPr>
          <w:rFonts w:hint="default" w:ascii="Calibri" w:hAnsi="Calibri" w:cs="Calibri"/>
          <w:sz w:val="21"/>
          <w:szCs w:val="21"/>
        </w:rPr>
      </w:pPr>
      <w:r>
        <w:rPr>
          <w:rFonts w:hint="default" w:ascii="仿宋_GB2312" w:hAnsi="Calibri" w:eastAsia="仿宋_GB2312" w:cs="仿宋_GB2312"/>
          <w:i w:val="0"/>
          <w:caps w:val="0"/>
          <w:color w:val="333333"/>
          <w:spacing w:val="0"/>
          <w:sz w:val="36"/>
          <w:szCs w:val="36"/>
          <w:bdr w:val="none" w:color="auto" w:sz="0" w:space="0"/>
          <w:shd w:val="clear" w:fill="FEFEFE"/>
        </w:rPr>
        <w:t>保险公司应当通过聘用协议、书面承诺等方式，明确对于造成公司偿付能力风险和损失的董事和高级管理人员，公司有权追回已发的薪酬。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376" w:right="376" w:firstLine="720"/>
        <w:jc w:val="left"/>
        <w:rPr>
          <w:rFonts w:hint="default" w:ascii="Calibri" w:hAnsi="Calibri" w:cs="Calibri"/>
          <w:sz w:val="21"/>
          <w:szCs w:val="21"/>
        </w:rPr>
      </w:pPr>
      <w:r>
        <w:rPr>
          <w:rFonts w:hint="default" w:ascii="仿宋_GB2312" w:hAnsi="Calibri" w:eastAsia="仿宋_GB2312" w:cs="仿宋_GB2312"/>
          <w:i w:val="0"/>
          <w:caps w:val="0"/>
          <w:color w:val="333333"/>
          <w:spacing w:val="0"/>
          <w:sz w:val="36"/>
          <w:szCs w:val="36"/>
          <w:bdr w:val="none" w:color="auto" w:sz="0" w:space="0"/>
          <w:shd w:val="clear" w:fill="FEFEFE"/>
        </w:rPr>
        <w:t>未设置董事会及相关专业委员会的外国保险公司分公司，由高级管理层履行偿付能力风险管理的相关职责。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376" w:right="376" w:firstLine="720"/>
        <w:jc w:val="left"/>
        <w:rPr>
          <w:rFonts w:hint="default" w:ascii="Calibri" w:hAnsi="Calibri" w:cs="Calibri"/>
          <w:sz w:val="21"/>
          <w:szCs w:val="21"/>
        </w:rPr>
      </w:pPr>
      <w:r>
        <w:rPr>
          <w:rFonts w:hint="default" w:ascii="仿宋_GB2312" w:hAnsi="Calibri" w:eastAsia="仿宋_GB2312" w:cs="仿宋_GB2312"/>
          <w:b/>
          <w:i w:val="0"/>
          <w:caps w:val="0"/>
          <w:color w:val="333333"/>
          <w:spacing w:val="0"/>
          <w:sz w:val="36"/>
          <w:szCs w:val="36"/>
          <w:bdr w:val="none" w:color="auto" w:sz="0" w:space="0"/>
          <w:shd w:val="clear" w:fill="FEFEFE"/>
        </w:rPr>
        <w:t xml:space="preserve">第十一条 </w:t>
      </w:r>
      <w:r>
        <w:rPr>
          <w:rFonts w:hint="default" w:ascii="仿宋_GB2312" w:hAnsi="Calibri" w:eastAsia="仿宋_GB2312" w:cs="仿宋_GB2312"/>
          <w:i w:val="0"/>
          <w:caps w:val="0"/>
          <w:color w:val="333333"/>
          <w:spacing w:val="0"/>
          <w:sz w:val="36"/>
          <w:szCs w:val="36"/>
          <w:bdr w:val="none" w:color="auto" w:sz="0" w:space="0"/>
          <w:shd w:val="clear" w:fill="FEFEFE"/>
        </w:rPr>
        <w:t>保险公司应当建立完备的偿付能力风险管理制度和机制，加强对保险风险、市场风险、信用风险、操作风险、战略风险、声誉风险和流动性风险等固有风险的管理，以有效降低公司的控制风险。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376" w:right="376" w:firstLine="720"/>
        <w:jc w:val="left"/>
        <w:rPr>
          <w:rFonts w:hint="default" w:ascii="Calibri" w:hAnsi="Calibri" w:cs="Calibri"/>
          <w:sz w:val="21"/>
          <w:szCs w:val="21"/>
        </w:rPr>
      </w:pPr>
      <w:r>
        <w:rPr>
          <w:rFonts w:hint="default" w:ascii="仿宋_GB2312" w:hAnsi="Calibri" w:eastAsia="仿宋_GB2312" w:cs="仿宋_GB2312"/>
          <w:i w:val="0"/>
          <w:caps w:val="0"/>
          <w:color w:val="333333"/>
          <w:spacing w:val="0"/>
          <w:sz w:val="36"/>
          <w:szCs w:val="36"/>
          <w:bdr w:val="none" w:color="auto" w:sz="0" w:space="0"/>
          <w:shd w:val="clear" w:fill="FEFEFE"/>
        </w:rPr>
        <w:t>固有风险，是指在现有的正常的保险行业物质技术条件和生产组织方式下，保险公司在经营和管理活动中必然存在的客观的偿付能力相关风险。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376" w:right="376" w:firstLine="640"/>
        <w:jc w:val="left"/>
        <w:rPr>
          <w:rFonts w:hint="default" w:ascii="Calibri" w:hAnsi="Calibri" w:cs="Calibri"/>
          <w:sz w:val="21"/>
          <w:szCs w:val="21"/>
        </w:rPr>
      </w:pPr>
      <w:r>
        <w:rPr>
          <w:rFonts w:hint="default" w:ascii="仿宋_GB2312" w:hAnsi="Calibri" w:eastAsia="仿宋_GB2312" w:cs="仿宋_GB2312"/>
          <w:i w:val="0"/>
          <w:caps w:val="0"/>
          <w:color w:val="333333"/>
          <w:spacing w:val="0"/>
          <w:sz w:val="36"/>
          <w:szCs w:val="36"/>
          <w:bdr w:val="none" w:color="auto" w:sz="0" w:space="0"/>
          <w:shd w:val="clear" w:fill="FEFEFE"/>
        </w:rPr>
        <w:t>控制风险，是指因保险公司内部管理和控制不完善或无效，导致固有风险未被及时识别和控制的偿付能力相关风险。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376" w:right="376" w:firstLine="720"/>
        <w:jc w:val="left"/>
        <w:rPr>
          <w:rFonts w:hint="default" w:ascii="Calibri" w:hAnsi="Calibri" w:cs="Calibri"/>
          <w:sz w:val="21"/>
          <w:szCs w:val="21"/>
        </w:rPr>
      </w:pPr>
      <w:r>
        <w:rPr>
          <w:rFonts w:hint="default" w:ascii="仿宋_GB2312" w:hAnsi="Calibri" w:eastAsia="仿宋_GB2312" w:cs="仿宋_GB2312"/>
          <w:b/>
          <w:i w:val="0"/>
          <w:caps w:val="0"/>
          <w:color w:val="333333"/>
          <w:spacing w:val="0"/>
          <w:sz w:val="36"/>
          <w:szCs w:val="36"/>
          <w:bdr w:val="none" w:color="auto" w:sz="0" w:space="0"/>
          <w:shd w:val="clear" w:fill="FEFEFE"/>
        </w:rPr>
        <w:t xml:space="preserve">第十二条 </w:t>
      </w:r>
      <w:r>
        <w:rPr>
          <w:rFonts w:hint="default" w:ascii="仿宋_GB2312" w:hAnsi="Calibri" w:eastAsia="仿宋_GB2312" w:cs="仿宋_GB2312"/>
          <w:i w:val="0"/>
          <w:caps w:val="0"/>
          <w:color w:val="333333"/>
          <w:spacing w:val="0"/>
          <w:sz w:val="36"/>
          <w:szCs w:val="36"/>
          <w:bdr w:val="none" w:color="auto" w:sz="0" w:space="0"/>
          <w:shd w:val="clear" w:fill="FEFEFE"/>
        </w:rPr>
        <w:t>保险公司应当按照保险公司偿付能力监管具体规则，定期评估公司的偿付能力充足状况，计算核心偿付能力充足率和综合偿付能力充足率，按规定要求报送偿付能力报告，并对其真实性、完整性和合规性负责。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376" w:right="376" w:firstLine="720"/>
        <w:jc w:val="left"/>
        <w:rPr>
          <w:rFonts w:hint="default" w:ascii="Calibri" w:hAnsi="Calibri" w:cs="Calibri"/>
          <w:sz w:val="21"/>
          <w:szCs w:val="21"/>
        </w:rPr>
      </w:pPr>
      <w:r>
        <w:rPr>
          <w:rFonts w:hint="default" w:ascii="仿宋_GB2312" w:hAnsi="Calibri" w:eastAsia="仿宋_GB2312" w:cs="仿宋_GB2312"/>
          <w:b/>
          <w:i w:val="0"/>
          <w:caps w:val="0"/>
          <w:color w:val="333333"/>
          <w:spacing w:val="0"/>
          <w:sz w:val="36"/>
          <w:szCs w:val="36"/>
          <w:bdr w:val="none" w:color="auto" w:sz="0" w:space="0"/>
          <w:shd w:val="clear" w:fill="FEFEFE"/>
        </w:rPr>
        <w:t xml:space="preserve">第十三条 </w:t>
      </w:r>
      <w:r>
        <w:rPr>
          <w:rFonts w:hint="default" w:ascii="仿宋_GB2312" w:hAnsi="Calibri" w:eastAsia="仿宋_GB2312" w:cs="仿宋_GB2312"/>
          <w:i w:val="0"/>
          <w:caps w:val="0"/>
          <w:color w:val="333333"/>
          <w:spacing w:val="0"/>
          <w:sz w:val="36"/>
          <w:szCs w:val="36"/>
          <w:bdr w:val="none" w:color="auto" w:sz="0" w:space="0"/>
          <w:shd w:val="clear" w:fill="FEFEFE"/>
        </w:rPr>
        <w:t>保险公司应当按照中国银保监会的规定开展偿付能力压力测试，对未来一定时间内不同情景下的偿付能力状况及趋势进行预测和预警，并采取相应的预防措施。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376" w:right="376" w:firstLine="720"/>
        <w:jc w:val="left"/>
        <w:rPr>
          <w:rFonts w:hint="default" w:ascii="Calibri" w:hAnsi="Calibri" w:cs="Calibri"/>
          <w:sz w:val="21"/>
          <w:szCs w:val="21"/>
        </w:rPr>
      </w:pPr>
      <w:r>
        <w:rPr>
          <w:rFonts w:hint="default" w:ascii="仿宋_GB2312" w:hAnsi="Calibri" w:eastAsia="仿宋_GB2312" w:cs="仿宋_GB2312"/>
          <w:b/>
          <w:i w:val="0"/>
          <w:caps w:val="0"/>
          <w:color w:val="333333"/>
          <w:spacing w:val="0"/>
          <w:sz w:val="36"/>
          <w:szCs w:val="36"/>
          <w:bdr w:val="none" w:color="auto" w:sz="0" w:space="0"/>
          <w:shd w:val="clear" w:fill="FEFEFE"/>
        </w:rPr>
        <w:t xml:space="preserve">第十四条 </w:t>
      </w:r>
      <w:r>
        <w:rPr>
          <w:rFonts w:hint="default" w:ascii="仿宋_GB2312" w:hAnsi="Calibri" w:eastAsia="仿宋_GB2312" w:cs="仿宋_GB2312"/>
          <w:i w:val="0"/>
          <w:caps w:val="0"/>
          <w:color w:val="333333"/>
          <w:spacing w:val="0"/>
          <w:sz w:val="36"/>
          <w:szCs w:val="36"/>
          <w:bdr w:val="none" w:color="auto" w:sz="0" w:space="0"/>
          <w:shd w:val="clear" w:fill="FEFEFE"/>
        </w:rPr>
        <w:t>保险公司应当建立偿付能力数据管理制度，明确职责分工，完善管理机制，强化数据管控，确保各项偿付能力数据真实、准确、完整。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376" w:right="376" w:firstLine="720"/>
        <w:jc w:val="left"/>
        <w:rPr>
          <w:rFonts w:hint="default" w:ascii="Calibri" w:hAnsi="Calibri" w:cs="Calibri"/>
          <w:sz w:val="21"/>
          <w:szCs w:val="21"/>
        </w:rPr>
      </w:pPr>
      <w:r>
        <w:rPr>
          <w:rFonts w:hint="default" w:ascii="仿宋_GB2312" w:hAnsi="Calibri" w:eastAsia="仿宋_GB2312" w:cs="仿宋_GB2312"/>
          <w:b/>
          <w:i w:val="0"/>
          <w:caps w:val="0"/>
          <w:color w:val="333333"/>
          <w:spacing w:val="0"/>
          <w:sz w:val="36"/>
          <w:szCs w:val="36"/>
          <w:bdr w:val="none" w:color="auto" w:sz="0" w:space="0"/>
          <w:shd w:val="clear" w:fill="FEFEFE"/>
        </w:rPr>
        <w:t xml:space="preserve">第十五条 </w:t>
      </w:r>
      <w:r>
        <w:rPr>
          <w:rFonts w:hint="default" w:ascii="仿宋_GB2312" w:hAnsi="Calibri" w:eastAsia="仿宋_GB2312" w:cs="仿宋_GB2312"/>
          <w:i w:val="0"/>
          <w:caps w:val="0"/>
          <w:color w:val="333333"/>
          <w:spacing w:val="0"/>
          <w:sz w:val="36"/>
          <w:szCs w:val="36"/>
          <w:bdr w:val="none" w:color="auto" w:sz="0" w:space="0"/>
          <w:shd w:val="clear" w:fill="FEFEFE"/>
        </w:rPr>
        <w:t>保险公司应当按年度滚动编制公司三年资本规划，经公司董事会批准后，报送中国银保监会及其派出机构。保险公司应建立发展战略、经营规划、机构设立、产品设计、资金运用与资本规划联动的管理决策机制，通过优化业务结构、资产结构，提升内生资本的能力，运用适当的外部资本工具补充资本，保持偿付能力充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1096" w:right="376" w:hanging="720"/>
        <w:jc w:val="center"/>
        <w:rPr>
          <w:rFonts w:hint="default" w:ascii="Calibri" w:hAnsi="Calibri" w:cs="Calibri"/>
          <w:sz w:val="21"/>
          <w:szCs w:val="21"/>
        </w:rPr>
      </w:pPr>
      <w:r>
        <w:rPr>
          <w:rFonts w:hint="eastAsia" w:ascii="黑体" w:hAnsi="宋体" w:eastAsia="黑体" w:cs="黑体"/>
          <w:b w:val="0"/>
          <w:i w:val="0"/>
          <w:caps w:val="0"/>
          <w:color w:val="333333"/>
          <w:spacing w:val="0"/>
          <w:sz w:val="36"/>
          <w:szCs w:val="36"/>
          <w:bdr w:val="none" w:color="auto" w:sz="0" w:space="0"/>
          <w:shd w:val="clear" w:fill="FEFEFE"/>
        </w:rPr>
        <w:t>第三章 市场约束与监督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376" w:right="376" w:firstLine="720"/>
        <w:jc w:val="left"/>
        <w:rPr>
          <w:rFonts w:hint="default" w:ascii="Calibri" w:hAnsi="Calibri" w:cs="Calibri"/>
          <w:sz w:val="21"/>
          <w:szCs w:val="21"/>
        </w:rPr>
      </w:pPr>
      <w:r>
        <w:rPr>
          <w:rFonts w:hint="default" w:ascii="仿宋_GB2312" w:hAnsi="Calibri" w:eastAsia="仿宋_GB2312" w:cs="仿宋_GB2312"/>
          <w:b/>
          <w:i w:val="0"/>
          <w:caps w:val="0"/>
          <w:color w:val="333333"/>
          <w:spacing w:val="0"/>
          <w:sz w:val="36"/>
          <w:szCs w:val="36"/>
          <w:bdr w:val="none" w:color="auto" w:sz="0" w:space="0"/>
          <w:shd w:val="clear" w:fill="FEFEFE"/>
        </w:rPr>
        <w:t xml:space="preserve">第十六条 </w:t>
      </w:r>
      <w:r>
        <w:rPr>
          <w:rFonts w:hint="default" w:ascii="仿宋_GB2312" w:hAnsi="Calibri" w:eastAsia="仿宋_GB2312" w:cs="仿宋_GB2312"/>
          <w:i w:val="0"/>
          <w:caps w:val="0"/>
          <w:color w:val="333333"/>
          <w:spacing w:val="0"/>
          <w:sz w:val="36"/>
          <w:szCs w:val="36"/>
          <w:bdr w:val="none" w:color="auto" w:sz="0" w:space="0"/>
          <w:shd w:val="clear" w:fill="FEFEFE"/>
        </w:rPr>
        <w:t>保险公司应当按照中国银保监会制定的保险公司偿付能力监管具体规则，每季度公开披露偿付能力季度报告摘要，并在日常经营的有关环节，向保险消费者、股东、潜在投资者、债权人等利益相关方披露和说明其偿付能力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376" w:right="376" w:firstLine="720"/>
        <w:jc w:val="left"/>
        <w:rPr>
          <w:rFonts w:hint="default" w:ascii="Calibri" w:hAnsi="Calibri" w:cs="Calibri"/>
          <w:sz w:val="21"/>
          <w:szCs w:val="21"/>
        </w:rPr>
      </w:pPr>
      <w:r>
        <w:rPr>
          <w:rFonts w:hint="default" w:ascii="仿宋_GB2312" w:hAnsi="Calibri" w:eastAsia="仿宋_GB2312" w:cs="仿宋_GB2312"/>
          <w:i w:val="0"/>
          <w:caps w:val="0"/>
          <w:color w:val="333333"/>
          <w:spacing w:val="0"/>
          <w:sz w:val="36"/>
          <w:szCs w:val="36"/>
          <w:bdr w:val="none" w:color="auto" w:sz="0" w:space="0"/>
          <w:shd w:val="clear" w:fill="FEFEFE"/>
        </w:rPr>
        <w:t>上市保险公司应当同时遵守证券监督管理机构相关信息披露规定。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376" w:right="376" w:firstLine="720"/>
        <w:jc w:val="left"/>
        <w:rPr>
          <w:rFonts w:hint="default" w:ascii="Calibri" w:hAnsi="Calibri" w:cs="Calibri"/>
          <w:sz w:val="21"/>
          <w:szCs w:val="21"/>
        </w:rPr>
      </w:pPr>
      <w:r>
        <w:rPr>
          <w:rFonts w:hint="default" w:ascii="仿宋_GB2312" w:hAnsi="Calibri" w:eastAsia="仿宋_GB2312" w:cs="仿宋_GB2312"/>
          <w:b/>
          <w:i w:val="0"/>
          <w:caps w:val="0"/>
          <w:color w:val="333333"/>
          <w:spacing w:val="0"/>
          <w:sz w:val="36"/>
          <w:szCs w:val="36"/>
          <w:bdr w:val="none" w:color="auto" w:sz="0" w:space="0"/>
          <w:shd w:val="clear" w:fill="FEFEFE"/>
        </w:rPr>
        <w:t xml:space="preserve">第十七条 </w:t>
      </w:r>
      <w:r>
        <w:rPr>
          <w:rFonts w:hint="default" w:ascii="仿宋_GB2312" w:hAnsi="Calibri" w:eastAsia="仿宋_GB2312" w:cs="仿宋_GB2312"/>
          <w:i w:val="0"/>
          <w:caps w:val="0"/>
          <w:color w:val="333333"/>
          <w:spacing w:val="0"/>
          <w:sz w:val="36"/>
          <w:szCs w:val="36"/>
          <w:bdr w:val="none" w:color="auto" w:sz="0" w:space="0"/>
          <w:shd w:val="clear" w:fill="FEFEFE"/>
        </w:rPr>
        <w:t>中国银保监会定期发布以下偿付能力信息：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376" w:right="376" w:firstLine="720"/>
        <w:jc w:val="left"/>
        <w:rPr>
          <w:rFonts w:hint="default" w:ascii="Calibri" w:hAnsi="Calibri" w:cs="Calibri"/>
          <w:sz w:val="21"/>
          <w:szCs w:val="21"/>
        </w:rPr>
      </w:pPr>
      <w:r>
        <w:rPr>
          <w:rFonts w:hint="default" w:ascii="仿宋_GB2312" w:hAnsi="Calibri" w:eastAsia="仿宋_GB2312" w:cs="仿宋_GB2312"/>
          <w:i w:val="0"/>
          <w:caps w:val="0"/>
          <w:color w:val="333333"/>
          <w:spacing w:val="0"/>
          <w:sz w:val="36"/>
          <w:szCs w:val="36"/>
          <w:bdr w:val="none" w:color="auto" w:sz="0" w:space="0"/>
          <w:shd w:val="clear" w:fill="FEFEFE"/>
        </w:rPr>
        <w:t>（一）保险业偿付能力总体状况；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376" w:right="376" w:firstLine="720"/>
        <w:jc w:val="left"/>
        <w:rPr>
          <w:rFonts w:hint="default" w:ascii="Calibri" w:hAnsi="Calibri" w:cs="Calibri"/>
          <w:sz w:val="21"/>
          <w:szCs w:val="21"/>
        </w:rPr>
      </w:pPr>
      <w:r>
        <w:rPr>
          <w:rFonts w:hint="default" w:ascii="仿宋_GB2312" w:hAnsi="Calibri" w:eastAsia="仿宋_GB2312" w:cs="仿宋_GB2312"/>
          <w:i w:val="0"/>
          <w:caps w:val="0"/>
          <w:color w:val="333333"/>
          <w:spacing w:val="0"/>
          <w:sz w:val="36"/>
          <w:szCs w:val="36"/>
          <w:bdr w:val="none" w:color="auto" w:sz="0" w:space="0"/>
          <w:shd w:val="clear" w:fill="FEFEFE"/>
        </w:rPr>
        <w:t>（二）偿付能力监管工作情况；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376" w:right="376" w:firstLine="720"/>
        <w:jc w:val="left"/>
        <w:rPr>
          <w:rFonts w:hint="default" w:ascii="Calibri" w:hAnsi="Calibri" w:cs="Calibri"/>
          <w:sz w:val="21"/>
          <w:szCs w:val="21"/>
        </w:rPr>
      </w:pPr>
      <w:r>
        <w:rPr>
          <w:rFonts w:hint="default" w:ascii="仿宋_GB2312" w:hAnsi="Calibri" w:eastAsia="仿宋_GB2312" w:cs="仿宋_GB2312"/>
          <w:i w:val="0"/>
          <w:caps w:val="0"/>
          <w:color w:val="333333"/>
          <w:spacing w:val="0"/>
          <w:sz w:val="36"/>
          <w:szCs w:val="36"/>
          <w:bdr w:val="none" w:color="auto" w:sz="0" w:space="0"/>
          <w:shd w:val="clear" w:fill="FEFEFE"/>
        </w:rPr>
        <w:t>（三）中国银保监会认为需要发布的其他偿付能力信息。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376" w:right="376" w:firstLine="720"/>
        <w:jc w:val="left"/>
        <w:rPr>
          <w:rFonts w:hint="default" w:ascii="Calibri" w:hAnsi="Calibri" w:cs="Calibri"/>
          <w:sz w:val="21"/>
          <w:szCs w:val="21"/>
        </w:rPr>
      </w:pPr>
      <w:r>
        <w:rPr>
          <w:rFonts w:hint="default" w:ascii="仿宋_GB2312" w:hAnsi="Calibri" w:eastAsia="仿宋_GB2312" w:cs="仿宋_GB2312"/>
          <w:b/>
          <w:i w:val="0"/>
          <w:caps w:val="0"/>
          <w:color w:val="333333"/>
          <w:spacing w:val="0"/>
          <w:sz w:val="36"/>
          <w:szCs w:val="36"/>
          <w:bdr w:val="none" w:color="auto" w:sz="0" w:space="0"/>
          <w:shd w:val="clear" w:fill="FEFEFE"/>
        </w:rPr>
        <w:t xml:space="preserve">第十八条 </w:t>
      </w:r>
      <w:r>
        <w:rPr>
          <w:rFonts w:hint="default" w:ascii="仿宋_GB2312" w:hAnsi="Calibri" w:eastAsia="仿宋_GB2312" w:cs="仿宋_GB2312"/>
          <w:i w:val="0"/>
          <w:caps w:val="0"/>
          <w:color w:val="333333"/>
          <w:spacing w:val="0"/>
          <w:sz w:val="36"/>
          <w:szCs w:val="36"/>
          <w:bdr w:val="none" w:color="auto" w:sz="0" w:space="0"/>
          <w:shd w:val="clear" w:fill="FEFEFE"/>
        </w:rPr>
        <w:t>保险公司聘请的会计师事务所应当按照法律法规的要求，独立、客观地对保险公司偿付能力报告发表审计意见。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376" w:right="376" w:firstLine="720"/>
        <w:jc w:val="left"/>
        <w:rPr>
          <w:rFonts w:hint="default" w:ascii="Calibri" w:hAnsi="Calibri" w:cs="Calibri"/>
          <w:sz w:val="21"/>
          <w:szCs w:val="21"/>
        </w:rPr>
      </w:pPr>
      <w:r>
        <w:rPr>
          <w:rFonts w:hint="default" w:ascii="仿宋_GB2312" w:hAnsi="Calibri" w:eastAsia="仿宋_GB2312" w:cs="仿宋_GB2312"/>
          <w:i w:val="0"/>
          <w:caps w:val="0"/>
          <w:color w:val="333333"/>
          <w:spacing w:val="0"/>
          <w:kern w:val="0"/>
          <w:sz w:val="36"/>
          <w:szCs w:val="36"/>
          <w:bdr w:val="none" w:color="auto" w:sz="0" w:space="0"/>
          <w:shd w:val="clear" w:fill="FEFEFE"/>
          <w:lang w:val="en-US" w:eastAsia="zh-CN" w:bidi="ar"/>
        </w:rPr>
        <w:t>精算咨询机构、信用评级机构、资产评估机构、律师事务所等中介机构在保险业开展业务，应当按照法律法规和执业准则要求，发表意见或出具报告。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376" w:right="376" w:firstLine="720"/>
        <w:jc w:val="left"/>
        <w:rPr>
          <w:rFonts w:hint="default" w:ascii="Calibri" w:hAnsi="Calibri" w:cs="Calibri"/>
          <w:sz w:val="21"/>
          <w:szCs w:val="21"/>
        </w:rPr>
      </w:pPr>
      <w:r>
        <w:rPr>
          <w:rFonts w:hint="default" w:ascii="仿宋_GB2312" w:hAnsi="Calibri" w:eastAsia="仿宋_GB2312" w:cs="仿宋_GB2312"/>
          <w:b/>
          <w:i w:val="0"/>
          <w:caps w:val="0"/>
          <w:color w:val="333333"/>
          <w:spacing w:val="0"/>
          <w:sz w:val="36"/>
          <w:szCs w:val="36"/>
          <w:bdr w:val="none" w:color="auto" w:sz="0" w:space="0"/>
          <w:shd w:val="clear" w:fill="FEFEFE"/>
        </w:rPr>
        <w:t xml:space="preserve">第十九条 </w:t>
      </w:r>
      <w:r>
        <w:rPr>
          <w:rFonts w:hint="default" w:ascii="仿宋_GB2312" w:hAnsi="Calibri" w:eastAsia="仿宋_GB2312" w:cs="仿宋_GB2312"/>
          <w:i w:val="0"/>
          <w:caps w:val="0"/>
          <w:color w:val="333333"/>
          <w:spacing w:val="0"/>
          <w:sz w:val="36"/>
          <w:szCs w:val="36"/>
          <w:bdr w:val="none" w:color="auto" w:sz="0" w:space="0"/>
          <w:shd w:val="clear" w:fill="FEFEFE"/>
        </w:rPr>
        <w:t>保险消费者、新闻媒体、行业分析师、研究机构等可以就发现的保险公司存在未遵守偿付能力监管规定的行为，向中国银保监会反映和报告。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1096" w:right="376" w:hanging="720"/>
        <w:jc w:val="center"/>
        <w:rPr>
          <w:rFonts w:hint="default" w:ascii="Calibri" w:hAnsi="Calibri" w:cs="Calibri"/>
          <w:sz w:val="21"/>
          <w:szCs w:val="21"/>
        </w:rPr>
      </w:pPr>
      <w:r>
        <w:rPr>
          <w:rFonts w:hint="eastAsia" w:ascii="黑体" w:hAnsi="宋体" w:eastAsia="黑体" w:cs="黑体"/>
          <w:b w:val="0"/>
          <w:i w:val="0"/>
          <w:caps w:val="0"/>
          <w:color w:val="333333"/>
          <w:spacing w:val="0"/>
          <w:sz w:val="36"/>
          <w:szCs w:val="36"/>
          <w:bdr w:val="none" w:color="auto" w:sz="0" w:space="0"/>
          <w:shd w:val="clear" w:fill="FEFEFE"/>
        </w:rPr>
        <w:t>第四章 监管评估与检查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376" w:right="376" w:firstLine="720"/>
        <w:jc w:val="left"/>
        <w:rPr>
          <w:rFonts w:hint="default" w:ascii="Calibri" w:hAnsi="Calibri" w:cs="Calibri"/>
          <w:sz w:val="21"/>
          <w:szCs w:val="21"/>
        </w:rPr>
      </w:pPr>
      <w:r>
        <w:rPr>
          <w:rFonts w:hint="default" w:ascii="仿宋_GB2312" w:hAnsi="Calibri" w:eastAsia="仿宋_GB2312" w:cs="仿宋_GB2312"/>
          <w:b/>
          <w:i w:val="0"/>
          <w:caps w:val="0"/>
          <w:color w:val="333333"/>
          <w:spacing w:val="0"/>
          <w:sz w:val="36"/>
          <w:szCs w:val="36"/>
          <w:bdr w:val="none" w:color="auto" w:sz="0" w:space="0"/>
          <w:shd w:val="clear" w:fill="FEFEFE"/>
        </w:rPr>
        <w:t xml:space="preserve">第二十条 </w:t>
      </w:r>
      <w:r>
        <w:rPr>
          <w:rFonts w:hint="default" w:ascii="仿宋_GB2312" w:hAnsi="Calibri" w:eastAsia="仿宋_GB2312" w:cs="仿宋_GB2312"/>
          <w:i w:val="0"/>
          <w:caps w:val="0"/>
          <w:color w:val="333333"/>
          <w:spacing w:val="0"/>
          <w:sz w:val="36"/>
          <w:szCs w:val="36"/>
          <w:bdr w:val="none" w:color="auto" w:sz="0" w:space="0"/>
          <w:shd w:val="clear" w:fill="FEFEFE"/>
        </w:rPr>
        <w:t>中国银保监会及其派出机构通过偿付能力风险管理能力评估、风险综合评级等监管工具，分析和评估保险公司的风险状况。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376" w:right="376" w:firstLine="720"/>
        <w:jc w:val="left"/>
        <w:rPr>
          <w:rFonts w:hint="default" w:ascii="Calibri" w:hAnsi="Calibri" w:cs="Calibri"/>
          <w:sz w:val="21"/>
          <w:szCs w:val="21"/>
        </w:rPr>
      </w:pPr>
      <w:r>
        <w:rPr>
          <w:rFonts w:hint="default" w:ascii="仿宋_GB2312" w:hAnsi="Calibri" w:eastAsia="仿宋_GB2312" w:cs="仿宋_GB2312"/>
          <w:b/>
          <w:i w:val="0"/>
          <w:caps w:val="0"/>
          <w:color w:val="333333"/>
          <w:spacing w:val="0"/>
          <w:sz w:val="36"/>
          <w:szCs w:val="36"/>
          <w:bdr w:val="none" w:color="auto" w:sz="0" w:space="0"/>
          <w:shd w:val="clear" w:fill="FEFEFE"/>
        </w:rPr>
        <w:t xml:space="preserve">第二十一条 </w:t>
      </w:r>
      <w:r>
        <w:rPr>
          <w:rFonts w:hint="default" w:ascii="仿宋_GB2312" w:hAnsi="Calibri" w:eastAsia="仿宋_GB2312" w:cs="仿宋_GB2312"/>
          <w:i w:val="0"/>
          <w:caps w:val="0"/>
          <w:color w:val="333333"/>
          <w:spacing w:val="0"/>
          <w:sz w:val="36"/>
          <w:szCs w:val="36"/>
          <w:bdr w:val="none" w:color="auto" w:sz="0" w:space="0"/>
          <w:shd w:val="clear" w:fill="FEFEFE"/>
        </w:rPr>
        <w:t>中国银保监会及其派出机构定期对保险公司偿付能力风险管理能力进行监管评估，识别保险公司的控制风险。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376" w:right="376" w:firstLine="720"/>
        <w:jc w:val="left"/>
        <w:rPr>
          <w:rFonts w:hint="default" w:ascii="Calibri" w:hAnsi="Calibri" w:cs="Calibri"/>
          <w:sz w:val="21"/>
          <w:szCs w:val="21"/>
        </w:rPr>
      </w:pPr>
      <w:r>
        <w:rPr>
          <w:rFonts w:hint="default" w:ascii="仿宋_GB2312" w:hAnsi="Calibri" w:eastAsia="仿宋_GB2312" w:cs="仿宋_GB2312"/>
          <w:i w:val="0"/>
          <w:caps w:val="0"/>
          <w:color w:val="333333"/>
          <w:spacing w:val="0"/>
          <w:sz w:val="36"/>
          <w:szCs w:val="36"/>
          <w:bdr w:val="none" w:color="auto" w:sz="0" w:space="0"/>
          <w:shd w:val="clear" w:fill="FEFEFE"/>
        </w:rPr>
        <w:t>保险公司根据评估结果计量控制风险的资本要求，并将其计入公司的最低资本。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376" w:right="376" w:firstLine="720"/>
        <w:jc w:val="left"/>
        <w:rPr>
          <w:rFonts w:hint="default" w:ascii="Calibri" w:hAnsi="Calibri" w:cs="Calibri"/>
          <w:sz w:val="21"/>
          <w:szCs w:val="21"/>
        </w:rPr>
      </w:pPr>
      <w:r>
        <w:rPr>
          <w:rFonts w:hint="default" w:ascii="仿宋_GB2312" w:hAnsi="Calibri" w:eastAsia="仿宋_GB2312" w:cs="仿宋_GB2312"/>
          <w:b/>
          <w:i w:val="0"/>
          <w:caps w:val="0"/>
          <w:color w:val="333333"/>
          <w:spacing w:val="0"/>
          <w:sz w:val="36"/>
          <w:szCs w:val="36"/>
          <w:bdr w:val="none" w:color="auto" w:sz="0" w:space="0"/>
          <w:shd w:val="clear" w:fill="FEFEFE"/>
        </w:rPr>
        <w:t xml:space="preserve">第二十二条 </w:t>
      </w:r>
      <w:r>
        <w:rPr>
          <w:rFonts w:hint="default" w:ascii="仿宋_GB2312" w:hAnsi="Calibri" w:eastAsia="仿宋_GB2312" w:cs="仿宋_GB2312"/>
          <w:i w:val="0"/>
          <w:caps w:val="0"/>
          <w:color w:val="333333"/>
          <w:spacing w:val="0"/>
          <w:sz w:val="36"/>
          <w:szCs w:val="36"/>
          <w:bdr w:val="none" w:color="auto" w:sz="0" w:space="0"/>
          <w:shd w:val="clear" w:fill="FEFEFE"/>
        </w:rPr>
        <w:t>中国银保监会及其派出机构通过评估保险公司操作风险、战略风险、声誉风险和流动性风险，结合其核心偿付能力充足率和综合偿付能力充足率，对保险公司总体风险进行评价，确定其风险综合评级，分为A类、B类、C类和D类，并采取差别化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376" w:right="376" w:firstLine="720"/>
        <w:jc w:val="left"/>
        <w:rPr>
          <w:rFonts w:hint="default" w:ascii="Calibri" w:hAnsi="Calibri" w:cs="Calibri"/>
          <w:sz w:val="21"/>
          <w:szCs w:val="21"/>
        </w:rPr>
      </w:pPr>
      <w:r>
        <w:rPr>
          <w:rFonts w:hint="default" w:ascii="仿宋_GB2312" w:hAnsi="Calibri" w:eastAsia="仿宋_GB2312" w:cs="仿宋_GB2312"/>
          <w:i w:val="0"/>
          <w:caps w:val="0"/>
          <w:color w:val="333333"/>
          <w:spacing w:val="0"/>
          <w:sz w:val="36"/>
          <w:szCs w:val="36"/>
          <w:bdr w:val="none" w:color="auto" w:sz="0" w:space="0"/>
          <w:shd w:val="clear" w:fill="FEFEFE"/>
        </w:rPr>
        <w:t>风险综合评级具体评价标准和程序由中国银保监会另行规定。中国银保监会可以根据保险业发展情况和监管需要，细化风险综合评级的类别。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376" w:right="376" w:firstLine="720"/>
        <w:jc w:val="left"/>
        <w:rPr>
          <w:rFonts w:hint="default" w:ascii="Calibri" w:hAnsi="Calibri" w:cs="Calibri"/>
          <w:sz w:val="21"/>
          <w:szCs w:val="21"/>
        </w:rPr>
      </w:pPr>
      <w:r>
        <w:rPr>
          <w:rFonts w:hint="default" w:ascii="仿宋_GB2312" w:hAnsi="Calibri" w:eastAsia="仿宋_GB2312" w:cs="仿宋_GB2312"/>
          <w:b/>
          <w:i w:val="0"/>
          <w:caps w:val="0"/>
          <w:color w:val="333333"/>
          <w:spacing w:val="0"/>
          <w:sz w:val="36"/>
          <w:szCs w:val="36"/>
          <w:bdr w:val="none" w:color="auto" w:sz="0" w:space="0"/>
          <w:shd w:val="clear" w:fill="FEFEFE"/>
        </w:rPr>
        <w:t xml:space="preserve">第二十三条 </w:t>
      </w:r>
      <w:r>
        <w:rPr>
          <w:rFonts w:hint="default" w:ascii="仿宋_GB2312" w:hAnsi="Calibri" w:eastAsia="仿宋_GB2312" w:cs="仿宋_GB2312"/>
          <w:i w:val="0"/>
          <w:caps w:val="0"/>
          <w:color w:val="333333"/>
          <w:spacing w:val="0"/>
          <w:sz w:val="36"/>
          <w:szCs w:val="36"/>
          <w:bdr w:val="none" w:color="auto" w:sz="0" w:space="0"/>
          <w:shd w:val="clear" w:fill="FEFEFE"/>
        </w:rPr>
        <w:t>中国银保监会及其派出机构建立以下偿付能力数据核查机制，包括：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376" w:right="376" w:firstLine="720"/>
        <w:jc w:val="left"/>
        <w:rPr>
          <w:rFonts w:hint="default" w:ascii="Calibri" w:hAnsi="Calibri" w:cs="Calibri"/>
          <w:sz w:val="21"/>
          <w:szCs w:val="21"/>
        </w:rPr>
      </w:pPr>
      <w:r>
        <w:rPr>
          <w:rFonts w:hint="default" w:ascii="仿宋_GB2312" w:hAnsi="Calibri" w:eastAsia="仿宋_GB2312" w:cs="仿宋_GB2312"/>
          <w:i w:val="0"/>
          <w:caps w:val="0"/>
          <w:color w:val="333333"/>
          <w:spacing w:val="0"/>
          <w:sz w:val="36"/>
          <w:szCs w:val="36"/>
          <w:bdr w:val="none" w:color="auto" w:sz="0" w:space="0"/>
          <w:shd w:val="clear" w:fill="FEFEFE"/>
        </w:rPr>
        <w:t>（一）每季度对保险公司报送的季度偿付能力报告的真实性、完整性和合规性进行核查；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376" w:right="376" w:firstLine="720"/>
        <w:jc w:val="left"/>
        <w:rPr>
          <w:rFonts w:hint="default" w:ascii="Calibri" w:hAnsi="Calibri" w:cs="Calibri"/>
          <w:sz w:val="21"/>
          <w:szCs w:val="21"/>
        </w:rPr>
      </w:pPr>
      <w:r>
        <w:rPr>
          <w:rFonts w:hint="default" w:ascii="仿宋_GB2312" w:hAnsi="Calibri" w:eastAsia="仿宋_GB2312" w:cs="仿宋_GB2312"/>
          <w:i w:val="0"/>
          <w:caps w:val="0"/>
          <w:color w:val="333333"/>
          <w:spacing w:val="0"/>
          <w:sz w:val="36"/>
          <w:szCs w:val="36"/>
          <w:bdr w:val="none" w:color="auto" w:sz="0" w:space="0"/>
          <w:shd w:val="clear" w:fill="FEFEFE"/>
        </w:rPr>
        <w:t>（二）每季度对保险公司公开披露的偿付能力季度报告摘要的真实性、完整性和合规性进行核查；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376" w:right="376" w:firstLine="720"/>
        <w:jc w:val="left"/>
        <w:rPr>
          <w:rFonts w:hint="default" w:ascii="Calibri" w:hAnsi="Calibri" w:cs="Calibri"/>
          <w:sz w:val="21"/>
          <w:szCs w:val="21"/>
        </w:rPr>
      </w:pPr>
      <w:r>
        <w:rPr>
          <w:rFonts w:hint="default" w:ascii="仿宋_GB2312" w:hAnsi="Calibri" w:eastAsia="仿宋_GB2312" w:cs="仿宋_GB2312"/>
          <w:i w:val="0"/>
          <w:caps w:val="0"/>
          <w:color w:val="333333"/>
          <w:spacing w:val="0"/>
          <w:sz w:val="36"/>
          <w:szCs w:val="36"/>
          <w:bdr w:val="none" w:color="auto" w:sz="0" w:space="0"/>
          <w:shd w:val="clear" w:fill="FEFEFE"/>
        </w:rPr>
        <w:t>（三）对保险公司报送的其他偿付能力信息和数据进行核查。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376" w:right="376" w:firstLine="720"/>
        <w:jc w:val="left"/>
        <w:rPr>
          <w:rFonts w:hint="default" w:ascii="Calibri" w:hAnsi="Calibri" w:cs="Calibri"/>
          <w:sz w:val="21"/>
          <w:szCs w:val="21"/>
        </w:rPr>
      </w:pPr>
      <w:r>
        <w:rPr>
          <w:rFonts w:hint="default" w:ascii="仿宋_GB2312" w:hAnsi="Calibri" w:eastAsia="仿宋_GB2312" w:cs="仿宋_GB2312"/>
          <w:i w:val="0"/>
          <w:caps w:val="0"/>
          <w:color w:val="333333"/>
          <w:spacing w:val="0"/>
          <w:sz w:val="36"/>
          <w:szCs w:val="36"/>
          <w:bdr w:val="none" w:color="auto" w:sz="0" w:space="0"/>
          <w:shd w:val="clear" w:fill="FEFEFE"/>
        </w:rPr>
        <w:t>核心偿付能力充足率低于60%或综合偿付能力充足率低于120%的保险公司为重点核查对象。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376" w:right="376" w:firstLine="720"/>
        <w:jc w:val="left"/>
        <w:rPr>
          <w:rFonts w:hint="default" w:ascii="Calibri" w:hAnsi="Calibri" w:cs="Calibri"/>
          <w:sz w:val="21"/>
          <w:szCs w:val="21"/>
        </w:rPr>
      </w:pPr>
      <w:r>
        <w:rPr>
          <w:rFonts w:hint="default" w:ascii="仿宋_GB2312" w:hAnsi="Calibri" w:eastAsia="仿宋_GB2312" w:cs="仿宋_GB2312"/>
          <w:b/>
          <w:i w:val="0"/>
          <w:caps w:val="0"/>
          <w:color w:val="333333"/>
          <w:spacing w:val="0"/>
          <w:sz w:val="36"/>
          <w:szCs w:val="36"/>
          <w:bdr w:val="none" w:color="auto" w:sz="0" w:space="0"/>
          <w:shd w:val="clear" w:fill="FEFEFE"/>
        </w:rPr>
        <w:t xml:space="preserve">第二十四条 </w:t>
      </w:r>
      <w:r>
        <w:rPr>
          <w:rFonts w:hint="default" w:ascii="仿宋_GB2312" w:hAnsi="Calibri" w:eastAsia="仿宋_GB2312" w:cs="仿宋_GB2312"/>
          <w:i w:val="0"/>
          <w:caps w:val="0"/>
          <w:color w:val="333333"/>
          <w:spacing w:val="0"/>
          <w:sz w:val="36"/>
          <w:szCs w:val="36"/>
          <w:bdr w:val="none" w:color="auto" w:sz="0" w:space="0"/>
          <w:shd w:val="clear" w:fill="FEFEFE"/>
        </w:rPr>
        <w:t>中国银保监会及其派出机构对保险公司偿付能力管理实施现场检查，包括：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376" w:right="376" w:firstLine="720"/>
        <w:jc w:val="left"/>
        <w:rPr>
          <w:rFonts w:hint="default" w:ascii="Calibri" w:hAnsi="Calibri" w:cs="Calibri"/>
          <w:sz w:val="21"/>
          <w:szCs w:val="21"/>
        </w:rPr>
      </w:pPr>
      <w:r>
        <w:rPr>
          <w:rFonts w:hint="default" w:ascii="仿宋_GB2312" w:hAnsi="Calibri" w:eastAsia="仿宋_GB2312" w:cs="仿宋_GB2312"/>
          <w:i w:val="0"/>
          <w:caps w:val="0"/>
          <w:color w:val="333333"/>
          <w:spacing w:val="0"/>
          <w:sz w:val="36"/>
          <w:szCs w:val="36"/>
          <w:bdr w:val="none" w:color="auto" w:sz="0" w:space="0"/>
          <w:shd w:val="clear" w:fill="FEFEFE"/>
        </w:rPr>
        <w:t>（一）偿付能力管理的合规性和有效性；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376" w:right="376" w:firstLine="720"/>
        <w:jc w:val="left"/>
        <w:rPr>
          <w:rFonts w:hint="default" w:ascii="Calibri" w:hAnsi="Calibri" w:cs="Calibri"/>
          <w:sz w:val="21"/>
          <w:szCs w:val="21"/>
        </w:rPr>
      </w:pPr>
      <w:r>
        <w:rPr>
          <w:rFonts w:hint="default" w:ascii="仿宋_GB2312" w:hAnsi="Calibri" w:eastAsia="仿宋_GB2312" w:cs="仿宋_GB2312"/>
          <w:i w:val="0"/>
          <w:caps w:val="0"/>
          <w:color w:val="333333"/>
          <w:spacing w:val="0"/>
          <w:sz w:val="36"/>
          <w:szCs w:val="36"/>
          <w:bdr w:val="none" w:color="auto" w:sz="0" w:space="0"/>
          <w:shd w:val="clear" w:fill="FEFEFE"/>
        </w:rPr>
        <w:t>（二）偿付能力报告的真实性、完整性和合规性；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376" w:right="376" w:firstLine="720"/>
        <w:jc w:val="left"/>
        <w:rPr>
          <w:rFonts w:hint="default" w:ascii="Calibri" w:hAnsi="Calibri" w:cs="Calibri"/>
          <w:sz w:val="21"/>
          <w:szCs w:val="21"/>
        </w:rPr>
      </w:pPr>
      <w:r>
        <w:rPr>
          <w:rFonts w:hint="default" w:ascii="仿宋_GB2312" w:hAnsi="Calibri" w:eastAsia="仿宋_GB2312" w:cs="仿宋_GB2312"/>
          <w:i w:val="0"/>
          <w:caps w:val="0"/>
          <w:color w:val="333333"/>
          <w:spacing w:val="0"/>
          <w:sz w:val="36"/>
          <w:szCs w:val="36"/>
          <w:bdr w:val="none" w:color="auto" w:sz="0" w:space="0"/>
          <w:shd w:val="clear" w:fill="FEFEFE"/>
        </w:rPr>
        <w:t>（三）风险综合评级数据的真实性、完整性和合规性；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376" w:right="376" w:firstLine="720"/>
        <w:jc w:val="left"/>
        <w:rPr>
          <w:rFonts w:hint="default" w:ascii="Calibri" w:hAnsi="Calibri" w:cs="Calibri"/>
          <w:sz w:val="21"/>
          <w:szCs w:val="21"/>
        </w:rPr>
      </w:pPr>
      <w:r>
        <w:rPr>
          <w:rFonts w:hint="default" w:ascii="仿宋_GB2312" w:hAnsi="Calibri" w:eastAsia="仿宋_GB2312" w:cs="仿宋_GB2312"/>
          <w:i w:val="0"/>
          <w:caps w:val="0"/>
          <w:color w:val="333333"/>
          <w:spacing w:val="0"/>
          <w:sz w:val="36"/>
          <w:szCs w:val="36"/>
          <w:bdr w:val="none" w:color="auto" w:sz="0" w:space="0"/>
          <w:shd w:val="clear" w:fill="FEFEFE"/>
        </w:rPr>
        <w:t>（四）偿付能力信息公开披露的真实性、完整性和合规性；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376" w:right="376" w:firstLine="720"/>
        <w:jc w:val="left"/>
        <w:rPr>
          <w:rFonts w:hint="default" w:ascii="Calibri" w:hAnsi="Calibri" w:cs="Calibri"/>
          <w:sz w:val="21"/>
          <w:szCs w:val="21"/>
        </w:rPr>
      </w:pPr>
      <w:r>
        <w:rPr>
          <w:rFonts w:hint="default" w:ascii="仿宋_GB2312" w:hAnsi="Calibri" w:eastAsia="仿宋_GB2312" w:cs="仿宋_GB2312"/>
          <w:i w:val="0"/>
          <w:caps w:val="0"/>
          <w:color w:val="333333"/>
          <w:spacing w:val="0"/>
          <w:sz w:val="36"/>
          <w:szCs w:val="36"/>
          <w:bdr w:val="none" w:color="auto" w:sz="0" w:space="0"/>
          <w:shd w:val="clear" w:fill="FEFEFE"/>
        </w:rPr>
        <w:t>（五）对中国银保监会及其派出机构监管措施的落实情况；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376" w:right="376" w:firstLine="720"/>
        <w:jc w:val="left"/>
        <w:rPr>
          <w:rFonts w:hint="default" w:ascii="Calibri" w:hAnsi="Calibri" w:cs="Calibri"/>
          <w:sz w:val="21"/>
          <w:szCs w:val="21"/>
        </w:rPr>
      </w:pPr>
      <w:r>
        <w:rPr>
          <w:rFonts w:hint="default" w:ascii="仿宋_GB2312" w:hAnsi="Calibri" w:eastAsia="仿宋_GB2312" w:cs="仿宋_GB2312"/>
          <w:i w:val="0"/>
          <w:caps w:val="0"/>
          <w:color w:val="333333"/>
          <w:spacing w:val="0"/>
          <w:sz w:val="36"/>
          <w:szCs w:val="36"/>
          <w:bdr w:val="none" w:color="auto" w:sz="0" w:space="0"/>
          <w:shd w:val="clear" w:fill="FEFEFE"/>
        </w:rPr>
        <w:t>（六）中国银保监会及其派出机构认为需要检查的其他方面。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1096" w:right="376" w:hanging="720"/>
        <w:jc w:val="center"/>
        <w:rPr>
          <w:rFonts w:hint="default" w:ascii="Calibri" w:hAnsi="Calibri" w:cs="Calibri"/>
          <w:sz w:val="21"/>
          <w:szCs w:val="21"/>
        </w:rPr>
      </w:pPr>
      <w:r>
        <w:rPr>
          <w:rFonts w:hint="eastAsia" w:ascii="黑体" w:hAnsi="宋体" w:eastAsia="黑体" w:cs="黑体"/>
          <w:b w:val="0"/>
          <w:i w:val="0"/>
          <w:caps w:val="0"/>
          <w:color w:val="333333"/>
          <w:spacing w:val="0"/>
          <w:sz w:val="36"/>
          <w:szCs w:val="36"/>
          <w:bdr w:val="none" w:color="auto" w:sz="0" w:space="0"/>
          <w:shd w:val="clear" w:fill="FEFEFE"/>
        </w:rPr>
        <w:t>第五章 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376" w:right="376" w:firstLine="720"/>
        <w:jc w:val="left"/>
        <w:rPr>
          <w:rFonts w:hint="default" w:ascii="Calibri" w:hAnsi="Calibri" w:cs="Calibri"/>
          <w:sz w:val="21"/>
          <w:szCs w:val="21"/>
        </w:rPr>
      </w:pPr>
      <w:r>
        <w:rPr>
          <w:rFonts w:hint="default" w:ascii="仿宋_GB2312" w:hAnsi="Calibri" w:eastAsia="仿宋_GB2312" w:cs="仿宋_GB2312"/>
          <w:b/>
          <w:i w:val="0"/>
          <w:caps w:val="0"/>
          <w:color w:val="333333"/>
          <w:spacing w:val="0"/>
          <w:sz w:val="36"/>
          <w:szCs w:val="36"/>
          <w:bdr w:val="none" w:color="auto" w:sz="0" w:space="0"/>
          <w:shd w:val="clear" w:fill="FEFEFE"/>
        </w:rPr>
        <w:t xml:space="preserve">第二十五条 </w:t>
      </w:r>
      <w:r>
        <w:rPr>
          <w:rFonts w:hint="default" w:ascii="仿宋_GB2312" w:hAnsi="Calibri" w:eastAsia="仿宋_GB2312" w:cs="仿宋_GB2312"/>
          <w:i w:val="0"/>
          <w:caps w:val="0"/>
          <w:color w:val="333333"/>
          <w:spacing w:val="0"/>
          <w:sz w:val="36"/>
          <w:szCs w:val="36"/>
          <w:bdr w:val="none" w:color="auto" w:sz="0" w:space="0"/>
          <w:shd w:val="clear" w:fill="FEFEFE"/>
        </w:rPr>
        <w:t>中国银保监会及其派出机构将根据保险公司的风险成因和风险程度，依法采取针对性的监管措施，以督促保险公司恢复偿付能力或在难以持续经营的状态下维护保单持有人的利益。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376" w:right="376" w:firstLine="720"/>
        <w:jc w:val="left"/>
        <w:rPr>
          <w:rFonts w:hint="default" w:ascii="Calibri" w:hAnsi="Calibri" w:cs="Calibri"/>
          <w:sz w:val="21"/>
          <w:szCs w:val="21"/>
        </w:rPr>
      </w:pPr>
      <w:r>
        <w:rPr>
          <w:rFonts w:hint="default" w:ascii="仿宋_GB2312" w:hAnsi="Calibri" w:eastAsia="仿宋_GB2312" w:cs="仿宋_GB2312"/>
          <w:b/>
          <w:i w:val="0"/>
          <w:caps w:val="0"/>
          <w:color w:val="333333"/>
          <w:spacing w:val="0"/>
          <w:sz w:val="36"/>
          <w:szCs w:val="36"/>
          <w:bdr w:val="none" w:color="auto" w:sz="0" w:space="0"/>
          <w:shd w:val="clear" w:fill="FEFEFE"/>
        </w:rPr>
        <w:t xml:space="preserve">第二十六条 </w:t>
      </w:r>
      <w:r>
        <w:rPr>
          <w:rFonts w:hint="default" w:ascii="仿宋_GB2312" w:hAnsi="Calibri" w:eastAsia="仿宋_GB2312" w:cs="仿宋_GB2312"/>
          <w:i w:val="0"/>
          <w:caps w:val="0"/>
          <w:color w:val="333333"/>
          <w:spacing w:val="0"/>
          <w:sz w:val="36"/>
          <w:szCs w:val="36"/>
          <w:bdr w:val="none" w:color="auto" w:sz="0" w:space="0"/>
          <w:shd w:val="clear" w:fill="FEFEFE"/>
        </w:rPr>
        <w:t>对于核心偿付能力充足率低于50%或综合偿付能力充足率低于100%的保险公司，中国银保监会应当采取以下第（一）项至第（四）项的全部措施：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376" w:right="376" w:firstLine="720"/>
        <w:jc w:val="left"/>
        <w:rPr>
          <w:rFonts w:hint="default" w:ascii="Calibri" w:hAnsi="Calibri" w:cs="Calibri"/>
          <w:sz w:val="21"/>
          <w:szCs w:val="21"/>
        </w:rPr>
      </w:pPr>
      <w:r>
        <w:rPr>
          <w:rFonts w:hint="default" w:ascii="仿宋_GB2312" w:hAnsi="Calibri" w:eastAsia="仿宋_GB2312" w:cs="仿宋_GB2312"/>
          <w:i w:val="0"/>
          <w:caps w:val="0"/>
          <w:color w:val="333333"/>
          <w:spacing w:val="0"/>
          <w:sz w:val="36"/>
          <w:szCs w:val="36"/>
          <w:bdr w:val="none" w:color="auto" w:sz="0" w:space="0"/>
          <w:shd w:val="clear" w:fill="FEFEFE"/>
        </w:rPr>
        <w:t>（一）监管谈话；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376" w:right="376" w:firstLine="720"/>
        <w:jc w:val="left"/>
        <w:rPr>
          <w:rFonts w:hint="default" w:ascii="Calibri" w:hAnsi="Calibri" w:cs="Calibri"/>
          <w:sz w:val="21"/>
          <w:szCs w:val="21"/>
        </w:rPr>
      </w:pPr>
      <w:r>
        <w:rPr>
          <w:rFonts w:hint="default" w:ascii="仿宋_GB2312" w:hAnsi="Calibri" w:eastAsia="仿宋_GB2312" w:cs="仿宋_GB2312"/>
          <w:i w:val="0"/>
          <w:caps w:val="0"/>
          <w:color w:val="333333"/>
          <w:spacing w:val="0"/>
          <w:sz w:val="36"/>
          <w:szCs w:val="36"/>
          <w:bdr w:val="none" w:color="auto" w:sz="0" w:space="0"/>
          <w:shd w:val="clear" w:fill="FEFEFE"/>
        </w:rPr>
        <w:t>（二）要求保险公司提交预防偿付能力充足率恶化或完善风险管理的计划；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376" w:right="376" w:firstLine="720"/>
        <w:jc w:val="left"/>
        <w:rPr>
          <w:rFonts w:hint="default" w:ascii="Calibri" w:hAnsi="Calibri" w:cs="Calibri"/>
          <w:sz w:val="21"/>
          <w:szCs w:val="21"/>
        </w:rPr>
      </w:pPr>
      <w:r>
        <w:rPr>
          <w:rFonts w:hint="default" w:ascii="仿宋_GB2312" w:hAnsi="Calibri" w:eastAsia="仿宋_GB2312" w:cs="仿宋_GB2312"/>
          <w:i w:val="0"/>
          <w:caps w:val="0"/>
          <w:color w:val="333333"/>
          <w:spacing w:val="0"/>
          <w:sz w:val="36"/>
          <w:szCs w:val="36"/>
          <w:bdr w:val="none" w:color="auto" w:sz="0" w:space="0"/>
          <w:shd w:val="clear" w:fill="FEFEFE"/>
        </w:rPr>
        <w:t>（三）限制董事、监事、高级管理人员的薪酬水平；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376" w:right="376" w:firstLine="720"/>
        <w:jc w:val="left"/>
        <w:rPr>
          <w:rFonts w:hint="default" w:ascii="Calibri" w:hAnsi="Calibri" w:cs="Calibri"/>
          <w:sz w:val="21"/>
          <w:szCs w:val="21"/>
        </w:rPr>
      </w:pPr>
      <w:r>
        <w:rPr>
          <w:rFonts w:hint="default" w:ascii="仿宋_GB2312" w:hAnsi="Calibri" w:eastAsia="仿宋_GB2312" w:cs="仿宋_GB2312"/>
          <w:i w:val="0"/>
          <w:caps w:val="0"/>
          <w:color w:val="333333"/>
          <w:spacing w:val="0"/>
          <w:sz w:val="36"/>
          <w:szCs w:val="36"/>
          <w:bdr w:val="none" w:color="auto" w:sz="0" w:space="0"/>
          <w:shd w:val="clear" w:fill="FEFEFE"/>
        </w:rPr>
        <w:t>（四）限制向股东分红。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376" w:right="376" w:firstLine="720"/>
        <w:jc w:val="left"/>
        <w:rPr>
          <w:rFonts w:hint="default" w:ascii="Calibri" w:hAnsi="Calibri" w:cs="Calibri"/>
          <w:sz w:val="21"/>
          <w:szCs w:val="21"/>
        </w:rPr>
      </w:pPr>
      <w:r>
        <w:rPr>
          <w:rFonts w:hint="default" w:ascii="仿宋_GB2312" w:hAnsi="Calibri" w:eastAsia="仿宋_GB2312" w:cs="仿宋_GB2312"/>
          <w:i w:val="0"/>
          <w:caps w:val="0"/>
          <w:color w:val="333333"/>
          <w:spacing w:val="0"/>
          <w:kern w:val="0"/>
          <w:sz w:val="36"/>
          <w:szCs w:val="36"/>
          <w:bdr w:val="none" w:color="auto" w:sz="0" w:space="0"/>
          <w:shd w:val="clear" w:fill="FEFEFE"/>
          <w:lang w:val="en-US" w:eastAsia="zh-CN" w:bidi="ar"/>
        </w:rPr>
        <w:t>中国银保监会还可以根据其偿付能力充足率下降的具体原因，采取以下第（五）项至第（十二）项的措施：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376" w:right="376" w:firstLine="720"/>
        <w:jc w:val="left"/>
        <w:rPr>
          <w:rFonts w:hint="default" w:ascii="Calibri" w:hAnsi="Calibri" w:cs="Calibri"/>
          <w:sz w:val="21"/>
          <w:szCs w:val="21"/>
        </w:rPr>
      </w:pPr>
      <w:r>
        <w:rPr>
          <w:rFonts w:hint="default" w:ascii="仿宋_GB2312" w:hAnsi="Calibri" w:eastAsia="仿宋_GB2312" w:cs="仿宋_GB2312"/>
          <w:i w:val="0"/>
          <w:caps w:val="0"/>
          <w:color w:val="333333"/>
          <w:spacing w:val="0"/>
          <w:kern w:val="0"/>
          <w:sz w:val="36"/>
          <w:szCs w:val="36"/>
          <w:bdr w:val="none" w:color="auto" w:sz="0" w:space="0"/>
          <w:shd w:val="clear" w:fill="FEFEFE"/>
          <w:lang w:val="en-US" w:eastAsia="zh-CN" w:bidi="ar"/>
        </w:rPr>
        <w:t>（五）责令增加资本金；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376" w:right="376" w:firstLine="720"/>
        <w:jc w:val="left"/>
        <w:rPr>
          <w:rFonts w:hint="default" w:ascii="Calibri" w:hAnsi="Calibri" w:cs="Calibri"/>
          <w:sz w:val="21"/>
          <w:szCs w:val="21"/>
        </w:rPr>
      </w:pPr>
      <w:r>
        <w:rPr>
          <w:rFonts w:hint="default" w:ascii="仿宋_GB2312" w:hAnsi="Calibri" w:eastAsia="仿宋_GB2312" w:cs="仿宋_GB2312"/>
          <w:i w:val="0"/>
          <w:caps w:val="0"/>
          <w:color w:val="333333"/>
          <w:spacing w:val="0"/>
          <w:kern w:val="0"/>
          <w:sz w:val="36"/>
          <w:szCs w:val="36"/>
          <w:bdr w:val="none" w:color="auto" w:sz="0" w:space="0"/>
          <w:shd w:val="clear" w:fill="FEFEFE"/>
          <w:lang w:val="en-US" w:eastAsia="zh-CN" w:bidi="ar"/>
        </w:rPr>
        <w:t>（六）责令停止部分或全部新业务；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376" w:right="376" w:firstLine="720"/>
        <w:jc w:val="left"/>
        <w:rPr>
          <w:rFonts w:hint="default" w:ascii="Calibri" w:hAnsi="Calibri" w:cs="Calibri"/>
          <w:sz w:val="21"/>
          <w:szCs w:val="21"/>
        </w:rPr>
      </w:pPr>
      <w:r>
        <w:rPr>
          <w:rFonts w:hint="default" w:ascii="仿宋_GB2312" w:hAnsi="Calibri" w:eastAsia="仿宋_GB2312" w:cs="仿宋_GB2312"/>
          <w:i w:val="0"/>
          <w:caps w:val="0"/>
          <w:color w:val="333333"/>
          <w:spacing w:val="0"/>
          <w:kern w:val="0"/>
          <w:sz w:val="36"/>
          <w:szCs w:val="36"/>
          <w:bdr w:val="none" w:color="auto" w:sz="0" w:space="0"/>
          <w:shd w:val="clear" w:fill="FEFEFE"/>
          <w:lang w:val="en-US" w:eastAsia="zh-CN" w:bidi="ar"/>
        </w:rPr>
        <w:t>（七）责令调整业务结构，限制增设分支机构，限制商业性广告；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376" w:right="376" w:firstLine="720"/>
        <w:jc w:val="left"/>
        <w:rPr>
          <w:rFonts w:hint="default" w:ascii="Calibri" w:hAnsi="Calibri" w:cs="Calibri"/>
          <w:sz w:val="21"/>
          <w:szCs w:val="21"/>
        </w:rPr>
      </w:pPr>
      <w:r>
        <w:rPr>
          <w:rFonts w:hint="default" w:ascii="仿宋_GB2312" w:hAnsi="Calibri" w:eastAsia="仿宋_GB2312" w:cs="仿宋_GB2312"/>
          <w:i w:val="0"/>
          <w:caps w:val="0"/>
          <w:color w:val="333333"/>
          <w:spacing w:val="0"/>
          <w:kern w:val="0"/>
          <w:sz w:val="36"/>
          <w:szCs w:val="36"/>
          <w:bdr w:val="none" w:color="auto" w:sz="0" w:space="0"/>
          <w:shd w:val="clear" w:fill="FEFEFE"/>
          <w:lang w:val="en-US" w:eastAsia="zh-CN" w:bidi="ar"/>
        </w:rPr>
        <w:t>（八）限制业务范围、责令转让保险业务或责令办理分出业务；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376" w:right="376" w:firstLine="720"/>
        <w:jc w:val="left"/>
        <w:rPr>
          <w:rFonts w:hint="default" w:ascii="Calibri" w:hAnsi="Calibri" w:cs="Calibri"/>
          <w:sz w:val="21"/>
          <w:szCs w:val="21"/>
        </w:rPr>
      </w:pPr>
      <w:r>
        <w:rPr>
          <w:rFonts w:hint="default" w:ascii="仿宋_GB2312" w:hAnsi="Calibri" w:eastAsia="仿宋_GB2312" w:cs="仿宋_GB2312"/>
          <w:i w:val="0"/>
          <w:caps w:val="0"/>
          <w:color w:val="333333"/>
          <w:spacing w:val="0"/>
          <w:kern w:val="0"/>
          <w:sz w:val="36"/>
          <w:szCs w:val="36"/>
          <w:bdr w:val="none" w:color="auto" w:sz="0" w:space="0"/>
          <w:shd w:val="clear" w:fill="FEFEFE"/>
          <w:lang w:val="en-US" w:eastAsia="zh-CN" w:bidi="ar"/>
        </w:rPr>
        <w:t>（九）责令调整资产结构，限制投资形式或比例；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376" w:right="376" w:firstLine="720"/>
        <w:jc w:val="left"/>
        <w:rPr>
          <w:rFonts w:hint="default" w:ascii="Calibri" w:hAnsi="Calibri" w:cs="Calibri"/>
          <w:sz w:val="21"/>
          <w:szCs w:val="21"/>
        </w:rPr>
      </w:pPr>
      <w:r>
        <w:rPr>
          <w:rFonts w:hint="default" w:ascii="仿宋_GB2312" w:hAnsi="Calibri" w:eastAsia="仿宋_GB2312" w:cs="仿宋_GB2312"/>
          <w:i w:val="0"/>
          <w:caps w:val="0"/>
          <w:color w:val="333333"/>
          <w:spacing w:val="0"/>
          <w:kern w:val="0"/>
          <w:sz w:val="36"/>
          <w:szCs w:val="36"/>
          <w:bdr w:val="none" w:color="auto" w:sz="0" w:space="0"/>
          <w:shd w:val="clear" w:fill="FEFEFE"/>
          <w:lang w:val="en-US" w:eastAsia="zh-CN" w:bidi="ar"/>
        </w:rPr>
        <w:t>（十）对风险和损失负有责任的董事和高级管理人员，责令保险公司根据聘用协议、书面承诺等追回其薪酬；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376" w:right="376" w:firstLine="720"/>
        <w:jc w:val="left"/>
        <w:rPr>
          <w:rFonts w:hint="default" w:ascii="Calibri" w:hAnsi="Calibri" w:cs="Calibri"/>
          <w:sz w:val="21"/>
          <w:szCs w:val="21"/>
        </w:rPr>
      </w:pPr>
      <w:r>
        <w:rPr>
          <w:rFonts w:hint="default" w:ascii="仿宋_GB2312" w:hAnsi="Calibri" w:eastAsia="仿宋_GB2312" w:cs="仿宋_GB2312"/>
          <w:i w:val="0"/>
          <w:caps w:val="0"/>
          <w:color w:val="333333"/>
          <w:spacing w:val="0"/>
          <w:sz w:val="36"/>
          <w:szCs w:val="36"/>
          <w:bdr w:val="none" w:color="auto" w:sz="0" w:space="0"/>
          <w:shd w:val="clear" w:fill="FEFEFE"/>
        </w:rPr>
        <w:t>（十一）依法责令调整公司负责人及有关管理人员；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376" w:right="376" w:firstLine="720"/>
        <w:jc w:val="left"/>
        <w:rPr>
          <w:rFonts w:hint="default" w:ascii="Calibri" w:hAnsi="Calibri" w:cs="Calibri"/>
          <w:sz w:val="21"/>
          <w:szCs w:val="21"/>
        </w:rPr>
      </w:pPr>
      <w:r>
        <w:rPr>
          <w:rFonts w:hint="default" w:ascii="仿宋_GB2312" w:hAnsi="Calibri" w:eastAsia="仿宋_GB2312" w:cs="仿宋_GB2312"/>
          <w:i w:val="0"/>
          <w:caps w:val="0"/>
          <w:color w:val="333333"/>
          <w:spacing w:val="0"/>
          <w:sz w:val="36"/>
          <w:szCs w:val="36"/>
          <w:bdr w:val="none" w:color="auto" w:sz="0" w:space="0"/>
          <w:shd w:val="clear" w:fill="FEFEFE"/>
        </w:rPr>
        <w:t>（十二）中国银保监会依法根据保险公司的风险成因和风险程度认为必要的其它监管措施。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376" w:right="376" w:firstLine="720"/>
        <w:jc w:val="left"/>
        <w:rPr>
          <w:rFonts w:hint="default" w:ascii="Calibri" w:hAnsi="Calibri" w:cs="Calibri"/>
          <w:sz w:val="21"/>
          <w:szCs w:val="21"/>
        </w:rPr>
      </w:pPr>
      <w:r>
        <w:rPr>
          <w:rFonts w:hint="default" w:ascii="仿宋_GB2312" w:hAnsi="Calibri" w:eastAsia="仿宋_GB2312" w:cs="仿宋_GB2312"/>
          <w:i w:val="0"/>
          <w:caps w:val="0"/>
          <w:color w:val="333333"/>
          <w:spacing w:val="0"/>
          <w:sz w:val="36"/>
          <w:szCs w:val="36"/>
          <w:bdr w:val="none" w:color="auto" w:sz="0" w:space="0"/>
          <w:shd w:val="clear" w:fill="FEFEFE"/>
        </w:rPr>
        <w:t>对于采取上述措施后偿付能力未明显改善或进一步恶化的，由中国银保监会依法采取接管、申请破产等监管措施。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376" w:right="376" w:firstLine="720"/>
        <w:jc w:val="left"/>
        <w:rPr>
          <w:rFonts w:hint="default" w:ascii="Calibri" w:hAnsi="Calibri" w:cs="Calibri"/>
          <w:sz w:val="21"/>
          <w:szCs w:val="21"/>
        </w:rPr>
      </w:pPr>
      <w:r>
        <w:rPr>
          <w:rFonts w:hint="default" w:ascii="仿宋_GB2312" w:hAnsi="Calibri" w:eastAsia="仿宋_GB2312" w:cs="仿宋_GB2312"/>
          <w:i w:val="0"/>
          <w:caps w:val="0"/>
          <w:color w:val="333333"/>
          <w:spacing w:val="0"/>
          <w:sz w:val="36"/>
          <w:szCs w:val="36"/>
          <w:bdr w:val="none" w:color="auto" w:sz="0" w:space="0"/>
          <w:shd w:val="clear" w:fill="FEFEFE"/>
        </w:rPr>
        <w:t>中国银保监会可以视具体情况，依法授权其派出机构实施必要的监管措施。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376" w:right="376" w:firstLine="720"/>
        <w:jc w:val="left"/>
        <w:rPr>
          <w:rFonts w:hint="default" w:ascii="Calibri" w:hAnsi="Calibri" w:cs="Calibri"/>
          <w:sz w:val="21"/>
          <w:szCs w:val="21"/>
        </w:rPr>
      </w:pPr>
      <w:r>
        <w:rPr>
          <w:rFonts w:hint="default" w:ascii="仿宋_GB2312" w:hAnsi="Calibri" w:eastAsia="仿宋_GB2312" w:cs="仿宋_GB2312"/>
          <w:b/>
          <w:i w:val="0"/>
          <w:caps w:val="0"/>
          <w:color w:val="333333"/>
          <w:spacing w:val="0"/>
          <w:sz w:val="36"/>
          <w:szCs w:val="36"/>
          <w:bdr w:val="none" w:color="auto" w:sz="0" w:space="0"/>
          <w:shd w:val="clear" w:fill="FEFEFE"/>
        </w:rPr>
        <w:t xml:space="preserve">第二十七条 </w:t>
      </w:r>
      <w:r>
        <w:rPr>
          <w:rFonts w:hint="default" w:ascii="仿宋_GB2312" w:hAnsi="Calibri" w:eastAsia="仿宋_GB2312" w:cs="仿宋_GB2312"/>
          <w:i w:val="0"/>
          <w:caps w:val="0"/>
          <w:color w:val="333333"/>
          <w:spacing w:val="0"/>
          <w:sz w:val="36"/>
          <w:szCs w:val="36"/>
          <w:bdr w:val="none" w:color="auto" w:sz="0" w:space="0"/>
          <w:shd w:val="clear" w:fill="FEFEFE"/>
        </w:rPr>
        <w:t>对于核心偿付能力充足率和综合偿付能力充足率达标，但操作风险、战略风险、声誉风险、流动性风险中某一类或某几类风险较大或严重的C类和D类保险公司，中国银保监会及其派出机构应根据风险成因和风险程度，采取针对性的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376" w:right="376" w:firstLine="720"/>
        <w:jc w:val="left"/>
        <w:rPr>
          <w:rFonts w:hint="default" w:ascii="Calibri" w:hAnsi="Calibri" w:cs="Calibri"/>
          <w:sz w:val="21"/>
          <w:szCs w:val="21"/>
        </w:rPr>
      </w:pPr>
      <w:r>
        <w:rPr>
          <w:rFonts w:hint="default" w:ascii="仿宋_GB2312" w:hAnsi="Calibri" w:eastAsia="仿宋_GB2312" w:cs="仿宋_GB2312"/>
          <w:b/>
          <w:i w:val="0"/>
          <w:caps w:val="0"/>
          <w:color w:val="333333"/>
          <w:spacing w:val="0"/>
          <w:sz w:val="36"/>
          <w:szCs w:val="36"/>
          <w:bdr w:val="none" w:color="auto" w:sz="0" w:space="0"/>
          <w:shd w:val="clear" w:fill="FEFEFE"/>
        </w:rPr>
        <w:t xml:space="preserve">第二十八条 </w:t>
      </w:r>
      <w:r>
        <w:rPr>
          <w:rFonts w:hint="default" w:ascii="仿宋_GB2312" w:hAnsi="Calibri" w:eastAsia="仿宋_GB2312" w:cs="仿宋_GB2312"/>
          <w:i w:val="0"/>
          <w:caps w:val="0"/>
          <w:color w:val="333333"/>
          <w:spacing w:val="0"/>
          <w:sz w:val="36"/>
          <w:szCs w:val="36"/>
          <w:bdr w:val="none" w:color="auto" w:sz="0" w:space="0"/>
          <w:shd w:val="clear" w:fill="FEFEFE"/>
        </w:rPr>
        <w:t>保险公司未按规定报送偿付能力报告或公开披露偿付能力信息的，以及报送和披露虚假偿付能力信息的，中国银保监会及其派出机构依据《中华人民共和国保险法》等进行处罚。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376" w:right="376" w:firstLine="720"/>
        <w:jc w:val="left"/>
        <w:rPr>
          <w:rFonts w:hint="default" w:ascii="Calibri" w:hAnsi="Calibri" w:cs="Calibri"/>
          <w:sz w:val="21"/>
          <w:szCs w:val="21"/>
        </w:rPr>
      </w:pPr>
      <w:r>
        <w:rPr>
          <w:rFonts w:hint="default" w:ascii="仿宋_GB2312" w:hAnsi="Calibri" w:eastAsia="仿宋_GB2312" w:cs="仿宋_GB2312"/>
          <w:b/>
          <w:i w:val="0"/>
          <w:caps w:val="0"/>
          <w:color w:val="333333"/>
          <w:spacing w:val="0"/>
          <w:sz w:val="36"/>
          <w:szCs w:val="36"/>
          <w:bdr w:val="none" w:color="auto" w:sz="0" w:space="0"/>
          <w:shd w:val="clear" w:fill="FEFEFE"/>
        </w:rPr>
        <w:t xml:space="preserve">第二十九条 </w:t>
      </w:r>
      <w:r>
        <w:rPr>
          <w:rFonts w:hint="default" w:ascii="仿宋_GB2312" w:hAnsi="Calibri" w:eastAsia="仿宋_GB2312" w:cs="仿宋_GB2312"/>
          <w:i w:val="0"/>
          <w:caps w:val="0"/>
          <w:color w:val="333333"/>
          <w:spacing w:val="0"/>
          <w:sz w:val="36"/>
          <w:szCs w:val="36"/>
          <w:bdr w:val="none" w:color="auto" w:sz="0" w:space="0"/>
          <w:shd w:val="clear" w:fill="FEFEFE"/>
        </w:rPr>
        <w:t>保险公司聘请的会计师事务所的审计质量存在问题的，中国银保监会及其派出机构视具体情况采取责令保险公司更换会计师事务所、行业通报、向社会公众公布、不接受审计报告等措施，并移交注册会计师行业行政主管部门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376" w:right="376" w:firstLine="720"/>
        <w:jc w:val="left"/>
        <w:rPr>
          <w:rFonts w:hint="default" w:ascii="Calibri" w:hAnsi="Calibri" w:cs="Calibri"/>
          <w:sz w:val="21"/>
          <w:szCs w:val="21"/>
        </w:rPr>
      </w:pPr>
      <w:r>
        <w:rPr>
          <w:rFonts w:hint="default" w:ascii="仿宋_GB2312" w:hAnsi="Calibri" w:eastAsia="仿宋_GB2312" w:cs="仿宋_GB2312"/>
          <w:b/>
          <w:i w:val="0"/>
          <w:caps w:val="0"/>
          <w:color w:val="333333"/>
          <w:spacing w:val="0"/>
          <w:sz w:val="36"/>
          <w:szCs w:val="36"/>
          <w:bdr w:val="none" w:color="auto" w:sz="0" w:space="0"/>
          <w:shd w:val="clear" w:fill="FEFEFE"/>
        </w:rPr>
        <w:t xml:space="preserve">第三十条 </w:t>
      </w:r>
      <w:r>
        <w:rPr>
          <w:rFonts w:hint="default" w:ascii="仿宋_GB2312" w:hAnsi="Calibri" w:eastAsia="仿宋_GB2312" w:cs="仿宋_GB2312"/>
          <w:i w:val="0"/>
          <w:caps w:val="0"/>
          <w:color w:val="333333"/>
          <w:spacing w:val="0"/>
          <w:sz w:val="36"/>
          <w:szCs w:val="36"/>
          <w:bdr w:val="none" w:color="auto" w:sz="0" w:space="0"/>
          <w:shd w:val="clear" w:fill="FEFEFE"/>
        </w:rPr>
        <w:t>精算咨询机构、信用评级机构、资产评估机构、律师事务所等中介机构在保险业开展业务时，存在重大疏漏或出具的意见、报告存在严重质量问题的，中国银保监会及其派出机构视具体情况采取责令保险公司更换中介机构、不接受报告、移交相关部门处理等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1096" w:right="376" w:hanging="720"/>
        <w:jc w:val="center"/>
        <w:rPr>
          <w:rFonts w:hint="default" w:ascii="Calibri" w:hAnsi="Calibri" w:cs="Calibri"/>
          <w:sz w:val="21"/>
          <w:szCs w:val="21"/>
        </w:rPr>
      </w:pPr>
      <w:r>
        <w:rPr>
          <w:rFonts w:hint="eastAsia" w:ascii="黑体" w:hAnsi="宋体" w:eastAsia="黑体" w:cs="黑体"/>
          <w:b w:val="0"/>
          <w:i w:val="0"/>
          <w:caps w:val="0"/>
          <w:color w:val="333333"/>
          <w:spacing w:val="0"/>
          <w:sz w:val="36"/>
          <w:szCs w:val="36"/>
          <w:bdr w:val="none" w:color="auto" w:sz="0" w:space="0"/>
          <w:shd w:val="clear" w:fill="FEFEFE"/>
        </w:rPr>
        <w:t>第六章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376" w:right="376" w:firstLine="720"/>
        <w:jc w:val="left"/>
        <w:rPr>
          <w:rFonts w:hint="default" w:ascii="Calibri" w:hAnsi="Calibri" w:cs="Calibri"/>
          <w:sz w:val="21"/>
          <w:szCs w:val="21"/>
        </w:rPr>
      </w:pPr>
      <w:r>
        <w:rPr>
          <w:rFonts w:hint="default" w:ascii="仿宋_GB2312" w:hAnsi="Calibri" w:eastAsia="仿宋_GB2312" w:cs="仿宋_GB2312"/>
          <w:b/>
          <w:i w:val="0"/>
          <w:caps w:val="0"/>
          <w:color w:val="333333"/>
          <w:spacing w:val="0"/>
          <w:sz w:val="36"/>
          <w:szCs w:val="36"/>
          <w:bdr w:val="none" w:color="auto" w:sz="0" w:space="0"/>
          <w:shd w:val="clear" w:fill="FEFEFE"/>
        </w:rPr>
        <w:t xml:space="preserve">第三十一条 </w:t>
      </w:r>
      <w:r>
        <w:rPr>
          <w:rFonts w:hint="default" w:ascii="仿宋_GB2312" w:hAnsi="Calibri" w:eastAsia="仿宋_GB2312" w:cs="仿宋_GB2312"/>
          <w:i w:val="0"/>
          <w:caps w:val="0"/>
          <w:color w:val="333333"/>
          <w:spacing w:val="0"/>
          <w:sz w:val="36"/>
          <w:szCs w:val="36"/>
          <w:bdr w:val="none" w:color="auto" w:sz="0" w:space="0"/>
          <w:shd w:val="clear" w:fill="FEFEFE"/>
        </w:rPr>
        <w:t>保险集团、自保公司、相互保险组织适用本规定。相关法律法规另有规定的，从其规定。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376" w:right="376" w:firstLine="720"/>
        <w:jc w:val="left"/>
        <w:rPr>
          <w:rFonts w:hint="default" w:ascii="Calibri" w:hAnsi="Calibri" w:cs="Calibri"/>
          <w:sz w:val="21"/>
          <w:szCs w:val="21"/>
        </w:rPr>
      </w:pPr>
      <w:r>
        <w:rPr>
          <w:rFonts w:hint="default" w:ascii="仿宋_GB2312" w:hAnsi="Calibri" w:eastAsia="仿宋_GB2312" w:cs="仿宋_GB2312"/>
          <w:b/>
          <w:i w:val="0"/>
          <w:caps w:val="0"/>
          <w:color w:val="333333"/>
          <w:spacing w:val="0"/>
          <w:sz w:val="36"/>
          <w:szCs w:val="36"/>
          <w:bdr w:val="none" w:color="auto" w:sz="0" w:space="0"/>
          <w:shd w:val="clear" w:fill="FEFEFE"/>
        </w:rPr>
        <w:t xml:space="preserve">第三十二条 </w:t>
      </w:r>
      <w:r>
        <w:rPr>
          <w:rFonts w:hint="default" w:ascii="仿宋_GB2312" w:hAnsi="Calibri" w:eastAsia="仿宋_GB2312" w:cs="仿宋_GB2312"/>
          <w:i w:val="0"/>
          <w:caps w:val="0"/>
          <w:color w:val="333333"/>
          <w:spacing w:val="0"/>
          <w:sz w:val="36"/>
          <w:szCs w:val="36"/>
          <w:bdr w:val="none" w:color="auto" w:sz="0" w:space="0"/>
          <w:shd w:val="clear" w:fill="FEFEFE"/>
        </w:rPr>
        <w:t>外国保险公司分公司，如在中国境内有多家分公司，应当指定其中一家分公司合并评估所有在华分公司的偿付能力，并履行本规定的偿付能力管理职责，承担偿付能力管理责任。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376" w:right="376" w:firstLine="720"/>
        <w:jc w:val="left"/>
        <w:rPr>
          <w:rFonts w:hint="default" w:ascii="Calibri" w:hAnsi="Calibri" w:cs="Calibri"/>
          <w:sz w:val="21"/>
          <w:szCs w:val="21"/>
        </w:rPr>
      </w:pPr>
      <w:r>
        <w:rPr>
          <w:rFonts w:hint="default" w:ascii="仿宋_GB2312" w:hAnsi="Calibri" w:eastAsia="仿宋_GB2312" w:cs="仿宋_GB2312"/>
          <w:b/>
          <w:i w:val="0"/>
          <w:caps w:val="0"/>
          <w:color w:val="333333"/>
          <w:spacing w:val="0"/>
          <w:sz w:val="36"/>
          <w:szCs w:val="36"/>
          <w:bdr w:val="none" w:color="auto" w:sz="0" w:space="0"/>
          <w:shd w:val="clear" w:fill="FEFEFE"/>
        </w:rPr>
        <w:t xml:space="preserve">第三十三条 </w:t>
      </w:r>
      <w:r>
        <w:rPr>
          <w:rFonts w:hint="default" w:ascii="仿宋_GB2312" w:hAnsi="Calibri" w:eastAsia="仿宋_GB2312" w:cs="仿宋_GB2312"/>
          <w:i w:val="0"/>
          <w:caps w:val="0"/>
          <w:color w:val="333333"/>
          <w:spacing w:val="0"/>
          <w:sz w:val="36"/>
          <w:szCs w:val="36"/>
          <w:bdr w:val="none" w:color="auto" w:sz="0" w:space="0"/>
          <w:shd w:val="clear" w:fill="FEFEFE"/>
        </w:rPr>
        <w:t>本规定由中国银保监会负责解释和修订。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376" w:right="376" w:firstLine="720"/>
        <w:jc w:val="left"/>
        <w:rPr>
          <w:rFonts w:hint="default" w:ascii="Calibri" w:hAnsi="Calibri" w:cs="Calibri"/>
          <w:sz w:val="21"/>
          <w:szCs w:val="21"/>
        </w:rPr>
      </w:pPr>
      <w:r>
        <w:rPr>
          <w:rFonts w:hint="default" w:ascii="仿宋_GB2312" w:hAnsi="Calibri" w:eastAsia="仿宋_GB2312" w:cs="仿宋_GB2312"/>
          <w:b/>
          <w:i w:val="0"/>
          <w:caps w:val="0"/>
          <w:color w:val="333333"/>
          <w:spacing w:val="0"/>
          <w:sz w:val="36"/>
          <w:szCs w:val="36"/>
          <w:bdr w:val="none" w:color="auto" w:sz="0" w:space="0"/>
          <w:shd w:val="clear" w:fill="FEFEFE"/>
        </w:rPr>
        <w:t xml:space="preserve">第三十四条 </w:t>
      </w:r>
      <w:r>
        <w:rPr>
          <w:rFonts w:hint="default" w:ascii="仿宋_GB2312" w:hAnsi="Calibri" w:eastAsia="仿宋_GB2312" w:cs="仿宋_GB2312"/>
          <w:i w:val="0"/>
          <w:caps w:val="0"/>
          <w:color w:val="333333"/>
          <w:spacing w:val="0"/>
          <w:sz w:val="36"/>
          <w:szCs w:val="36"/>
          <w:bdr w:val="none" w:color="auto" w:sz="0" w:space="0"/>
          <w:shd w:val="clear" w:fill="FEFEFE"/>
        </w:rPr>
        <w:t>本规定自2021年3月1日起施行。《保险公司偿付能力管理规定》（中国保险监督管理委员会令2008年第1号）同时废止。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376" w:right="376" w:firstLine="420"/>
        <w:jc w:val="left"/>
        <w:rPr>
          <w:rFonts w:hint="default" w:ascii="Calibri" w:hAnsi="Calibri" w:cs="Calibri"/>
          <w:sz w:val="21"/>
          <w:szCs w:val="21"/>
        </w:rPr>
      </w:pPr>
      <w:r>
        <w:rPr>
          <w:rFonts w:hint="default" w:ascii="仿宋_GB2312" w:hAnsi="Calibri" w:eastAsia="仿宋_GB2312" w:cs="仿宋_GB2312"/>
          <w:i w:val="0"/>
          <w:caps w:val="0"/>
          <w:color w:val="333333"/>
          <w:spacing w:val="0"/>
          <w:sz w:val="36"/>
          <w:szCs w:val="36"/>
          <w:bdr w:val="none" w:color="auto" w:sz="0" w:space="0"/>
          <w:shd w:val="clear" w:fill="FEFEFE"/>
        </w:rPr>
        <w:t>附：中国银保监会有关部门负责人就《保险公司偿付能力管理规定》答记者问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376" w:right="376" w:firstLine="420"/>
        <w:jc w:val="left"/>
        <w:rPr>
          <w:rFonts w:hint="default" w:ascii="Calibri" w:hAnsi="Calibri" w:cs="Calibri"/>
          <w:sz w:val="21"/>
          <w:szCs w:val="21"/>
        </w:rPr>
      </w:pPr>
      <w:r>
        <w:rPr>
          <w:rFonts w:hint="default" w:ascii="Calibri" w:hAnsi="Calibri" w:eastAsia="微软雅黑" w:cs="Calibri"/>
          <w:i w:val="0"/>
          <w:caps w:val="0"/>
          <w:color w:val="000000"/>
          <w:spacing w:val="0"/>
          <w:sz w:val="21"/>
          <w:szCs w:val="21"/>
          <w:u w:val="none"/>
          <w:bdr w:val="none" w:color="auto" w:sz="0" w:space="0"/>
          <w:shd w:val="clear" w:fill="FEFEFE"/>
        </w:rPr>
        <w:fldChar w:fldCharType="begin"/>
      </w:r>
      <w:r>
        <w:rPr>
          <w:rFonts w:hint="default" w:ascii="Calibri" w:hAnsi="Calibri" w:eastAsia="微软雅黑" w:cs="Calibri"/>
          <w:i w:val="0"/>
          <w:caps w:val="0"/>
          <w:color w:val="000000"/>
          <w:spacing w:val="0"/>
          <w:sz w:val="21"/>
          <w:szCs w:val="21"/>
          <w:u w:val="none"/>
          <w:bdr w:val="none" w:color="auto" w:sz="0" w:space="0"/>
          <w:shd w:val="clear" w:fill="FEFEFE"/>
        </w:rPr>
        <w:instrText xml:space="preserve"> HYPERLINK "http://www.cbirc.gov.cn/cn/view/pages/ItemDetail.html?docId=962009&amp;itemId=915&amp;generaltype=0" </w:instrText>
      </w:r>
      <w:r>
        <w:rPr>
          <w:rFonts w:hint="default" w:ascii="Calibri" w:hAnsi="Calibri" w:eastAsia="微软雅黑" w:cs="Calibri"/>
          <w:i w:val="0"/>
          <w:caps w:val="0"/>
          <w:color w:val="000000"/>
          <w:spacing w:val="0"/>
          <w:sz w:val="21"/>
          <w:szCs w:val="21"/>
          <w:u w:val="none"/>
          <w:bdr w:val="none" w:color="auto" w:sz="0" w:space="0"/>
          <w:shd w:val="clear" w:fill="FEFEFE"/>
        </w:rPr>
        <w:fldChar w:fldCharType="separate"/>
      </w:r>
      <w:r>
        <w:rPr>
          <w:rStyle w:val="5"/>
          <w:rFonts w:hint="default" w:ascii="仿宋_GB2312" w:hAnsi="Calibri" w:eastAsia="仿宋_GB2312" w:cs="仿宋_GB2312"/>
          <w:i w:val="0"/>
          <w:caps w:val="0"/>
          <w:color w:val="0000FF"/>
          <w:spacing w:val="0"/>
          <w:sz w:val="36"/>
          <w:szCs w:val="36"/>
          <w:u w:val="single"/>
          <w:bdr w:val="none" w:color="auto" w:sz="0" w:space="0"/>
          <w:shd w:val="clear" w:fill="FEFEFE"/>
        </w:rPr>
        <w:t>http://www.cbirc.gov.cn/cn/view/pages/ItemDetail.html?docId=962009&amp;itemId=915&amp;generaltype=0</w:t>
      </w:r>
      <w:r>
        <w:rPr>
          <w:rFonts w:hint="default" w:ascii="Calibri" w:hAnsi="Calibri" w:eastAsia="微软雅黑" w:cs="Calibri"/>
          <w:i w:val="0"/>
          <w:caps w:val="0"/>
          <w:color w:val="000000"/>
          <w:spacing w:val="0"/>
          <w:sz w:val="21"/>
          <w:szCs w:val="21"/>
          <w:u w:val="none"/>
          <w:bdr w:val="none" w:color="auto" w:sz="0" w:space="0"/>
          <w:shd w:val="clear" w:fill="FEFEFE"/>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376" w:right="376" w:firstLine="420"/>
        <w:jc w:val="left"/>
        <w:rPr>
          <w:rFonts w:hint="default" w:ascii="Calibri" w:hAnsi="Calibri" w:cs="Calibri"/>
          <w:sz w:val="21"/>
          <w:szCs w:val="21"/>
        </w:rPr>
      </w:pPr>
      <w:r>
        <w:rPr>
          <w:rFonts w:hint="default" w:ascii="仿宋_GB2312" w:hAnsi="Calibri" w:eastAsia="仿宋_GB2312" w:cs="仿宋_GB2312"/>
          <w:i w:val="0"/>
          <w:caps w:val="0"/>
          <w:color w:val="333333"/>
          <w:spacing w:val="0"/>
          <w:sz w:val="36"/>
          <w:szCs w:val="36"/>
          <w:bdr w:val="none" w:color="auto" w:sz="0" w:space="0"/>
          <w:shd w:val="clear" w:fill="FEFEFE"/>
        </w:rPr>
        <w:t>中国银保监会修订发布《保险公司偿付能力管理规定》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376" w:right="376" w:firstLine="420"/>
        <w:jc w:val="left"/>
        <w:rPr>
          <w:rFonts w:hint="default" w:ascii="Calibri" w:hAnsi="Calibri" w:cs="Calibri"/>
          <w:sz w:val="21"/>
          <w:szCs w:val="21"/>
        </w:rPr>
      </w:pPr>
      <w:r>
        <w:rPr>
          <w:rFonts w:hint="default" w:ascii="Calibri" w:hAnsi="Calibri" w:eastAsia="微软雅黑" w:cs="Calibri"/>
          <w:i w:val="0"/>
          <w:caps w:val="0"/>
          <w:color w:val="000000"/>
          <w:spacing w:val="0"/>
          <w:sz w:val="21"/>
          <w:szCs w:val="21"/>
          <w:u w:val="none"/>
          <w:bdr w:val="none" w:color="auto" w:sz="0" w:space="0"/>
          <w:shd w:val="clear" w:fill="FEFEFE"/>
        </w:rPr>
        <w:fldChar w:fldCharType="begin"/>
      </w:r>
      <w:r>
        <w:rPr>
          <w:rFonts w:hint="default" w:ascii="Calibri" w:hAnsi="Calibri" w:eastAsia="微软雅黑" w:cs="Calibri"/>
          <w:i w:val="0"/>
          <w:caps w:val="0"/>
          <w:color w:val="000000"/>
          <w:spacing w:val="0"/>
          <w:sz w:val="21"/>
          <w:szCs w:val="21"/>
          <w:u w:val="none"/>
          <w:bdr w:val="none" w:color="auto" w:sz="0" w:space="0"/>
          <w:shd w:val="clear" w:fill="FEFEFE"/>
        </w:rPr>
        <w:instrText xml:space="preserve"> HYPERLINK "http://www.cbirc.gov.cn/cn/view/pages/ItemDetail.html?docId=962012&amp;itemId=915&amp;generaltype=0" </w:instrText>
      </w:r>
      <w:r>
        <w:rPr>
          <w:rFonts w:hint="default" w:ascii="Calibri" w:hAnsi="Calibri" w:eastAsia="微软雅黑" w:cs="Calibri"/>
          <w:i w:val="0"/>
          <w:caps w:val="0"/>
          <w:color w:val="000000"/>
          <w:spacing w:val="0"/>
          <w:sz w:val="21"/>
          <w:szCs w:val="21"/>
          <w:u w:val="none"/>
          <w:bdr w:val="none" w:color="auto" w:sz="0" w:space="0"/>
          <w:shd w:val="clear" w:fill="FEFEFE"/>
        </w:rPr>
        <w:fldChar w:fldCharType="separate"/>
      </w:r>
      <w:r>
        <w:rPr>
          <w:rStyle w:val="5"/>
          <w:rFonts w:hint="default" w:ascii="仿宋_GB2312" w:hAnsi="Calibri" w:eastAsia="仿宋_GB2312" w:cs="仿宋_GB2312"/>
          <w:i w:val="0"/>
          <w:caps w:val="0"/>
          <w:color w:val="0000FF"/>
          <w:spacing w:val="0"/>
          <w:sz w:val="36"/>
          <w:szCs w:val="36"/>
          <w:u w:val="single"/>
          <w:bdr w:val="none" w:color="auto" w:sz="0" w:space="0"/>
          <w:shd w:val="clear" w:fill="FEFEFE"/>
        </w:rPr>
        <w:t>http://www.cbirc.gov.cn/cn/view/pages/ItemDetail.html?docId=962012&amp;itemId=915&amp;generaltype=0</w:t>
      </w:r>
      <w:r>
        <w:rPr>
          <w:rFonts w:hint="default" w:ascii="Calibri" w:hAnsi="Calibri" w:eastAsia="微软雅黑" w:cs="Calibri"/>
          <w:i w:val="0"/>
          <w:caps w:val="0"/>
          <w:color w:val="000000"/>
          <w:spacing w:val="0"/>
          <w:sz w:val="21"/>
          <w:szCs w:val="21"/>
          <w:u w:val="none"/>
          <w:bdr w:val="none" w:color="auto" w:sz="0" w:space="0"/>
          <w:shd w:val="clear" w:fill="FEFEFE"/>
        </w:rPr>
        <w:fldChar w:fldCharType="end"/>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7178AF"/>
    <w:rsid w:val="1A717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2021-01-26T08:04:00Z</dcterms:created>
  <dc:creator>Whale Fall</dc:creator>
  <cp:lastModifiedBy>Whale Fall</cp:lastModifiedBy>
  <dcterms:modified xsi:type="dcterms:W3CDTF">2021-01-26T08:04:52Z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