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附件6</w:t>
      </w:r>
      <w:r>
        <w:rPr>
          <w:rFonts w:ascii="方正黑体_GBK" w:eastAsia="方正黑体_GBK"/>
          <w:color w:val="000000"/>
          <w:szCs w:val="32"/>
        </w:rPr>
        <w:t xml:space="preserve"> </w:t>
      </w:r>
    </w:p>
    <w:p>
      <w:pPr>
        <w:widowControl/>
        <w:jc w:val="left"/>
      </w:pPr>
      <w:r>
        <w:rPr>
          <w:color w:val="000000"/>
        </w:rPr>
        <w:drawing>
          <wp:inline distT="0" distB="0" distL="114300" distR="114300">
            <wp:extent cx="8600440" cy="40093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0440" cy="400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仿宋_GBK" w:eastAsia="方正仿宋_GBK"/>
          <w:color w:val="000000"/>
          <w:szCs w:val="21"/>
        </w:rPr>
        <w:t>毕业留学人员创业企业应具备以下条件中至少两条：1.有自主知识产权；2.连续2年营业收入累计超过1000万元；3.被兼并、收购或在国内外资本市场上市。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81" w:y="119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简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2021-03-15T09:45:21Z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