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8ADB" w14:textId="4DE4C271" w:rsidR="00AF00B4" w:rsidRDefault="00F16B5E">
      <w:pPr>
        <w:pStyle w:val="1"/>
        <w:jc w:val="center"/>
        <w:rPr>
          <w:rFonts w:hint="default"/>
          <w:sz w:val="36"/>
          <w:szCs w:val="36"/>
        </w:rPr>
      </w:pPr>
      <w:r>
        <w:rPr>
          <w:sz w:val="36"/>
          <w:szCs w:val="36"/>
        </w:rPr>
        <w:t>行业标准《</w:t>
      </w:r>
      <w:r w:rsidR="00856129" w:rsidRPr="00856129">
        <w:rPr>
          <w:sz w:val="36"/>
          <w:szCs w:val="36"/>
        </w:rPr>
        <w:t>托盘共用系统货物码盘及交接要求</w:t>
      </w:r>
      <w:r>
        <w:rPr>
          <w:sz w:val="36"/>
          <w:szCs w:val="36"/>
        </w:rPr>
        <w:t>》（征求意见稿）编制说明</w:t>
      </w:r>
    </w:p>
    <w:p w14:paraId="532CC41B" w14:textId="77777777" w:rsidR="00AF00B4" w:rsidRDefault="00F16B5E">
      <w:pPr>
        <w:pStyle w:val="1"/>
        <w:widowControl/>
        <w:spacing w:before="0" w:beforeAutospacing="0" w:after="0" w:afterAutospacing="0"/>
        <w:rPr>
          <w:rFonts w:ascii="黑体" w:eastAsia="黑体" w:hAnsi="黑体" w:cs="黑体" w:hint="default"/>
          <w:b w:val="0"/>
          <w:bCs/>
          <w:kern w:val="2"/>
          <w:sz w:val="32"/>
          <w:szCs w:val="32"/>
        </w:rPr>
      </w:pPr>
      <w:r>
        <w:rPr>
          <w:rFonts w:ascii="黑体" w:eastAsia="黑体" w:hAnsi="黑体" w:cs="黑体"/>
          <w:b w:val="0"/>
          <w:bCs/>
          <w:kern w:val="2"/>
          <w:sz w:val="32"/>
          <w:szCs w:val="44"/>
        </w:rPr>
        <w:t xml:space="preserve">    </w:t>
      </w:r>
      <w:r>
        <w:rPr>
          <w:rFonts w:ascii="黑体" w:eastAsia="黑体" w:hAnsi="黑体" w:cs="黑体"/>
          <w:b w:val="0"/>
          <w:bCs/>
          <w:kern w:val="2"/>
          <w:sz w:val="32"/>
          <w:szCs w:val="32"/>
        </w:rPr>
        <w:t>一、项目来源</w:t>
      </w:r>
    </w:p>
    <w:p w14:paraId="0AA4D585" w14:textId="77777777" w:rsidR="00AF00B4" w:rsidRDefault="00F16B5E">
      <w:pPr>
        <w:pStyle w:val="1"/>
        <w:widowControl/>
        <w:spacing w:before="0" w:beforeAutospacing="0" w:after="0" w:afterAutospacing="0"/>
        <w:ind w:firstLineChars="200" w:firstLine="640"/>
        <w:jc w:val="both"/>
        <w:rPr>
          <w:rFonts w:ascii="仿宋_GB2312" w:eastAsia="仿宋_GB2312" w:hAnsi="仿宋_GB2312" w:cs="仿宋_GB2312" w:hint="default"/>
          <w:b w:val="0"/>
          <w:bCs/>
          <w:kern w:val="2"/>
          <w:sz w:val="32"/>
          <w:szCs w:val="32"/>
        </w:rPr>
      </w:pPr>
      <w:r>
        <w:rPr>
          <w:rFonts w:ascii="仿宋_GB2312" w:eastAsia="仿宋_GB2312" w:hAnsi="仿宋_GB2312" w:cs="仿宋_GB2312"/>
          <w:b w:val="0"/>
          <w:bCs/>
          <w:kern w:val="2"/>
          <w:sz w:val="32"/>
          <w:szCs w:val="32"/>
        </w:rPr>
        <w:t>本文件由中国仓储与配送协会提出，商务部归口管理。</w:t>
      </w:r>
    </w:p>
    <w:p w14:paraId="70A01586" w14:textId="77777777" w:rsidR="00AF00B4" w:rsidRDefault="00F16B5E" w:rsidP="00927E43">
      <w:pPr>
        <w:pStyle w:val="1"/>
        <w:widowControl/>
        <w:spacing w:before="0" w:beforeAutospacing="0" w:after="0" w:afterAutospacing="0"/>
        <w:jc w:val="both"/>
        <w:rPr>
          <w:rFonts w:ascii="仿宋_GB2312" w:eastAsia="仿宋_GB2312" w:hAnsi="仿宋_GB2312" w:cs="仿宋_GB2312" w:hint="default"/>
          <w:b w:val="0"/>
          <w:bCs/>
          <w:kern w:val="2"/>
          <w:sz w:val="32"/>
          <w:szCs w:val="32"/>
        </w:rPr>
      </w:pPr>
      <w:r>
        <w:rPr>
          <w:rFonts w:ascii="仿宋_GB2312" w:eastAsia="仿宋_GB2312" w:hAnsi="仿宋_GB2312" w:cs="仿宋_GB2312"/>
          <w:b w:val="0"/>
          <w:kern w:val="2"/>
          <w:sz w:val="32"/>
          <w:szCs w:val="32"/>
        </w:rPr>
        <w:t>2017年6月，商务部办公厅在《2017年流通行业标准项目计划的通知》（商办流通函〔2017〕232号）中下达《循环共用系统货物码盘及交接要求》标准制定任务。</w:t>
      </w:r>
      <w:r>
        <w:rPr>
          <w:rFonts w:ascii="仿宋_GB2312" w:eastAsia="仿宋_GB2312" w:hAnsi="仿宋_GB2312" w:cs="仿宋_GB2312"/>
          <w:b w:val="0"/>
          <w:bCs/>
          <w:kern w:val="2"/>
          <w:sz w:val="32"/>
          <w:szCs w:val="32"/>
        </w:rPr>
        <w:t xml:space="preserve"> </w:t>
      </w:r>
    </w:p>
    <w:p w14:paraId="48669716"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b w:val="0"/>
          <w:bCs/>
          <w:kern w:val="2"/>
          <w:sz w:val="32"/>
          <w:szCs w:val="44"/>
        </w:rPr>
      </w:pPr>
      <w:r>
        <w:rPr>
          <w:rFonts w:ascii="仿宋_GB2312" w:eastAsia="仿宋_GB2312" w:hAnsi="仿宋_GB2312" w:cs="仿宋_GB2312"/>
          <w:b w:val="0"/>
          <w:kern w:val="2"/>
          <w:sz w:val="32"/>
          <w:szCs w:val="32"/>
        </w:rPr>
        <w:t>参与本文件制定单位有中国仓储与配送协会、路凯包装设备租赁（上海）有限公司。</w:t>
      </w:r>
    </w:p>
    <w:p w14:paraId="22BF05EE" w14:textId="77777777" w:rsidR="00AF00B4" w:rsidRDefault="00F16B5E">
      <w:pPr>
        <w:pStyle w:val="1"/>
        <w:widowControl/>
        <w:spacing w:before="0" w:beforeAutospacing="0" w:after="0" w:afterAutospacing="0"/>
        <w:rPr>
          <w:rFonts w:ascii="黑体" w:eastAsia="黑体" w:hAnsi="黑体" w:cs="黑体" w:hint="default"/>
          <w:b w:val="0"/>
          <w:bCs/>
          <w:kern w:val="2"/>
          <w:sz w:val="32"/>
          <w:szCs w:val="44"/>
        </w:rPr>
      </w:pPr>
      <w:r>
        <w:rPr>
          <w:rFonts w:ascii="黑体" w:eastAsia="黑体" w:hAnsi="黑体" w:cs="黑体"/>
          <w:b w:val="0"/>
          <w:bCs/>
          <w:kern w:val="2"/>
          <w:sz w:val="32"/>
          <w:szCs w:val="44"/>
        </w:rPr>
        <w:t xml:space="preserve">    二、标准名称变更</w:t>
      </w:r>
    </w:p>
    <w:p w14:paraId="15533442" w14:textId="1C4507A1" w:rsidR="00AF00B4" w:rsidRDefault="00F16B5E">
      <w:pPr>
        <w:pStyle w:val="1"/>
        <w:widowControl/>
        <w:spacing w:before="0" w:beforeAutospacing="0" w:after="0" w:afterAutospacing="0"/>
        <w:ind w:firstLine="640"/>
        <w:rPr>
          <w:rFonts w:ascii="仿宋_GB2312" w:eastAsia="仿宋_GB2312" w:hAnsi="仿宋_GB2312" w:cs="仿宋_GB2312" w:hint="default"/>
          <w:b w:val="0"/>
          <w:bCs/>
          <w:kern w:val="2"/>
          <w:sz w:val="32"/>
          <w:szCs w:val="44"/>
        </w:rPr>
      </w:pPr>
      <w:r>
        <w:rPr>
          <w:rFonts w:ascii="Times New Roman" w:eastAsia="仿宋_GB2312" w:hAnsi="Times New Roman"/>
          <w:b w:val="0"/>
          <w:kern w:val="2"/>
          <w:sz w:val="32"/>
          <w:szCs w:val="32"/>
        </w:rPr>
        <w:t>标准名称未变更，与申报时一致。</w:t>
      </w:r>
    </w:p>
    <w:p w14:paraId="340895AE" w14:textId="77777777" w:rsidR="00AF00B4" w:rsidRDefault="00F16B5E">
      <w:pPr>
        <w:pStyle w:val="1"/>
        <w:widowControl/>
        <w:spacing w:before="0" w:beforeAutospacing="0" w:after="0" w:afterAutospacing="0"/>
        <w:ind w:firstLine="640"/>
        <w:rPr>
          <w:rFonts w:ascii="黑体" w:eastAsia="黑体" w:hAnsi="黑体" w:cs="黑体" w:hint="default"/>
          <w:b w:val="0"/>
          <w:bCs/>
          <w:kern w:val="2"/>
          <w:sz w:val="32"/>
          <w:szCs w:val="32"/>
        </w:rPr>
      </w:pPr>
      <w:r>
        <w:rPr>
          <w:rFonts w:ascii="黑体" w:eastAsia="黑体" w:hAnsi="黑体" w:cs="黑体"/>
          <w:b w:val="0"/>
          <w:bCs/>
          <w:kern w:val="2"/>
          <w:sz w:val="32"/>
          <w:szCs w:val="32"/>
        </w:rPr>
        <w:t>三、 标准编写的目的、意义</w:t>
      </w:r>
    </w:p>
    <w:p w14:paraId="4862F58C" w14:textId="77777777" w:rsidR="00AF00B4" w:rsidRDefault="00F16B5E">
      <w:pPr>
        <w:ind w:firstLineChars="200" w:firstLine="640"/>
        <w:rPr>
          <w:rFonts w:ascii="仿宋_GB2312" w:eastAsia="仿宋_GB2312"/>
          <w:kern w:val="0"/>
          <w:sz w:val="32"/>
          <w:szCs w:val="32"/>
        </w:rPr>
      </w:pPr>
      <w:r>
        <w:rPr>
          <w:rFonts w:ascii="仿宋_GB2312" w:eastAsia="仿宋_GB2312" w:hint="eastAsia"/>
          <w:kern w:val="0"/>
          <w:sz w:val="32"/>
          <w:szCs w:val="32"/>
        </w:rPr>
        <w:t>带托运</w:t>
      </w:r>
      <w:proofErr w:type="gramStart"/>
      <w:r>
        <w:rPr>
          <w:rFonts w:ascii="仿宋_GB2312" w:eastAsia="仿宋_GB2312" w:hint="eastAsia"/>
          <w:kern w:val="0"/>
          <w:sz w:val="32"/>
          <w:szCs w:val="32"/>
        </w:rPr>
        <w:t>输作为</w:t>
      </w:r>
      <w:proofErr w:type="gramEnd"/>
      <w:r>
        <w:rPr>
          <w:rFonts w:ascii="仿宋_GB2312" w:eastAsia="仿宋_GB2312" w:hint="eastAsia"/>
          <w:kern w:val="0"/>
          <w:sz w:val="32"/>
          <w:szCs w:val="32"/>
        </w:rPr>
        <w:t>循环共用托盘应用的新趋势，已在各行各业得到了一定的认同。随着商务部物流标准化行动的开展，企业带托运输作业日益普及，带托运输的应用逐渐打破封闭格局，从企业内部走向企业外部，开始供应链上下游不同企业间的协同合作。但在托盘循环共用从静态模式转为动态模式的初期，由于企业间的码盘及货架设定标准不统一，码</w:t>
      </w:r>
      <w:proofErr w:type="gramStart"/>
      <w:r>
        <w:rPr>
          <w:rFonts w:ascii="仿宋_GB2312" w:eastAsia="仿宋_GB2312" w:hint="eastAsia"/>
          <w:kern w:val="0"/>
          <w:sz w:val="32"/>
          <w:szCs w:val="32"/>
        </w:rPr>
        <w:t>盘高度</w:t>
      </w:r>
      <w:proofErr w:type="gramEnd"/>
      <w:r>
        <w:rPr>
          <w:rFonts w:ascii="仿宋_GB2312" w:eastAsia="仿宋_GB2312" w:hint="eastAsia"/>
          <w:kern w:val="0"/>
          <w:sz w:val="32"/>
          <w:szCs w:val="32"/>
        </w:rPr>
        <w:t>与运输车辆不匹配以及与带托运</w:t>
      </w:r>
      <w:proofErr w:type="gramStart"/>
      <w:r>
        <w:rPr>
          <w:rFonts w:ascii="仿宋_GB2312" w:eastAsia="仿宋_GB2312" w:hint="eastAsia"/>
          <w:kern w:val="0"/>
          <w:sz w:val="32"/>
          <w:szCs w:val="32"/>
        </w:rPr>
        <w:t>输相关</w:t>
      </w:r>
      <w:proofErr w:type="gramEnd"/>
      <w:r>
        <w:rPr>
          <w:rFonts w:ascii="仿宋_GB2312" w:eastAsia="仿宋_GB2312" w:hint="eastAsia"/>
          <w:kern w:val="0"/>
          <w:sz w:val="32"/>
          <w:szCs w:val="32"/>
        </w:rPr>
        <w:t>的收验货流程不规范等造成上下游无法形成标准的集装单元，严重影响了作业效率，增加了带托运输的成本，阻碍了带托运输这一高效作业模式在供应链端到</w:t>
      </w:r>
      <w:proofErr w:type="gramStart"/>
      <w:r>
        <w:rPr>
          <w:rFonts w:ascii="仿宋_GB2312" w:eastAsia="仿宋_GB2312" w:hint="eastAsia"/>
          <w:kern w:val="0"/>
          <w:sz w:val="32"/>
          <w:szCs w:val="32"/>
        </w:rPr>
        <w:t>端的全</w:t>
      </w:r>
      <w:proofErr w:type="gramEnd"/>
      <w:r>
        <w:rPr>
          <w:rFonts w:ascii="仿宋_GB2312" w:eastAsia="仿宋_GB2312" w:hint="eastAsia"/>
          <w:kern w:val="0"/>
          <w:sz w:val="32"/>
          <w:szCs w:val="32"/>
        </w:rPr>
        <w:t>链路应用。因此，本标准将</w:t>
      </w:r>
      <w:r>
        <w:rPr>
          <w:rFonts w:ascii="仿宋_GB2312" w:eastAsia="仿宋_GB2312" w:hint="eastAsia"/>
          <w:kern w:val="0"/>
          <w:sz w:val="32"/>
          <w:szCs w:val="32"/>
        </w:rPr>
        <w:lastRenderedPageBreak/>
        <w:t>从订单模式、托盘码盘规则、托盘货物信息标识、托盘固定绑扎要求、带托运输货物及托盘交接作业等几方面进行规范和指导，促进我国单元化集装器具循环共用迈向实质性发展阶段。</w:t>
      </w:r>
    </w:p>
    <w:p w14:paraId="1772E4B0" w14:textId="77777777" w:rsidR="00AF00B4" w:rsidRDefault="00F16B5E">
      <w:pPr>
        <w:ind w:firstLineChars="200" w:firstLine="640"/>
        <w:rPr>
          <w:rFonts w:ascii="黑体" w:eastAsia="黑体" w:hAnsi="黑体" w:cs="黑体"/>
          <w:bCs/>
          <w:sz w:val="32"/>
          <w:szCs w:val="32"/>
        </w:rPr>
      </w:pPr>
      <w:r>
        <w:rPr>
          <w:rFonts w:ascii="黑体" w:eastAsia="黑体" w:hAnsi="黑体" w:cs="黑体" w:hint="eastAsia"/>
          <w:bCs/>
          <w:sz w:val="32"/>
          <w:szCs w:val="32"/>
        </w:rPr>
        <w:t>四、主要工作过程</w:t>
      </w:r>
    </w:p>
    <w:p w14:paraId="2DBBEBD6"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成立编写工作组</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2017年6月，《商务部办公厅关于下达2017年流通行业标准项目计划的通知》（商办流通函〔2017〕232号）下达，通过召开标准项目部署会议，制定了标准工作方案，并成立编写工作组，确定项目负责人，其他参编单位的相关人员为小组人员。</w:t>
      </w:r>
    </w:p>
    <w:p w14:paraId="1D53378D"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收集材料阶段</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编写工作组2017年7月-2018年6月开始对行业标准进行资料收集。</w:t>
      </w:r>
    </w:p>
    <w:p w14:paraId="1C86E8A7"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标准调研</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编写工作组2018年7月至2019年6月，对托盘生产企业、托盘运营企业、第三方物流企业、商贸零售企业等进行广泛调研。</w:t>
      </w:r>
    </w:p>
    <w:p w14:paraId="7E980CA1"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形成标准草案稿</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2019年7月至12月，编写工作组开始制定标准草案，并于小组内部组织专家召开专项会议，汇报、讨论标准编制的内容及进展。</w:t>
      </w:r>
    </w:p>
    <w:p w14:paraId="2A298502"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形成标准初稿</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2020年1月-10月，考虑到全国疫情情况。主要编写单位组织在10月初召开了各参编单位的视频会议，集中讨论与研究标准草案稿，对标准的框架、内容、章节内容进行积极的讨论，形成标准初稿。</w:t>
      </w:r>
    </w:p>
    <w:p w14:paraId="15E075C5" w14:textId="77777777" w:rsidR="00AF00B4" w:rsidRDefault="00AF00B4">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p>
    <w:p w14:paraId="5F12CA73"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kern w:val="2"/>
          <w:sz w:val="32"/>
          <w:szCs w:val="32"/>
        </w:rPr>
      </w:pPr>
      <w:r>
        <w:rPr>
          <w:rFonts w:ascii="仿宋_GB2312" w:eastAsia="仿宋_GB2312" w:hAnsi="仿宋_GB2312" w:cs="仿宋_GB2312"/>
          <w:b w:val="0"/>
          <w:kern w:val="2"/>
          <w:sz w:val="32"/>
          <w:szCs w:val="32"/>
        </w:rPr>
        <w:t>形成标准征求意见稿</w:t>
      </w:r>
      <w:r>
        <w:rPr>
          <w:rFonts w:ascii="仿宋_GB2312" w:eastAsia="仿宋_GB2312" w:hAnsi="仿宋_GB2312" w:cs="仿宋_GB2312" w:hint="default"/>
          <w:b w:val="0"/>
          <w:kern w:val="2"/>
          <w:sz w:val="32"/>
          <w:szCs w:val="32"/>
          <w:lang w:val="en"/>
        </w:rPr>
        <w:t>。</w:t>
      </w:r>
      <w:r>
        <w:rPr>
          <w:rFonts w:ascii="仿宋_GB2312" w:eastAsia="仿宋_GB2312" w:hAnsi="仿宋_GB2312" w:cs="仿宋_GB2312"/>
          <w:b w:val="0"/>
          <w:kern w:val="2"/>
          <w:sz w:val="32"/>
          <w:szCs w:val="32"/>
        </w:rPr>
        <w:t>2020年11月至1月，在初稿基础上，组织相关专家进行多次讨论、修改，1月底形成本征求意见稿。</w:t>
      </w:r>
      <w:r>
        <w:rPr>
          <w:rFonts w:ascii="仿宋_GB2312" w:eastAsia="仿宋_GB2312" w:hAnsi="仿宋_GB2312" w:cs="仿宋_GB2312"/>
          <w:kern w:val="2"/>
          <w:sz w:val="32"/>
          <w:szCs w:val="32"/>
        </w:rPr>
        <w:t xml:space="preserve"> </w:t>
      </w:r>
    </w:p>
    <w:p w14:paraId="6EED8D58" w14:textId="77777777" w:rsidR="00AF00B4" w:rsidRDefault="00F16B5E">
      <w:pPr>
        <w:pStyle w:val="1"/>
        <w:widowControl/>
        <w:spacing w:before="0" w:beforeAutospacing="0" w:after="0" w:afterAutospacing="0"/>
        <w:rPr>
          <w:rFonts w:ascii="黑体" w:eastAsia="黑体" w:hAnsi="黑体" w:cs="黑体" w:hint="default"/>
          <w:b w:val="0"/>
          <w:bCs/>
          <w:kern w:val="2"/>
          <w:sz w:val="32"/>
          <w:szCs w:val="32"/>
        </w:rPr>
      </w:pPr>
      <w:r>
        <w:rPr>
          <w:rFonts w:ascii="仿宋_GB2312" w:eastAsia="仿宋_GB2312" w:hAnsi="仿宋_GB2312" w:cs="仿宋_GB2312"/>
          <w:kern w:val="2"/>
          <w:sz w:val="32"/>
          <w:szCs w:val="32"/>
        </w:rPr>
        <w:t xml:space="preserve">    </w:t>
      </w:r>
      <w:r>
        <w:rPr>
          <w:rFonts w:ascii="黑体" w:eastAsia="黑体" w:hAnsi="黑体" w:cs="黑体"/>
          <w:b w:val="0"/>
          <w:bCs/>
          <w:kern w:val="2"/>
          <w:sz w:val="32"/>
          <w:szCs w:val="32"/>
        </w:rPr>
        <w:t>五、标准编制原则</w:t>
      </w:r>
    </w:p>
    <w:p w14:paraId="2A545491" w14:textId="77777777" w:rsidR="00AF00B4" w:rsidRDefault="00F16B5E">
      <w:pPr>
        <w:pStyle w:val="1"/>
        <w:widowControl/>
        <w:spacing w:before="0" w:beforeAutospacing="0" w:after="0" w:afterAutospacing="0"/>
        <w:ind w:firstLineChars="200" w:firstLine="640"/>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本文件按照GB/T 1.1-2020给出的规则进行编写。编制过程中，参考了相关国家标准、行业标准和法律法规的要求，充分收集现有行业资料，借鉴相近行业国家标准和行业标准的编制情况，力求以实事求是的原则使行业标准具有科学性、先进性。本标准的制定依据以下原则：</w:t>
      </w:r>
    </w:p>
    <w:p w14:paraId="003D123A" w14:textId="77777777" w:rsidR="00AF00B4" w:rsidRDefault="00F16B5E">
      <w:pPr>
        <w:pStyle w:val="1"/>
        <w:widowControl/>
        <w:spacing w:before="0" w:beforeAutospacing="0" w:after="0" w:afterAutospacing="0"/>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t>（一）统一性原则。</w:t>
      </w:r>
      <w:r>
        <w:rPr>
          <w:rFonts w:ascii="仿宋_GB2312" w:eastAsia="仿宋_GB2312" w:hAnsi="仿宋_GB2312" w:cs="仿宋_GB2312"/>
          <w:b w:val="0"/>
          <w:kern w:val="2"/>
          <w:sz w:val="32"/>
          <w:szCs w:val="32"/>
        </w:rPr>
        <w:t>标准内结构、文体、术语都实现统一，保证标准的使用者无歧义地理解。</w:t>
      </w:r>
    </w:p>
    <w:p w14:paraId="41F0DC7D" w14:textId="77777777" w:rsidR="00AF00B4" w:rsidRDefault="00F16B5E">
      <w:pPr>
        <w:pStyle w:val="1"/>
        <w:widowControl/>
        <w:spacing w:before="0" w:beforeAutospacing="0" w:after="0" w:afterAutospacing="0"/>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t>（二）协调性原则。</w:t>
      </w:r>
      <w:r>
        <w:rPr>
          <w:rFonts w:ascii="仿宋_GB2312" w:eastAsia="仿宋_GB2312" w:hAnsi="仿宋_GB2312" w:cs="仿宋_GB2312"/>
          <w:b w:val="0"/>
          <w:kern w:val="2"/>
          <w:sz w:val="32"/>
          <w:szCs w:val="32"/>
        </w:rPr>
        <w:t>本文件作为流通行业中使用循环共用托盘进行带托运输的行业标准，征求了行业多家企业的参考意见和现实需求，从行业角度来说，达到协调统一。</w:t>
      </w:r>
    </w:p>
    <w:p w14:paraId="504781B3" w14:textId="77777777" w:rsidR="00AF00B4" w:rsidRDefault="00F16B5E">
      <w:pPr>
        <w:pStyle w:val="1"/>
        <w:widowControl/>
        <w:spacing w:before="0" w:beforeAutospacing="0" w:after="0" w:afterAutospacing="0"/>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t>（三）适用性原则。</w:t>
      </w:r>
      <w:r>
        <w:rPr>
          <w:rFonts w:ascii="仿宋_GB2312" w:eastAsia="仿宋_GB2312" w:hAnsi="仿宋_GB2312" w:cs="仿宋_GB2312"/>
          <w:b w:val="0"/>
          <w:kern w:val="2"/>
          <w:sz w:val="32"/>
          <w:szCs w:val="32"/>
        </w:rPr>
        <w:t>本文件中的内容可直接使用，也易于被其他标准或文件引用。</w:t>
      </w:r>
    </w:p>
    <w:p w14:paraId="62479388" w14:textId="77777777" w:rsidR="00AF00B4" w:rsidRDefault="00F16B5E">
      <w:pPr>
        <w:pStyle w:val="1"/>
        <w:widowControl/>
        <w:spacing w:before="0" w:beforeAutospacing="0" w:after="0" w:afterAutospacing="0"/>
        <w:ind w:firstLineChars="200" w:firstLine="643"/>
        <w:rPr>
          <w:rFonts w:ascii="仿宋_GB2312" w:eastAsia="仿宋_GB2312" w:hAnsi="仿宋_GB2312" w:cs="仿宋_GB2312" w:hint="default"/>
          <w:b w:val="0"/>
          <w:kern w:val="2"/>
          <w:sz w:val="32"/>
          <w:szCs w:val="32"/>
        </w:rPr>
      </w:pPr>
      <w:r>
        <w:rPr>
          <w:rFonts w:ascii="楷体" w:eastAsia="楷体" w:hAnsi="楷体" w:cs="楷体"/>
          <w:bCs/>
          <w:kern w:val="2"/>
          <w:sz w:val="32"/>
          <w:szCs w:val="32"/>
        </w:rPr>
        <w:t>（四）规范性原则。</w:t>
      </w:r>
      <w:r>
        <w:rPr>
          <w:rFonts w:ascii="仿宋_GB2312" w:eastAsia="仿宋_GB2312" w:hAnsi="仿宋_GB2312" w:cs="仿宋_GB2312"/>
          <w:b w:val="0"/>
          <w:kern w:val="2"/>
          <w:sz w:val="32"/>
          <w:szCs w:val="32"/>
        </w:rPr>
        <w:t>本文件的起草遵守与标准制定有关的基础标准以及相应法律法规的要求。</w:t>
      </w:r>
    </w:p>
    <w:p w14:paraId="6EF3AAA2" w14:textId="77777777" w:rsidR="00AF00B4" w:rsidRDefault="00F16B5E">
      <w:pPr>
        <w:pStyle w:val="1"/>
        <w:widowControl/>
        <w:spacing w:before="0" w:beforeAutospacing="0" w:after="0" w:afterAutospacing="0"/>
        <w:ind w:firstLineChars="200" w:firstLine="640"/>
        <w:rPr>
          <w:rFonts w:ascii="黑体" w:eastAsia="黑体" w:hAnsi="黑体" w:cs="黑体" w:hint="default"/>
          <w:b w:val="0"/>
          <w:bCs/>
          <w:kern w:val="2"/>
          <w:sz w:val="32"/>
          <w:szCs w:val="32"/>
        </w:rPr>
      </w:pPr>
      <w:r>
        <w:rPr>
          <w:rFonts w:ascii="黑体" w:eastAsia="黑体" w:hAnsi="黑体" w:cs="黑体"/>
          <w:b w:val="0"/>
          <w:bCs/>
          <w:kern w:val="2"/>
          <w:sz w:val="32"/>
          <w:szCs w:val="32"/>
        </w:rPr>
        <w:t>六、标准主要内容</w:t>
      </w:r>
    </w:p>
    <w:p w14:paraId="14E60E14" w14:textId="77777777" w:rsidR="00AF00B4" w:rsidRDefault="00F16B5E">
      <w:pPr>
        <w:ind w:firstLineChars="200" w:firstLine="640"/>
        <w:rPr>
          <w:rFonts w:ascii="仿宋_GB2312" w:eastAsia="仿宋_GB2312"/>
          <w:kern w:val="0"/>
          <w:sz w:val="32"/>
          <w:szCs w:val="32"/>
        </w:rPr>
      </w:pPr>
      <w:bookmarkStart w:id="0" w:name="OLE_LINK1"/>
      <w:bookmarkStart w:id="1" w:name="OLE_LINK2"/>
      <w:r>
        <w:rPr>
          <w:rFonts w:ascii="仿宋_GB2312" w:eastAsia="仿宋_GB2312" w:hint="eastAsia"/>
          <w:kern w:val="0"/>
          <w:sz w:val="32"/>
          <w:szCs w:val="32"/>
        </w:rPr>
        <w:t>本标准规定了循环共用托盘带托运</w:t>
      </w:r>
      <w:proofErr w:type="gramStart"/>
      <w:r>
        <w:rPr>
          <w:rFonts w:ascii="仿宋_GB2312" w:eastAsia="仿宋_GB2312" w:hint="eastAsia"/>
          <w:kern w:val="0"/>
          <w:sz w:val="32"/>
          <w:szCs w:val="32"/>
        </w:rPr>
        <w:t>输过程</w:t>
      </w:r>
      <w:proofErr w:type="gramEnd"/>
      <w:r>
        <w:rPr>
          <w:rFonts w:ascii="仿宋_GB2312" w:eastAsia="仿宋_GB2312" w:hint="eastAsia"/>
          <w:kern w:val="0"/>
          <w:sz w:val="32"/>
          <w:szCs w:val="32"/>
        </w:rPr>
        <w:t>中的各项作</w:t>
      </w:r>
      <w:r>
        <w:rPr>
          <w:rFonts w:ascii="仿宋_GB2312" w:eastAsia="仿宋_GB2312" w:hint="eastAsia"/>
          <w:kern w:val="0"/>
          <w:sz w:val="32"/>
          <w:szCs w:val="32"/>
        </w:rPr>
        <w:lastRenderedPageBreak/>
        <w:t>业标准。主要内容包括:</w:t>
      </w:r>
      <w:bookmarkEnd w:id="0"/>
      <w:bookmarkEnd w:id="1"/>
    </w:p>
    <w:p w14:paraId="58B6C73E" w14:textId="77777777" w:rsidR="00AF00B4" w:rsidRDefault="00F16B5E">
      <w:pPr>
        <w:pStyle w:val="ac"/>
        <w:ind w:firstLine="643"/>
        <w:rPr>
          <w:rFonts w:ascii="仿宋_GB2312" w:eastAsia="仿宋_GB2312" w:hAnsi="仿宋_GB2312" w:cs="仿宋_GB2312"/>
          <w:sz w:val="32"/>
          <w:szCs w:val="32"/>
        </w:rPr>
      </w:pPr>
      <w:r>
        <w:rPr>
          <w:rFonts w:ascii="楷体" w:eastAsia="楷体" w:hAnsi="楷体" w:cs="楷体" w:hint="eastAsia"/>
          <w:b/>
          <w:bCs/>
          <w:sz w:val="32"/>
          <w:szCs w:val="32"/>
        </w:rPr>
        <w:t>（一）适用范围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本</w:t>
      </w:r>
      <w:r>
        <w:rPr>
          <w:rFonts w:ascii="仿宋_GB2312" w:eastAsia="仿宋_GB2312" w:hAnsi="仿宋_GB2312" w:cs="仿宋_GB2312"/>
          <w:sz w:val="32"/>
          <w:szCs w:val="32"/>
        </w:rPr>
        <w:t>标准适用于</w:t>
      </w:r>
      <w:r>
        <w:rPr>
          <w:rFonts w:ascii="仿宋_GB2312" w:eastAsia="仿宋_GB2312" w:hAnsi="仿宋_GB2312" w:cs="仿宋_GB2312" w:hint="eastAsia"/>
          <w:sz w:val="32"/>
          <w:szCs w:val="32"/>
        </w:rPr>
        <w:t xml:space="preserve">供应链上下游企业不同主体间使用循环共用托盘时的带托运输作业。 </w:t>
      </w:r>
    </w:p>
    <w:p w14:paraId="77067547" w14:textId="77777777" w:rsidR="00AF00B4" w:rsidRDefault="00F16B5E">
      <w:pPr>
        <w:pStyle w:val="ac"/>
        <w:ind w:firstLine="643"/>
        <w:rPr>
          <w:rFonts w:ascii="仿宋_GB2312" w:eastAsia="仿宋_GB2312" w:hAnsi="仿宋_GB2312" w:cs="仿宋_GB2312"/>
          <w:sz w:val="32"/>
          <w:szCs w:val="32"/>
        </w:rPr>
      </w:pPr>
      <w:r>
        <w:rPr>
          <w:rFonts w:ascii="楷体" w:eastAsia="楷体" w:hAnsi="楷体" w:cs="楷体" w:hint="eastAsia"/>
          <w:b/>
          <w:bCs/>
          <w:sz w:val="32"/>
          <w:szCs w:val="32"/>
        </w:rPr>
        <w:t>（二）托盘流转模式。</w:t>
      </w:r>
      <w:r>
        <w:rPr>
          <w:rFonts w:ascii="仿宋_GB2312" w:eastAsia="仿宋_GB2312" w:hAnsi="仿宋_GB2312" w:cs="仿宋_GB2312" w:hint="eastAsia"/>
          <w:sz w:val="32"/>
          <w:szCs w:val="32"/>
        </w:rPr>
        <w:t>本标准明确了供应链上下游间使</w:t>
      </w:r>
    </w:p>
    <w:p w14:paraId="4DCE2A3D" w14:textId="77777777" w:rsidR="00AF00B4" w:rsidRDefault="00F16B5E">
      <w:pPr>
        <w:pStyle w:val="ac"/>
        <w:ind w:firstLineChars="0" w:firstLine="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用循共用</w:t>
      </w:r>
      <w:proofErr w:type="gramEnd"/>
      <w:r>
        <w:rPr>
          <w:rFonts w:ascii="仿宋_GB2312" w:eastAsia="仿宋_GB2312" w:hAnsi="仿宋_GB2312" w:cs="仿宋_GB2312" w:hint="eastAsia"/>
          <w:sz w:val="32"/>
          <w:szCs w:val="32"/>
        </w:rPr>
        <w:t>托盘进行带托运输时存在转移模式和交换模式两种托盘流转模式。并且供应链上下游主体间进行带托运输时，应先与托盘租赁服务商确认托盘流转模式。</w:t>
      </w:r>
    </w:p>
    <w:p w14:paraId="79375354" w14:textId="77777777" w:rsidR="00AF00B4" w:rsidRDefault="00F16B5E">
      <w:pPr>
        <w:pStyle w:val="ac"/>
        <w:ind w:firstLine="643"/>
        <w:rPr>
          <w:rFonts w:ascii="仿宋_GB2312" w:eastAsia="仿宋_GB2312" w:hAnsi="仿宋_GB2312" w:cs="仿宋_GB2312"/>
          <w:sz w:val="32"/>
          <w:szCs w:val="32"/>
        </w:rPr>
      </w:pPr>
      <w:r>
        <w:rPr>
          <w:rFonts w:ascii="楷体" w:eastAsia="楷体" w:hAnsi="楷体" w:cs="楷体" w:hint="eastAsia"/>
          <w:b/>
          <w:bCs/>
          <w:sz w:val="32"/>
          <w:szCs w:val="32"/>
        </w:rPr>
        <w:t>（三）码盘标准。</w:t>
      </w:r>
      <w:r>
        <w:rPr>
          <w:rFonts w:ascii="仿宋_GB2312" w:eastAsia="仿宋_GB2312" w:hAnsi="仿宋_GB2312" w:cs="仿宋_GB2312" w:hint="eastAsia"/>
          <w:sz w:val="32"/>
          <w:szCs w:val="32"/>
        </w:rPr>
        <w:t>本标准明确了带托运输时码</w:t>
      </w:r>
      <w:proofErr w:type="gramStart"/>
      <w:r>
        <w:rPr>
          <w:rFonts w:ascii="仿宋_GB2312" w:eastAsia="仿宋_GB2312" w:hAnsi="仿宋_GB2312" w:cs="仿宋_GB2312" w:hint="eastAsia"/>
          <w:sz w:val="32"/>
          <w:szCs w:val="32"/>
        </w:rPr>
        <w:t>盘标准</w:t>
      </w:r>
      <w:proofErr w:type="gramEnd"/>
      <w:r>
        <w:rPr>
          <w:rFonts w:ascii="仿宋_GB2312" w:eastAsia="仿宋_GB2312" w:hAnsi="仿宋_GB2312" w:cs="仿宋_GB2312" w:hint="eastAsia"/>
          <w:sz w:val="32"/>
          <w:szCs w:val="32"/>
        </w:rPr>
        <w:t>的设计因素及注意事项，避免带托运</w:t>
      </w:r>
      <w:proofErr w:type="gramStart"/>
      <w:r>
        <w:rPr>
          <w:rFonts w:ascii="仿宋_GB2312" w:eastAsia="仿宋_GB2312" w:hAnsi="仿宋_GB2312" w:cs="仿宋_GB2312" w:hint="eastAsia"/>
          <w:sz w:val="32"/>
          <w:szCs w:val="32"/>
        </w:rPr>
        <w:t>输过程</w:t>
      </w:r>
      <w:proofErr w:type="gramEnd"/>
      <w:r>
        <w:rPr>
          <w:rFonts w:ascii="仿宋_GB2312" w:eastAsia="仿宋_GB2312" w:hAnsi="仿宋_GB2312" w:cs="仿宋_GB2312" w:hint="eastAsia"/>
          <w:sz w:val="32"/>
          <w:szCs w:val="32"/>
        </w:rPr>
        <w:t>中，</w:t>
      </w:r>
      <w:proofErr w:type="gramStart"/>
      <w:r>
        <w:rPr>
          <w:rFonts w:ascii="仿宋_GB2312" w:eastAsia="仿宋_GB2312" w:hAnsi="仿宋_GB2312" w:cs="仿宋_GB2312" w:hint="eastAsia"/>
          <w:sz w:val="32"/>
          <w:szCs w:val="32"/>
        </w:rPr>
        <w:t>因码盘标准</w:t>
      </w:r>
      <w:proofErr w:type="gramEnd"/>
      <w:r>
        <w:rPr>
          <w:rFonts w:ascii="仿宋_GB2312" w:eastAsia="仿宋_GB2312" w:hAnsi="仿宋_GB2312" w:cs="仿宋_GB2312" w:hint="eastAsia"/>
          <w:sz w:val="32"/>
          <w:szCs w:val="32"/>
        </w:rPr>
        <w:t>不统一，造成的额外人工作业。</w:t>
      </w:r>
    </w:p>
    <w:p w14:paraId="5A84B04E" w14:textId="77777777" w:rsidR="00AF00B4" w:rsidRDefault="00F16B5E">
      <w:pPr>
        <w:pStyle w:val="ac"/>
        <w:ind w:firstLine="643"/>
        <w:rPr>
          <w:rFonts w:ascii="仿宋_GB2312" w:eastAsia="仿宋_GB2312" w:hAnsi="仿宋_GB2312" w:cs="仿宋_GB2312"/>
          <w:sz w:val="32"/>
          <w:szCs w:val="32"/>
        </w:rPr>
      </w:pPr>
      <w:r>
        <w:rPr>
          <w:rFonts w:ascii="楷体" w:eastAsia="楷体" w:hAnsi="楷体" w:cs="楷体" w:hint="eastAsia"/>
          <w:b/>
          <w:bCs/>
          <w:sz w:val="32"/>
          <w:szCs w:val="32"/>
        </w:rPr>
        <w:t>（四）带托运输作业要求。</w:t>
      </w:r>
      <w:r>
        <w:rPr>
          <w:rFonts w:ascii="仿宋_GB2312" w:eastAsia="仿宋_GB2312" w:hAnsi="仿宋_GB2312" w:cs="仿宋_GB2312" w:hint="eastAsia"/>
          <w:sz w:val="32"/>
          <w:szCs w:val="32"/>
        </w:rPr>
        <w:t>本标准明确规定了使用循环共用托盘进行带托运输时各环节的作业要求。</w:t>
      </w:r>
    </w:p>
    <w:p w14:paraId="2F6C84AB" w14:textId="77777777" w:rsidR="00AF00B4" w:rsidRDefault="00F16B5E">
      <w:pPr>
        <w:pStyle w:val="ac"/>
        <w:tabs>
          <w:tab w:val="center" w:pos="4201"/>
          <w:tab w:val="right" w:leader="dot" w:pos="9298"/>
        </w:tabs>
        <w:ind w:firstLine="640"/>
        <w:rPr>
          <w:rFonts w:ascii="黑体" w:eastAsia="黑体" w:hAnsi="黑体" w:cs="黑体"/>
          <w:sz w:val="32"/>
          <w:szCs w:val="32"/>
        </w:rPr>
      </w:pPr>
      <w:r>
        <w:rPr>
          <w:rFonts w:ascii="黑体" w:eastAsia="黑体" w:hAnsi="黑体" w:cs="黑体" w:hint="eastAsia"/>
          <w:sz w:val="32"/>
          <w:szCs w:val="32"/>
        </w:rPr>
        <w:t>七、国家标准作为强制性国家标准或推荐性国家标准的建议</w:t>
      </w:r>
    </w:p>
    <w:p w14:paraId="712A4FE9" w14:textId="77777777" w:rsidR="00AF00B4" w:rsidRDefault="00F16B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本标准作为推荐性行业标准，循环共用托盘生产及租赁企业自愿执行。</w:t>
      </w:r>
    </w:p>
    <w:p w14:paraId="7F489BE5" w14:textId="77777777" w:rsidR="00AF00B4" w:rsidRDefault="00F16B5E">
      <w:pPr>
        <w:ind w:firstLineChars="200" w:firstLine="640"/>
        <w:rPr>
          <w:rFonts w:ascii="黑体" w:eastAsia="黑体" w:hAnsi="黑体" w:cs="黑体"/>
          <w:sz w:val="32"/>
          <w:szCs w:val="32"/>
        </w:rPr>
      </w:pPr>
      <w:r>
        <w:rPr>
          <w:rFonts w:ascii="黑体" w:eastAsia="黑体" w:hAnsi="黑体" w:cs="黑体" w:hint="eastAsia"/>
          <w:sz w:val="32"/>
          <w:szCs w:val="32"/>
        </w:rPr>
        <w:t>八、废止现行有关标准的建议</w:t>
      </w:r>
    </w:p>
    <w:p w14:paraId="1F91A2F2" w14:textId="77777777" w:rsidR="00AF00B4" w:rsidRDefault="00F16B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无需废止现行有关标准，本文件为首次编写及发布。</w:t>
      </w:r>
    </w:p>
    <w:p w14:paraId="3124D00B" w14:textId="77777777" w:rsidR="00AF00B4" w:rsidRDefault="00F16B5E">
      <w:pPr>
        <w:ind w:firstLineChars="200" w:firstLine="640"/>
        <w:rPr>
          <w:rFonts w:ascii="黑体" w:eastAsia="黑体" w:hAnsi="黑体" w:cs="黑体"/>
          <w:sz w:val="32"/>
          <w:szCs w:val="32"/>
        </w:rPr>
      </w:pPr>
      <w:r>
        <w:rPr>
          <w:rFonts w:ascii="黑体" w:eastAsia="黑体" w:hAnsi="黑体" w:cs="黑体" w:hint="eastAsia"/>
          <w:sz w:val="32"/>
          <w:szCs w:val="32"/>
        </w:rPr>
        <w:t>九、重大意见分歧的处理经过和依据</w:t>
      </w:r>
    </w:p>
    <w:p w14:paraId="6C4DFD53" w14:textId="77777777" w:rsidR="00AF00B4" w:rsidRDefault="00F16B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文件在起草过程中，尚未出现重大意见分歧。</w:t>
      </w:r>
    </w:p>
    <w:p w14:paraId="06FC565D" w14:textId="77777777" w:rsidR="00AF00B4" w:rsidRDefault="00F16B5E">
      <w:pPr>
        <w:ind w:firstLineChars="200" w:firstLine="640"/>
        <w:rPr>
          <w:rFonts w:ascii="黑体" w:eastAsia="黑体" w:hAnsi="黑体" w:cs="黑体"/>
          <w:sz w:val="32"/>
          <w:szCs w:val="32"/>
        </w:rPr>
      </w:pPr>
      <w:r>
        <w:rPr>
          <w:rFonts w:ascii="黑体" w:eastAsia="黑体" w:hAnsi="黑体" w:cs="黑体" w:hint="eastAsia"/>
          <w:sz w:val="32"/>
          <w:szCs w:val="32"/>
        </w:rPr>
        <w:t>十、采标情况</w:t>
      </w:r>
    </w:p>
    <w:p w14:paraId="1989CEFB" w14:textId="77777777" w:rsidR="00AF00B4" w:rsidRDefault="00F16B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未查到国际标准。</w:t>
      </w:r>
    </w:p>
    <w:p w14:paraId="56D63891" w14:textId="77777777" w:rsidR="00AF00B4" w:rsidRDefault="00F16B5E">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十一、 与现行法律、法规和强制性国家标准的关系</w:t>
      </w:r>
    </w:p>
    <w:p w14:paraId="7344F428" w14:textId="77777777" w:rsidR="00AF00B4" w:rsidRDefault="00F16B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本文件符合现行的法律、法规，同时，对现有的国家标准和行业标准进行了检索和整理， 以关键字“托盘”、“带托运输”等搜索相关标准，未查询到相关强制性国家标准。</w:t>
      </w:r>
    </w:p>
    <w:p w14:paraId="3757886F" w14:textId="77777777" w:rsidR="00AF00B4" w:rsidRDefault="00F16B5E">
      <w:pPr>
        <w:ind w:firstLineChars="200" w:firstLine="640"/>
        <w:rPr>
          <w:rFonts w:ascii="黑体" w:eastAsia="黑体" w:hAnsi="黑体" w:cs="黑体"/>
          <w:sz w:val="32"/>
          <w:szCs w:val="32"/>
        </w:rPr>
      </w:pPr>
      <w:r>
        <w:rPr>
          <w:rFonts w:ascii="黑体" w:eastAsia="黑体" w:hAnsi="黑体" w:cs="黑体" w:hint="eastAsia"/>
          <w:sz w:val="32"/>
          <w:szCs w:val="32"/>
        </w:rPr>
        <w:t xml:space="preserve">十二、宣贯及实施建议 </w:t>
      </w:r>
    </w:p>
    <w:p w14:paraId="3419E55D" w14:textId="45C491C2" w:rsidR="00AF00B4" w:rsidRDefault="00F16B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856129" w:rsidRPr="00856129">
        <w:rPr>
          <w:rFonts w:ascii="仿宋_GB2312" w:eastAsia="仿宋_GB2312" w:hAnsi="仿宋_GB2312" w:cs="仿宋_GB2312" w:hint="eastAsia"/>
          <w:sz w:val="32"/>
          <w:szCs w:val="32"/>
        </w:rPr>
        <w:t>托盘共用系统货物码盘及交接要求</w:t>
      </w:r>
      <w:r>
        <w:rPr>
          <w:rFonts w:ascii="仿宋_GB2312" w:eastAsia="仿宋_GB2312" w:hAnsi="仿宋_GB2312" w:cs="仿宋_GB2312" w:hint="eastAsia"/>
          <w:sz w:val="32"/>
          <w:szCs w:val="32"/>
        </w:rPr>
        <w:t>》行业标准为首次制定，并且与现行相关标准协调统一。适用于循环共用托盘行业，建议相关行业组织、供应链上下游企业和托盘租赁企业，在本标准颁布后积极开展对本文件的宣传，并在托盘循环共用和带托运输的过程中严格按照标准内容加以实施，以提高循环共用系统托盘带托运输的作业规范度。</w:t>
      </w:r>
    </w:p>
    <w:p w14:paraId="6080EEDC" w14:textId="77777777" w:rsidR="00AF00B4" w:rsidRDefault="00F16B5E">
      <w:pPr>
        <w:ind w:firstLineChars="200" w:firstLine="640"/>
        <w:rPr>
          <w:rFonts w:ascii="黑体" w:eastAsia="黑体" w:hAnsi="黑体" w:cs="黑体"/>
          <w:sz w:val="32"/>
          <w:szCs w:val="32"/>
        </w:rPr>
      </w:pPr>
      <w:r>
        <w:rPr>
          <w:rFonts w:ascii="黑体" w:eastAsia="黑体" w:hAnsi="黑体" w:cs="黑体" w:hint="eastAsia"/>
          <w:sz w:val="32"/>
          <w:szCs w:val="32"/>
        </w:rPr>
        <w:t xml:space="preserve">十三、其他应予说明的事项 </w:t>
      </w:r>
    </w:p>
    <w:p w14:paraId="4D58521A" w14:textId="77777777" w:rsidR="00AF00B4" w:rsidRDefault="00F16B5E">
      <w:pPr>
        <w:pStyle w:val="ad"/>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505283AA" w14:textId="77777777" w:rsidR="00AF00B4" w:rsidRDefault="00AF00B4">
      <w:pPr>
        <w:rPr>
          <w:rFonts w:ascii="仿宋_GB2312" w:eastAsia="仿宋_GB2312" w:hAnsi="仿宋_GB2312" w:cs="仿宋_GB2312"/>
          <w:sz w:val="32"/>
          <w:szCs w:val="32"/>
        </w:rPr>
      </w:pPr>
    </w:p>
    <w:sectPr w:rsidR="00AF00B4">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A2B43" w14:textId="77777777" w:rsidR="00785622" w:rsidRDefault="00785622">
      <w:r>
        <w:separator/>
      </w:r>
    </w:p>
  </w:endnote>
  <w:endnote w:type="continuationSeparator" w:id="0">
    <w:p w14:paraId="558BC7BF" w14:textId="77777777" w:rsidR="00785622" w:rsidRDefault="0078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B872" w14:textId="77777777" w:rsidR="00AF00B4" w:rsidRDefault="00F16B5E">
    <w:pPr>
      <w:pStyle w:val="a8"/>
    </w:pPr>
    <w:r>
      <w:rPr>
        <w:noProof/>
      </w:rPr>
      <mc:AlternateContent>
        <mc:Choice Requires="wps">
          <w:drawing>
            <wp:anchor distT="0" distB="0" distL="114300" distR="114300" simplePos="0" relativeHeight="251659264" behindDoc="0" locked="0" layoutInCell="1" allowOverlap="1" wp14:anchorId="04B7E92E" wp14:editId="1E7945F5">
              <wp:simplePos x="0" y="0"/>
              <wp:positionH relativeFrom="margin">
                <wp:align>center</wp:align>
              </wp:positionH>
              <wp:positionV relativeFrom="paragraph">
                <wp:posOffset>0</wp:posOffset>
              </wp:positionV>
              <wp:extent cx="60325" cy="154940"/>
              <wp:effectExtent l="0" t="0" r="0" b="190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14:paraId="2D7D7CFB" w14:textId="77777777" w:rsidR="00AF00B4" w:rsidRDefault="00F16B5E">
                          <w:pPr>
                            <w:pStyle w:val="a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qNJ8jRAAAAAgEAAA8AAAAAAAAA&#10;AQAgAAAAIgAAAGRycy9kb3ducmV2LnhtbFBLAQIUABQAAAAIAIdO4kBxPVvi3wEAALUDAAAOAAAA&#10;AAAAAAEAIAAAACABAABkcnMvZTJvRG9jLnhtbFBLBQYAAAAABgAGAFkBAABx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9DD0C" w14:textId="77777777" w:rsidR="00785622" w:rsidRDefault="00785622">
      <w:r>
        <w:separator/>
      </w:r>
    </w:p>
  </w:footnote>
  <w:footnote w:type="continuationSeparator" w:id="0">
    <w:p w14:paraId="342994C8" w14:textId="77777777" w:rsidR="00785622" w:rsidRDefault="0078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color w:val="000000"/>
        <w:sz w:val="21"/>
        <w:szCs w:val="21"/>
      </w:rPr>
    </w:lvl>
    <w:lvl w:ilvl="1">
      <w:start w:val="1"/>
      <w:numFmt w:val="decimal"/>
      <w:pStyle w:val="a"/>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141"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ascii="黑体" w:eastAsia="黑体" w:hAnsi="黑体"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AE"/>
    <w:rsid w:val="9FB5F0D7"/>
    <w:rsid w:val="9FFF86C5"/>
    <w:rsid w:val="BBEC15F2"/>
    <w:rsid w:val="D2FF72D3"/>
    <w:rsid w:val="DFAFAD1C"/>
    <w:rsid w:val="EF3D679D"/>
    <w:rsid w:val="EFC92096"/>
    <w:rsid w:val="F7FA803C"/>
    <w:rsid w:val="F94B6078"/>
    <w:rsid w:val="FBFF32C9"/>
    <w:rsid w:val="00006CFF"/>
    <w:rsid w:val="000417A4"/>
    <w:rsid w:val="00080C00"/>
    <w:rsid w:val="00095272"/>
    <w:rsid w:val="000A7A8C"/>
    <w:rsid w:val="000B2885"/>
    <w:rsid w:val="000B7F33"/>
    <w:rsid w:val="000C162A"/>
    <w:rsid w:val="000D76F0"/>
    <w:rsid w:val="000E358C"/>
    <w:rsid w:val="00101615"/>
    <w:rsid w:val="00102A69"/>
    <w:rsid w:val="0010560F"/>
    <w:rsid w:val="00146AD0"/>
    <w:rsid w:val="001775C9"/>
    <w:rsid w:val="00182064"/>
    <w:rsid w:val="00193938"/>
    <w:rsid w:val="001A2484"/>
    <w:rsid w:val="001A2A7E"/>
    <w:rsid w:val="001B7B78"/>
    <w:rsid w:val="001C5F78"/>
    <w:rsid w:val="001D1494"/>
    <w:rsid w:val="001E1129"/>
    <w:rsid w:val="00211BC3"/>
    <w:rsid w:val="00234B7A"/>
    <w:rsid w:val="002423D0"/>
    <w:rsid w:val="0024343A"/>
    <w:rsid w:val="00253B31"/>
    <w:rsid w:val="0026616B"/>
    <w:rsid w:val="00280523"/>
    <w:rsid w:val="002832F2"/>
    <w:rsid w:val="002945CC"/>
    <w:rsid w:val="002A70F0"/>
    <w:rsid w:val="002B2AF4"/>
    <w:rsid w:val="002C250E"/>
    <w:rsid w:val="002C2516"/>
    <w:rsid w:val="002D6CC1"/>
    <w:rsid w:val="002E567C"/>
    <w:rsid w:val="002E77B8"/>
    <w:rsid w:val="00305595"/>
    <w:rsid w:val="00307B74"/>
    <w:rsid w:val="00311214"/>
    <w:rsid w:val="0031321F"/>
    <w:rsid w:val="0031640D"/>
    <w:rsid w:val="0035264A"/>
    <w:rsid w:val="003545A0"/>
    <w:rsid w:val="00360938"/>
    <w:rsid w:val="00382EAC"/>
    <w:rsid w:val="00383D3F"/>
    <w:rsid w:val="00390132"/>
    <w:rsid w:val="003B516D"/>
    <w:rsid w:val="003B649C"/>
    <w:rsid w:val="003C6FBD"/>
    <w:rsid w:val="003D09AB"/>
    <w:rsid w:val="003D1D27"/>
    <w:rsid w:val="003E12A8"/>
    <w:rsid w:val="00400FA3"/>
    <w:rsid w:val="0040331E"/>
    <w:rsid w:val="004126AD"/>
    <w:rsid w:val="00417D57"/>
    <w:rsid w:val="00436ED1"/>
    <w:rsid w:val="004405C8"/>
    <w:rsid w:val="004608E0"/>
    <w:rsid w:val="004673C7"/>
    <w:rsid w:val="00473DE9"/>
    <w:rsid w:val="00480900"/>
    <w:rsid w:val="0049194F"/>
    <w:rsid w:val="004A1FBB"/>
    <w:rsid w:val="004A4DA0"/>
    <w:rsid w:val="004A5EF9"/>
    <w:rsid w:val="004B091A"/>
    <w:rsid w:val="004C0413"/>
    <w:rsid w:val="004C1D37"/>
    <w:rsid w:val="004C6FA3"/>
    <w:rsid w:val="004D3979"/>
    <w:rsid w:val="004E7ACE"/>
    <w:rsid w:val="004F0C49"/>
    <w:rsid w:val="004F5A83"/>
    <w:rsid w:val="005034D9"/>
    <w:rsid w:val="00504CAE"/>
    <w:rsid w:val="0051245F"/>
    <w:rsid w:val="0051318F"/>
    <w:rsid w:val="005162C2"/>
    <w:rsid w:val="00516D96"/>
    <w:rsid w:val="0053146A"/>
    <w:rsid w:val="005377F6"/>
    <w:rsid w:val="005575FF"/>
    <w:rsid w:val="005709B7"/>
    <w:rsid w:val="005A4DA5"/>
    <w:rsid w:val="005E007F"/>
    <w:rsid w:val="005F28A0"/>
    <w:rsid w:val="00611724"/>
    <w:rsid w:val="00616F30"/>
    <w:rsid w:val="006542D6"/>
    <w:rsid w:val="00665625"/>
    <w:rsid w:val="0068147C"/>
    <w:rsid w:val="006A10D8"/>
    <w:rsid w:val="006A5D32"/>
    <w:rsid w:val="006C147C"/>
    <w:rsid w:val="006D65BC"/>
    <w:rsid w:val="00702017"/>
    <w:rsid w:val="00713365"/>
    <w:rsid w:val="00737C80"/>
    <w:rsid w:val="00762152"/>
    <w:rsid w:val="00785622"/>
    <w:rsid w:val="00792DF3"/>
    <w:rsid w:val="007A034A"/>
    <w:rsid w:val="007B0125"/>
    <w:rsid w:val="007B7520"/>
    <w:rsid w:val="007C667B"/>
    <w:rsid w:val="007C7272"/>
    <w:rsid w:val="007D5CDA"/>
    <w:rsid w:val="007F7A6E"/>
    <w:rsid w:val="00804C66"/>
    <w:rsid w:val="00815130"/>
    <w:rsid w:val="0082480F"/>
    <w:rsid w:val="00825791"/>
    <w:rsid w:val="0083255C"/>
    <w:rsid w:val="0085092A"/>
    <w:rsid w:val="00853872"/>
    <w:rsid w:val="00856129"/>
    <w:rsid w:val="0086770C"/>
    <w:rsid w:val="00873B31"/>
    <w:rsid w:val="00887A41"/>
    <w:rsid w:val="008B0BDD"/>
    <w:rsid w:val="008B233C"/>
    <w:rsid w:val="008C4077"/>
    <w:rsid w:val="008E3435"/>
    <w:rsid w:val="008E48AB"/>
    <w:rsid w:val="008F030C"/>
    <w:rsid w:val="00903612"/>
    <w:rsid w:val="00920189"/>
    <w:rsid w:val="00926861"/>
    <w:rsid w:val="00927E43"/>
    <w:rsid w:val="00937856"/>
    <w:rsid w:val="009558C6"/>
    <w:rsid w:val="00956A1C"/>
    <w:rsid w:val="009B1E3D"/>
    <w:rsid w:val="009C0E92"/>
    <w:rsid w:val="009E40C0"/>
    <w:rsid w:val="009F6327"/>
    <w:rsid w:val="00A15DB0"/>
    <w:rsid w:val="00A46005"/>
    <w:rsid w:val="00A4704E"/>
    <w:rsid w:val="00A8074D"/>
    <w:rsid w:val="00A95BDB"/>
    <w:rsid w:val="00AC24E1"/>
    <w:rsid w:val="00AC4445"/>
    <w:rsid w:val="00AC547E"/>
    <w:rsid w:val="00AE625C"/>
    <w:rsid w:val="00AE7064"/>
    <w:rsid w:val="00AF00B4"/>
    <w:rsid w:val="00B149DB"/>
    <w:rsid w:val="00B23FED"/>
    <w:rsid w:val="00B242BD"/>
    <w:rsid w:val="00B42A63"/>
    <w:rsid w:val="00B46E5B"/>
    <w:rsid w:val="00B4715A"/>
    <w:rsid w:val="00B971E5"/>
    <w:rsid w:val="00BA2A26"/>
    <w:rsid w:val="00BA4A24"/>
    <w:rsid w:val="00BE0BDE"/>
    <w:rsid w:val="00BE0D79"/>
    <w:rsid w:val="00BE325B"/>
    <w:rsid w:val="00C03B51"/>
    <w:rsid w:val="00C066C0"/>
    <w:rsid w:val="00C50F1A"/>
    <w:rsid w:val="00C539FC"/>
    <w:rsid w:val="00C5480F"/>
    <w:rsid w:val="00C60636"/>
    <w:rsid w:val="00C62B19"/>
    <w:rsid w:val="00C63646"/>
    <w:rsid w:val="00C71FA2"/>
    <w:rsid w:val="00CA2942"/>
    <w:rsid w:val="00CA5A45"/>
    <w:rsid w:val="00CC76BD"/>
    <w:rsid w:val="00CF5B93"/>
    <w:rsid w:val="00D030BF"/>
    <w:rsid w:val="00D07C8D"/>
    <w:rsid w:val="00D228DD"/>
    <w:rsid w:val="00D2533D"/>
    <w:rsid w:val="00D62CFE"/>
    <w:rsid w:val="00D67EF8"/>
    <w:rsid w:val="00D72979"/>
    <w:rsid w:val="00D811C5"/>
    <w:rsid w:val="00D93496"/>
    <w:rsid w:val="00DA7A79"/>
    <w:rsid w:val="00DB3B73"/>
    <w:rsid w:val="00DE7284"/>
    <w:rsid w:val="00E02B0E"/>
    <w:rsid w:val="00E12AA2"/>
    <w:rsid w:val="00E402EF"/>
    <w:rsid w:val="00E41840"/>
    <w:rsid w:val="00E50729"/>
    <w:rsid w:val="00E53222"/>
    <w:rsid w:val="00E56760"/>
    <w:rsid w:val="00E709BE"/>
    <w:rsid w:val="00EA5E9C"/>
    <w:rsid w:val="00EA6B76"/>
    <w:rsid w:val="00EC2F75"/>
    <w:rsid w:val="00EC5C0D"/>
    <w:rsid w:val="00EE2DCB"/>
    <w:rsid w:val="00F07480"/>
    <w:rsid w:val="00F131A6"/>
    <w:rsid w:val="00F16B5E"/>
    <w:rsid w:val="00F444E2"/>
    <w:rsid w:val="00F473B5"/>
    <w:rsid w:val="00F77F86"/>
    <w:rsid w:val="00FA6A04"/>
    <w:rsid w:val="00FB1480"/>
    <w:rsid w:val="00FE5A41"/>
    <w:rsid w:val="043D2F07"/>
    <w:rsid w:val="1A6C569D"/>
    <w:rsid w:val="1BD50E9F"/>
    <w:rsid w:val="2A7F10BF"/>
    <w:rsid w:val="2BB54263"/>
    <w:rsid w:val="377D4225"/>
    <w:rsid w:val="3E305FDE"/>
    <w:rsid w:val="3E980CF9"/>
    <w:rsid w:val="40A724FA"/>
    <w:rsid w:val="46FE1F42"/>
    <w:rsid w:val="4CB7BA17"/>
    <w:rsid w:val="4D3C74F4"/>
    <w:rsid w:val="4EBC1CBE"/>
    <w:rsid w:val="55261EAE"/>
    <w:rsid w:val="5FFDB698"/>
    <w:rsid w:val="71CB24FF"/>
    <w:rsid w:val="721342E2"/>
    <w:rsid w:val="75EF9A07"/>
    <w:rsid w:val="7737022C"/>
    <w:rsid w:val="777B252F"/>
    <w:rsid w:val="7B7F008A"/>
    <w:rsid w:val="7CA8BADD"/>
    <w:rsid w:val="7DFF0A8D"/>
    <w:rsid w:val="7FE7EEB3"/>
    <w:rsid w:val="7FFFB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56E7E"/>
  <w15:docId w15:val="{CC10C6B4-D5C0-45A1-8E3B-56781D0D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1">
    <w:name w:val="heading 1"/>
    <w:basedOn w:val="a2"/>
    <w:next w:val="a2"/>
    <w:link w:val="10"/>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qFormat/>
    <w:rPr>
      <w:sz w:val="18"/>
      <w:szCs w:val="18"/>
    </w:rPr>
  </w:style>
  <w:style w:type="paragraph" w:styleId="a8">
    <w:name w:val="footer"/>
    <w:basedOn w:val="a2"/>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2"/>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3"/>
    <w:link w:val="1"/>
    <w:uiPriority w:val="9"/>
    <w:qFormat/>
    <w:rPr>
      <w:rFonts w:ascii="宋体" w:eastAsia="宋体" w:hAnsi="宋体" w:cs="Times New Roman"/>
      <w:b/>
      <w:kern w:val="44"/>
      <w:sz w:val="48"/>
      <w:szCs w:val="48"/>
    </w:rPr>
  </w:style>
  <w:style w:type="character" w:customStyle="1" w:styleId="a9">
    <w:name w:val="页脚 字符"/>
    <w:link w:val="a8"/>
    <w:uiPriority w:val="99"/>
    <w:qFormat/>
    <w:rPr>
      <w:sz w:val="18"/>
      <w:szCs w:val="18"/>
    </w:rPr>
  </w:style>
  <w:style w:type="character" w:customStyle="1" w:styleId="Char">
    <w:name w:val="段 Char"/>
    <w:link w:val="ac"/>
    <w:qFormat/>
    <w:rPr>
      <w:rFonts w:ascii="宋体" w:hAnsi="Times New Roman"/>
      <w:lang w:val="en-US" w:eastAsia="zh-CN"/>
    </w:rPr>
  </w:style>
  <w:style w:type="paragraph" w:customStyle="1" w:styleId="ac">
    <w:name w:val="段"/>
    <w:link w:val="Char"/>
    <w:qFormat/>
    <w:pPr>
      <w:autoSpaceDE w:val="0"/>
      <w:autoSpaceDN w:val="0"/>
      <w:ind w:firstLineChars="200" w:firstLine="200"/>
      <w:jc w:val="both"/>
    </w:pPr>
    <w:rPr>
      <w:rFonts w:ascii="宋体" w:eastAsiaTheme="minorEastAsia" w:cstheme="minorBidi"/>
      <w:kern w:val="2"/>
      <w:sz w:val="21"/>
      <w:szCs w:val="22"/>
    </w:rPr>
  </w:style>
  <w:style w:type="paragraph" w:customStyle="1" w:styleId="Style1">
    <w:name w:val="_Style 1"/>
    <w:basedOn w:val="a2"/>
    <w:uiPriority w:val="34"/>
    <w:qFormat/>
    <w:pPr>
      <w:ind w:firstLineChars="200" w:firstLine="420"/>
    </w:pPr>
  </w:style>
  <w:style w:type="paragraph" w:styleId="ad">
    <w:name w:val="List Paragraph"/>
    <w:basedOn w:val="a2"/>
    <w:uiPriority w:val="34"/>
    <w:qFormat/>
    <w:pPr>
      <w:ind w:firstLineChars="200" w:firstLine="420"/>
    </w:pPr>
  </w:style>
  <w:style w:type="paragraph" w:customStyle="1" w:styleId="Style2">
    <w:name w:val="_Style 2"/>
    <w:basedOn w:val="a2"/>
    <w:uiPriority w:val="34"/>
    <w:qFormat/>
    <w:pPr>
      <w:ind w:firstLineChars="200" w:firstLine="420"/>
    </w:pPr>
  </w:style>
  <w:style w:type="character" w:customStyle="1" w:styleId="11">
    <w:name w:val="页脚 字符1"/>
    <w:basedOn w:val="a3"/>
    <w:uiPriority w:val="99"/>
    <w:semiHidden/>
    <w:qFormat/>
    <w:rPr>
      <w:rFonts w:ascii="Times New Roman" w:eastAsia="宋体" w:hAnsi="Times New Roman" w:cs="Times New Roman"/>
      <w:sz w:val="18"/>
      <w:szCs w:val="18"/>
    </w:rPr>
  </w:style>
  <w:style w:type="paragraph" w:customStyle="1" w:styleId="a0">
    <w:name w:val="二级条标题"/>
    <w:basedOn w:val="a"/>
    <w:next w:val="ac"/>
    <w:qFormat/>
    <w:pPr>
      <w:numPr>
        <w:ilvl w:val="2"/>
      </w:numPr>
      <w:spacing w:before="50" w:after="50"/>
      <w:outlineLvl w:val="3"/>
    </w:pPr>
  </w:style>
  <w:style w:type="paragraph" w:customStyle="1" w:styleId="a">
    <w:name w:val="一级条标题"/>
    <w:next w:val="ac"/>
    <w:qFormat/>
    <w:pPr>
      <w:numPr>
        <w:ilvl w:val="1"/>
        <w:numId w:val="1"/>
      </w:numPr>
      <w:spacing w:beforeLines="50" w:afterLines="50"/>
      <w:outlineLvl w:val="2"/>
    </w:pPr>
    <w:rPr>
      <w:rFonts w:ascii="黑体" w:eastAsia="黑体"/>
      <w:sz w:val="21"/>
      <w:szCs w:val="21"/>
    </w:rPr>
  </w:style>
  <w:style w:type="paragraph" w:customStyle="1" w:styleId="a1">
    <w:name w:val="附录表标号"/>
    <w:basedOn w:val="a2"/>
    <w:next w:val="ac"/>
    <w:qFormat/>
    <w:pPr>
      <w:numPr>
        <w:numId w:val="2"/>
      </w:numPr>
      <w:tabs>
        <w:tab w:val="clear" w:pos="0"/>
      </w:tabs>
      <w:spacing w:line="14" w:lineRule="exact"/>
      <w:ind w:left="811" w:hanging="448"/>
      <w:jc w:val="center"/>
      <w:outlineLvl w:val="0"/>
    </w:pPr>
    <w:rPr>
      <w:color w:val="FFFFFF"/>
    </w:rPr>
  </w:style>
  <w:style w:type="paragraph" w:customStyle="1" w:styleId="ae">
    <w:name w:val="终结线"/>
    <w:basedOn w:val="a2"/>
    <w:qFormat/>
    <w:pPr>
      <w:framePr w:hSpace="181" w:vSpace="181" w:wrap="around" w:vAnchor="text" w:hAnchor="margin" w:xAlign="center" w:y="285"/>
    </w:pPr>
  </w:style>
  <w:style w:type="character" w:customStyle="1" w:styleId="a7">
    <w:name w:val="批注框文本 字符"/>
    <w:basedOn w:val="a3"/>
    <w:link w:val="a6"/>
    <w:uiPriority w:val="99"/>
    <w:semiHidden/>
    <w:qFormat/>
    <w:rPr>
      <w:kern w:val="2"/>
      <w:sz w:val="18"/>
      <w:szCs w:val="18"/>
    </w:rPr>
  </w:style>
  <w:style w:type="character" w:customStyle="1" w:styleId="ab">
    <w:name w:val="页眉 字符"/>
    <w:basedOn w:val="a3"/>
    <w:link w:val="aa"/>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951</Words>
  <Characters>1151</Characters>
  <Application>Microsoft Office Word</Application>
  <DocSecurity>0</DocSecurity>
  <Lines>164</Lines>
  <Paragraphs>161</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fujiawen@cawd.org.cn</dc:creator>
  <cp:lastModifiedBy>li xiaoang</cp:lastModifiedBy>
  <cp:revision>13</cp:revision>
  <cp:lastPrinted>2021-03-03T22:20:00Z</cp:lastPrinted>
  <dcterms:created xsi:type="dcterms:W3CDTF">2021-03-08T13:30:00Z</dcterms:created>
  <dcterms:modified xsi:type="dcterms:W3CDTF">2021-03-15T06:10:00Z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