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A3AB6" w14:textId="77777777" w:rsidR="00773F59" w:rsidRPr="006E4244" w:rsidRDefault="001E494E">
      <w:pPr>
        <w:adjustRightInd w:val="0"/>
        <w:snapToGrid w:val="0"/>
        <w:spacing w:line="360" w:lineRule="auto"/>
        <w:rPr>
          <w:rFonts w:ascii="Times New Roman" w:eastAsiaTheme="minorEastAsia" w:hAnsi="Times New Roman"/>
          <w:kern w:val="0"/>
          <w:sz w:val="28"/>
          <w:szCs w:val="28"/>
        </w:rPr>
      </w:pPr>
      <w:r w:rsidRPr="006E4244">
        <w:rPr>
          <w:rFonts w:ascii="Times New Roman" w:eastAsiaTheme="minorEastAsia" w:hAnsi="Times New Roman"/>
          <w:kern w:val="0"/>
          <w:sz w:val="28"/>
          <w:szCs w:val="28"/>
        </w:rPr>
        <w:t>附件</w:t>
      </w:r>
      <w:r w:rsidRPr="006E4244">
        <w:rPr>
          <w:rFonts w:ascii="Times New Roman" w:eastAsiaTheme="minorEastAsia" w:hAnsi="Times New Roman"/>
          <w:kern w:val="0"/>
          <w:sz w:val="28"/>
          <w:szCs w:val="28"/>
        </w:rPr>
        <w:t>3</w:t>
      </w:r>
      <w:r w:rsidRPr="006E4244">
        <w:rPr>
          <w:rFonts w:ascii="Times New Roman" w:eastAsiaTheme="minorEastAsia" w:hAnsi="Times New Roman"/>
          <w:kern w:val="0"/>
          <w:sz w:val="28"/>
          <w:szCs w:val="28"/>
        </w:rPr>
        <w:t>：</w:t>
      </w:r>
    </w:p>
    <w:p w14:paraId="4D6B4AD5" w14:textId="77777777" w:rsidR="00773F59" w:rsidRPr="006E4244" w:rsidRDefault="001E494E">
      <w:pPr>
        <w:jc w:val="center"/>
        <w:rPr>
          <w:rFonts w:ascii="Times New Roman" w:eastAsiaTheme="minorEastAsia" w:hAnsi="Times New Roman"/>
          <w:b/>
          <w:sz w:val="32"/>
        </w:rPr>
      </w:pPr>
      <w:r w:rsidRPr="006E4244">
        <w:rPr>
          <w:rFonts w:ascii="Times New Roman" w:eastAsiaTheme="minorEastAsia" w:hAnsi="Times New Roman"/>
          <w:b/>
          <w:sz w:val="32"/>
        </w:rPr>
        <w:t>行业计量技术规范项目建议书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22"/>
        <w:gridCol w:w="1134"/>
        <w:gridCol w:w="850"/>
        <w:gridCol w:w="851"/>
        <w:gridCol w:w="1559"/>
        <w:gridCol w:w="709"/>
        <w:gridCol w:w="1134"/>
        <w:gridCol w:w="2039"/>
      </w:tblGrid>
      <w:tr w:rsidR="00773F59" w:rsidRPr="006E4244" w14:paraId="0833A0B5" w14:textId="77777777">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822AABE" w14:textId="77777777" w:rsidR="00773F59" w:rsidRPr="006E4244" w:rsidRDefault="001E494E">
            <w:pPr>
              <w:rPr>
                <w:rFonts w:ascii="Times New Roman" w:eastAsiaTheme="minorEastAsia" w:hAnsi="Times New Roman"/>
                <w:sz w:val="28"/>
                <w:szCs w:val="28"/>
              </w:rPr>
            </w:pPr>
            <w:r w:rsidRPr="006E4244">
              <w:rPr>
                <w:rFonts w:ascii="Times New Roman" w:eastAsiaTheme="minorEastAsia" w:hAnsi="Times New Roman"/>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4FCFAF0" w14:textId="77777777" w:rsidR="00773F59" w:rsidRPr="006E4244" w:rsidRDefault="001E494E">
            <w:pPr>
              <w:widowControl/>
              <w:jc w:val="left"/>
              <w:rPr>
                <w:rFonts w:ascii="Times New Roman" w:eastAsiaTheme="minorEastAsia" w:hAnsi="Times New Roman"/>
                <w:sz w:val="28"/>
                <w:szCs w:val="28"/>
              </w:rPr>
            </w:pPr>
            <w:r w:rsidRPr="006E4244">
              <w:rPr>
                <w:rFonts w:ascii="Times New Roman" w:eastAsiaTheme="minorEastAsia" w:hAnsi="Times New Roman"/>
                <w:sz w:val="28"/>
                <w:szCs w:val="28"/>
              </w:rPr>
              <w:t>电热恒温水浴锅校准规范</w:t>
            </w:r>
          </w:p>
        </w:tc>
      </w:tr>
      <w:tr w:rsidR="00773F59" w:rsidRPr="006E4244" w14:paraId="3242EC63" w14:textId="77777777">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FA8F939"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506DE5C2" w14:textId="77777777" w:rsidR="00773F59" w:rsidRPr="006E4244" w:rsidRDefault="001E494E">
            <w:pPr>
              <w:rPr>
                <w:rFonts w:ascii="Times New Roman" w:eastAsiaTheme="minorEastAsia" w:hAnsi="Times New Roman"/>
                <w:sz w:val="28"/>
                <w:szCs w:val="28"/>
              </w:rPr>
            </w:pP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制定</w:t>
            </w: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3142C74" w14:textId="77777777" w:rsidR="00773F59" w:rsidRPr="006E4244" w:rsidRDefault="001E494E">
            <w:pPr>
              <w:spacing w:line="4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57FA23F9"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w:t>
            </w:r>
          </w:p>
        </w:tc>
      </w:tr>
      <w:tr w:rsidR="00773F59" w:rsidRPr="006E4244" w14:paraId="3C185E88" w14:textId="77777777">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C735F24" w14:textId="77777777" w:rsidR="00773F59" w:rsidRPr="006E4244" w:rsidRDefault="001E494E">
            <w:pPr>
              <w:spacing w:line="4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0115C55E" w14:textId="77777777" w:rsidR="00773F59" w:rsidRPr="006E4244" w:rsidRDefault="001E494E">
            <w:pPr>
              <w:spacing w:line="4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检定规程</w:t>
            </w:r>
          </w:p>
          <w:p w14:paraId="3B416018" w14:textId="77777777" w:rsidR="00773F59" w:rsidRPr="006E4244" w:rsidRDefault="001E494E">
            <w:pPr>
              <w:spacing w:line="4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610545B" w14:textId="77777777" w:rsidR="00773F59" w:rsidRPr="006E4244" w:rsidRDefault="001E494E">
            <w:pPr>
              <w:spacing w:line="4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4B8111FB" w14:textId="77777777" w:rsidR="00773F59" w:rsidRPr="006E4244" w:rsidRDefault="001E494E">
            <w:pPr>
              <w:spacing w:line="4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w:t>
            </w:r>
            <w:r w:rsidRPr="006E4244">
              <w:rPr>
                <w:rFonts w:ascii="Times New Roman" w:eastAsiaTheme="minorEastAsia" w:hAnsi="Times New Roman"/>
                <w:sz w:val="28"/>
                <w:szCs w:val="28"/>
              </w:rPr>
              <w:t>重点</w:t>
            </w:r>
          </w:p>
          <w:p w14:paraId="319BABBE" w14:textId="77777777" w:rsidR="00773F59" w:rsidRPr="006E4244" w:rsidRDefault="001E494E">
            <w:pPr>
              <w:spacing w:line="4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w:t>
            </w:r>
            <w:r w:rsidRPr="006E4244">
              <w:rPr>
                <w:rFonts w:ascii="Times New Roman" w:eastAsiaTheme="minorEastAsia" w:hAnsi="Times New Roman"/>
                <w:sz w:val="28"/>
                <w:szCs w:val="28"/>
              </w:rPr>
              <w:t>基础</w:t>
            </w:r>
          </w:p>
        </w:tc>
      </w:tr>
      <w:tr w:rsidR="00773F59" w:rsidRPr="006E4244" w14:paraId="7DDA4899" w14:textId="77777777">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DEF5E54"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302649A" w14:textId="77777777" w:rsidR="00773F59" w:rsidRPr="006E4244" w:rsidRDefault="001E494E">
            <w:pPr>
              <w:jc w:val="center"/>
              <w:rPr>
                <w:rFonts w:ascii="Times New Roman" w:eastAsiaTheme="minorEastAsia" w:hAnsi="Times New Roman"/>
                <w:sz w:val="24"/>
              </w:rPr>
            </w:pPr>
            <w:r w:rsidRPr="006E4244">
              <w:rPr>
                <w:rFonts w:ascii="Times New Roman" w:eastAsiaTheme="minorEastAsia" w:hAnsi="Times New Roman"/>
                <w:color w:val="000000"/>
                <w:sz w:val="28"/>
                <w:szCs w:val="28"/>
              </w:rPr>
              <w:t>西南铝业（集团）有限责任公司</w:t>
            </w:r>
          </w:p>
        </w:tc>
      </w:tr>
      <w:tr w:rsidR="00773F59" w:rsidRPr="006E4244" w14:paraId="27FE90C7" w14:textId="77777777">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A2021EC" w14:textId="77777777" w:rsidR="00773F59" w:rsidRPr="006E4244" w:rsidRDefault="001E494E">
            <w:pPr>
              <w:jc w:val="center"/>
              <w:rPr>
                <w:rFonts w:ascii="Times New Roman" w:eastAsiaTheme="minorEastAsia" w:hAnsi="Times New Roman"/>
                <w:color w:val="000000"/>
                <w:sz w:val="28"/>
                <w:szCs w:val="28"/>
              </w:rPr>
            </w:pPr>
            <w:r w:rsidRPr="006E4244">
              <w:rPr>
                <w:rFonts w:ascii="Times New Roman" w:eastAsiaTheme="minorEastAsia" w:hAnsi="Times New Roman"/>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DC23CD0" w14:textId="77777777" w:rsidR="00773F59" w:rsidRPr="006E4244" w:rsidRDefault="001E494E">
            <w:pPr>
              <w:jc w:val="center"/>
              <w:rPr>
                <w:rFonts w:ascii="Times New Roman" w:eastAsiaTheme="minorEastAsia" w:hAnsi="Times New Roman"/>
                <w:color w:val="000000"/>
                <w:sz w:val="28"/>
                <w:szCs w:val="28"/>
              </w:rPr>
            </w:pPr>
            <w:r w:rsidRPr="006E4244">
              <w:rPr>
                <w:rFonts w:ascii="Times New Roman" w:eastAsiaTheme="minorEastAsia" w:hAnsi="Times New Roman"/>
                <w:color w:val="000000"/>
                <w:sz w:val="28"/>
                <w:szCs w:val="28"/>
              </w:rPr>
              <w:t>谭本清</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FA3EEDA" w14:textId="77777777" w:rsidR="00773F59" w:rsidRPr="006E4244" w:rsidRDefault="001E494E">
            <w:pPr>
              <w:spacing w:line="400" w:lineRule="exact"/>
              <w:jc w:val="center"/>
              <w:rPr>
                <w:rFonts w:ascii="Times New Roman" w:eastAsiaTheme="minorEastAsia" w:hAnsi="Times New Roman"/>
                <w:color w:val="000000"/>
                <w:sz w:val="28"/>
                <w:szCs w:val="28"/>
              </w:rPr>
            </w:pPr>
            <w:r w:rsidRPr="006E4244">
              <w:rPr>
                <w:rFonts w:ascii="Times New Roman" w:eastAsiaTheme="minorEastAsia" w:hAnsi="Times New Roman"/>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6F0EDB43" w14:textId="77777777" w:rsidR="00773F59" w:rsidRPr="006E4244" w:rsidRDefault="001E494E">
            <w:pPr>
              <w:jc w:val="center"/>
              <w:rPr>
                <w:rFonts w:ascii="Times New Roman" w:eastAsiaTheme="minorEastAsia" w:hAnsi="Times New Roman"/>
                <w:color w:val="000000"/>
                <w:sz w:val="28"/>
                <w:szCs w:val="28"/>
              </w:rPr>
            </w:pPr>
            <w:r w:rsidRPr="006E4244">
              <w:rPr>
                <w:rFonts w:ascii="Times New Roman" w:eastAsiaTheme="minorEastAsia" w:hAnsi="Times New Roman"/>
                <w:color w:val="000000"/>
                <w:sz w:val="28"/>
                <w:szCs w:val="28"/>
              </w:rPr>
              <w:t>13883825800</w:t>
            </w:r>
          </w:p>
        </w:tc>
      </w:tr>
      <w:tr w:rsidR="00773F59" w:rsidRPr="006E4244" w14:paraId="575E1D4E" w14:textId="77777777">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C04EA72" w14:textId="77777777" w:rsidR="00773F59" w:rsidRPr="006E4244" w:rsidRDefault="001E494E">
            <w:pPr>
              <w:spacing w:line="400" w:lineRule="exact"/>
              <w:jc w:val="center"/>
              <w:rPr>
                <w:rFonts w:ascii="Times New Roman" w:eastAsiaTheme="minorEastAsia" w:hAnsi="Times New Roman"/>
                <w:color w:val="000000"/>
                <w:sz w:val="28"/>
                <w:szCs w:val="28"/>
              </w:rPr>
            </w:pPr>
            <w:r w:rsidRPr="006E4244">
              <w:rPr>
                <w:rFonts w:ascii="Times New Roman" w:eastAsiaTheme="minorEastAsia" w:hAnsi="Times New Roman"/>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3A3148C" w14:textId="233A9548" w:rsidR="00773F59" w:rsidRPr="006E4244" w:rsidRDefault="001E494E">
            <w:pPr>
              <w:jc w:val="center"/>
              <w:rPr>
                <w:rFonts w:ascii="Times New Roman" w:eastAsiaTheme="minorEastAsia" w:hAnsi="Times New Roman"/>
                <w:color w:val="000000"/>
                <w:sz w:val="28"/>
                <w:szCs w:val="28"/>
              </w:rPr>
            </w:pPr>
            <w:r w:rsidRPr="006E4244">
              <w:rPr>
                <w:rFonts w:ascii="Times New Roman" w:eastAsiaTheme="minorEastAsia" w:hAnsi="Times New Roman"/>
                <w:sz w:val="28"/>
                <w:szCs w:val="28"/>
              </w:rPr>
              <w:t>2021</w:t>
            </w:r>
            <w:r w:rsidR="00265399" w:rsidRPr="006E4244">
              <w:rPr>
                <w:rFonts w:ascii="Times New Roman" w:eastAsiaTheme="minorEastAsia" w:hAnsi="Times New Roman"/>
                <w:sz w:val="28"/>
                <w:szCs w:val="28"/>
              </w:rPr>
              <w:t>-2023</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257FF85" w14:textId="77777777" w:rsidR="00773F59" w:rsidRPr="006E4244" w:rsidRDefault="001E494E">
            <w:pPr>
              <w:spacing w:line="400" w:lineRule="exact"/>
              <w:jc w:val="center"/>
              <w:rPr>
                <w:rFonts w:ascii="Times New Roman" w:eastAsiaTheme="minorEastAsia" w:hAnsi="Times New Roman"/>
                <w:color w:val="000000"/>
                <w:sz w:val="28"/>
                <w:szCs w:val="28"/>
              </w:rPr>
            </w:pPr>
            <w:r w:rsidRPr="006E4244">
              <w:rPr>
                <w:rFonts w:ascii="Times New Roman" w:eastAsiaTheme="minorEastAsia" w:hAnsi="Times New Roman"/>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34F28827"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8</w:t>
            </w:r>
            <w:r w:rsidRPr="006E4244">
              <w:rPr>
                <w:rFonts w:ascii="Times New Roman" w:eastAsiaTheme="minorEastAsia" w:hAnsi="Times New Roman"/>
                <w:sz w:val="28"/>
                <w:szCs w:val="28"/>
              </w:rPr>
              <w:t>万元</w:t>
            </w:r>
          </w:p>
        </w:tc>
      </w:tr>
      <w:tr w:rsidR="00773F59" w:rsidRPr="006E4244" w14:paraId="28191690" w14:textId="77777777">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50970AB5"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4D82A5A2" w14:textId="77777777" w:rsidR="00773F59" w:rsidRPr="006E4244" w:rsidRDefault="00773F59">
            <w:pPr>
              <w:jc w:val="center"/>
              <w:rPr>
                <w:rFonts w:ascii="Times New Roman" w:eastAsiaTheme="minorEastAsia" w:hAnsi="Times New Roman"/>
                <w:sz w:val="28"/>
                <w:szCs w:val="28"/>
              </w:rPr>
            </w:pPr>
          </w:p>
        </w:tc>
      </w:tr>
      <w:tr w:rsidR="00773F59" w:rsidRPr="006E4244" w14:paraId="6BC0393C" w14:textId="77777777">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5835C91"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7B8300BC" w14:textId="77777777" w:rsidR="00773F59" w:rsidRPr="006E4244" w:rsidRDefault="001E494E">
            <w:pPr>
              <w:rPr>
                <w:rFonts w:ascii="Times New Roman" w:eastAsiaTheme="minorEastAsia" w:hAnsi="Times New Roman"/>
                <w:sz w:val="28"/>
                <w:szCs w:val="28"/>
              </w:rPr>
            </w:pPr>
            <w:r w:rsidRPr="006E4244">
              <w:rPr>
                <w:rFonts w:ascii="Times New Roman" w:eastAsiaTheme="minorEastAsia" w:hAnsi="Times New Roman"/>
                <w:sz w:val="28"/>
                <w:szCs w:val="28"/>
              </w:rPr>
              <w:t>□</w:t>
            </w:r>
            <w:r w:rsidRPr="006E4244">
              <w:rPr>
                <w:rFonts w:ascii="Times New Roman" w:eastAsiaTheme="minorEastAsia" w:hAnsi="Times New Roman"/>
                <w:sz w:val="28"/>
                <w:szCs w:val="28"/>
              </w:rPr>
              <w:t>安全</w:t>
            </w: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节能</w:t>
            </w: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环保</w:t>
            </w: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自主创新</w:t>
            </w:r>
            <w:r w:rsidRPr="006E4244">
              <w:rPr>
                <w:rFonts w:ascii="Times New Roman" w:eastAsiaTheme="minorEastAsia" w:hAnsi="Times New Roman"/>
                <w:sz w:val="28"/>
                <w:szCs w:val="28"/>
              </w:rPr>
              <w:t xml:space="preserve"> </w:t>
            </w:r>
            <w:r w:rsidRPr="006E4244">
              <w:rPr>
                <w:rFonts w:ascii="Times New Roman" w:eastAsiaTheme="minorEastAsia" w:hAnsi="Times New Roman"/>
              </w:rPr>
              <w:t>█</w:t>
            </w:r>
            <w:r w:rsidRPr="006E4244">
              <w:rPr>
                <w:rFonts w:ascii="Times New Roman" w:eastAsiaTheme="minorEastAsia" w:hAnsi="Times New Roman"/>
                <w:sz w:val="28"/>
                <w:szCs w:val="28"/>
              </w:rPr>
              <w:t>其它</w:t>
            </w:r>
            <w:r w:rsidRPr="006E4244">
              <w:rPr>
                <w:rFonts w:ascii="Times New Roman" w:eastAsiaTheme="minorEastAsia" w:hAnsi="Times New Roman"/>
                <w:sz w:val="28"/>
                <w:szCs w:val="28"/>
                <w:u w:val="single"/>
              </w:rPr>
              <w:t xml:space="preserve"> </w:t>
            </w:r>
            <w:r w:rsidRPr="006E4244">
              <w:rPr>
                <w:rFonts w:ascii="Times New Roman" w:eastAsiaTheme="minorEastAsia" w:hAnsi="Times New Roman"/>
                <w:kern w:val="0"/>
                <w:sz w:val="28"/>
                <w:szCs w:val="28"/>
                <w:u w:val="single"/>
              </w:rPr>
              <w:t>产业急需</w:t>
            </w:r>
            <w:r w:rsidRPr="006E4244">
              <w:rPr>
                <w:rFonts w:ascii="Times New Roman" w:eastAsiaTheme="minorEastAsia" w:hAnsi="Times New Roman"/>
                <w:sz w:val="28"/>
                <w:szCs w:val="28"/>
                <w:u w:val="single"/>
              </w:rPr>
              <w:t xml:space="preserve">  </w:t>
            </w:r>
          </w:p>
        </w:tc>
      </w:tr>
      <w:tr w:rsidR="00773F59" w:rsidRPr="006E4244" w14:paraId="5A532BE5" w14:textId="77777777">
        <w:trPr>
          <w:trHeight w:val="86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860A643" w14:textId="77777777" w:rsidR="00773F59" w:rsidRPr="006E4244" w:rsidRDefault="001E494E">
            <w:pPr>
              <w:spacing w:line="5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目的、意义</w:t>
            </w:r>
            <w:proofErr w:type="gramStart"/>
            <w:r w:rsidRPr="006E4244">
              <w:rPr>
                <w:rFonts w:ascii="Times New Roman" w:eastAsiaTheme="minorEastAsia" w:hAnsi="Times New Roman"/>
                <w:sz w:val="28"/>
                <w:szCs w:val="28"/>
              </w:rPr>
              <w:t>和</w:t>
            </w:r>
            <w:proofErr w:type="gramEnd"/>
          </w:p>
          <w:p w14:paraId="3ED72EBC" w14:textId="77777777" w:rsidR="00773F59" w:rsidRPr="006E4244" w:rsidRDefault="001E494E">
            <w:pPr>
              <w:spacing w:line="5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6028A655" w14:textId="77777777" w:rsidR="00773F59" w:rsidRPr="006E4244" w:rsidRDefault="001E494E">
            <w:pPr>
              <w:spacing w:line="500" w:lineRule="exact"/>
              <w:ind w:firstLineChars="200" w:firstLine="560"/>
              <w:jc w:val="left"/>
              <w:rPr>
                <w:rFonts w:ascii="Times New Roman" w:eastAsiaTheme="minorEastAsia" w:hAnsi="Times New Roman"/>
                <w:sz w:val="28"/>
                <w:szCs w:val="28"/>
              </w:rPr>
            </w:pPr>
            <w:r w:rsidRPr="006E4244">
              <w:rPr>
                <w:rFonts w:ascii="Times New Roman" w:eastAsiaTheme="minorEastAsia" w:hAnsi="Times New Roman"/>
                <w:sz w:val="28"/>
                <w:szCs w:val="28"/>
              </w:rPr>
              <w:t>电热恒温水浴锅，广泛应用于干燥、浓缩、蒸馏、浸渍化学试剂、药品和生物制品，也可用于水浴</w:t>
            </w:r>
            <w:hyperlink r:id="rId8" w:tgtFrame="https://baike.baidu.com/item/%E7%94%B5%E7%83%AD%E6%B0%B4%E6%B5%B4%E9%94%85/_blank" w:history="1">
              <w:r w:rsidRPr="006E4244">
                <w:rPr>
                  <w:rFonts w:ascii="Times New Roman" w:eastAsiaTheme="minorEastAsia" w:hAnsi="Times New Roman"/>
                  <w:sz w:val="28"/>
                  <w:szCs w:val="28"/>
                </w:rPr>
                <w:t>恒温</w:t>
              </w:r>
            </w:hyperlink>
            <w:r w:rsidRPr="006E4244">
              <w:rPr>
                <w:rFonts w:ascii="Times New Roman" w:eastAsiaTheme="minorEastAsia" w:hAnsi="Times New Roman"/>
                <w:sz w:val="28"/>
                <w:szCs w:val="28"/>
              </w:rPr>
              <w:t>加热和其它温度试验，是工业企业、生物、遗传、水产、环保、医药、卫生学科、生化实验室、教育科研的必备工具。</w:t>
            </w:r>
          </w:p>
          <w:p w14:paraId="1281E206" w14:textId="77777777" w:rsidR="00773F59" w:rsidRPr="006E4244" w:rsidRDefault="001E494E">
            <w:pPr>
              <w:widowControl/>
              <w:ind w:firstLineChars="228" w:firstLine="638"/>
              <w:jc w:val="left"/>
              <w:rPr>
                <w:rFonts w:ascii="Times New Roman" w:eastAsiaTheme="minorEastAsia" w:hAnsi="Times New Roman"/>
                <w:sz w:val="28"/>
                <w:szCs w:val="28"/>
              </w:rPr>
            </w:pPr>
            <w:r w:rsidRPr="006E4244">
              <w:rPr>
                <w:rFonts w:ascii="Times New Roman" w:eastAsiaTheme="minorEastAsia" w:hAnsi="Times New Roman"/>
                <w:sz w:val="28"/>
                <w:szCs w:val="28"/>
              </w:rPr>
              <w:t>电热恒温水浴锅形状、样式多样，有单列孔、双列孔、无孔等，内腔形状有长方形、圆形等，使用者根</w:t>
            </w:r>
            <w:proofErr w:type="gramStart"/>
            <w:r w:rsidRPr="006E4244">
              <w:rPr>
                <w:rFonts w:ascii="Times New Roman" w:eastAsiaTheme="minorEastAsia" w:hAnsi="Times New Roman"/>
                <w:sz w:val="28"/>
                <w:szCs w:val="28"/>
              </w:rPr>
              <w:t>椐</w:t>
            </w:r>
            <w:proofErr w:type="gramEnd"/>
            <w:r w:rsidRPr="006E4244">
              <w:rPr>
                <w:rFonts w:ascii="Times New Roman" w:eastAsiaTheme="minorEastAsia" w:hAnsi="Times New Roman"/>
                <w:sz w:val="28"/>
                <w:szCs w:val="28"/>
              </w:rPr>
              <w:t>使用需求不同来选择相应样式的电热恒温水浴锅。</w:t>
            </w:r>
          </w:p>
          <w:p w14:paraId="1BC8BD2D" w14:textId="77777777" w:rsidR="00773F59" w:rsidRPr="006E4244" w:rsidRDefault="001E494E">
            <w:pPr>
              <w:spacing w:line="500" w:lineRule="exact"/>
              <w:ind w:firstLineChars="200" w:firstLine="560"/>
              <w:jc w:val="left"/>
              <w:rPr>
                <w:rFonts w:ascii="Times New Roman" w:eastAsiaTheme="minorEastAsia" w:hAnsi="Times New Roman"/>
                <w:sz w:val="28"/>
                <w:szCs w:val="28"/>
              </w:rPr>
            </w:pPr>
            <w:r w:rsidRPr="006E4244">
              <w:rPr>
                <w:rFonts w:ascii="Times New Roman" w:eastAsiaTheme="minorEastAsia" w:hAnsi="Times New Roman"/>
                <w:sz w:val="28"/>
                <w:szCs w:val="28"/>
              </w:rPr>
              <w:t>目前，电热恒温</w:t>
            </w:r>
            <w:proofErr w:type="gramStart"/>
            <w:r w:rsidRPr="006E4244">
              <w:rPr>
                <w:rFonts w:ascii="Times New Roman" w:eastAsiaTheme="minorEastAsia" w:hAnsi="Times New Roman"/>
                <w:sz w:val="28"/>
                <w:szCs w:val="28"/>
              </w:rPr>
              <w:t>水浴锅还没有</w:t>
            </w:r>
            <w:proofErr w:type="gramEnd"/>
            <w:r w:rsidRPr="006E4244">
              <w:rPr>
                <w:rFonts w:ascii="Times New Roman" w:eastAsiaTheme="minorEastAsia" w:hAnsi="Times New Roman"/>
                <w:sz w:val="28"/>
                <w:szCs w:val="28"/>
              </w:rPr>
              <w:t>国家检定规程或校准规范，</w:t>
            </w:r>
            <w:bookmarkStart w:id="0" w:name="_Hlk59389175"/>
            <w:r w:rsidRPr="006E4244">
              <w:rPr>
                <w:rFonts w:ascii="Times New Roman" w:eastAsiaTheme="minorEastAsia" w:hAnsi="Times New Roman"/>
                <w:sz w:val="28"/>
                <w:szCs w:val="28"/>
              </w:rPr>
              <w:t>一些行业和地方针对单列孔、双列孔及内腔为长方形的水浴锅编制了校验方法或校准规范。但由于水浴锅的样式多样，这些校准规范对内腔为圆形及其它形状</w:t>
            </w:r>
            <w:r w:rsidRPr="006E4244">
              <w:rPr>
                <w:rFonts w:ascii="Times New Roman" w:eastAsiaTheme="minorEastAsia" w:hAnsi="Times New Roman"/>
                <w:sz w:val="28"/>
                <w:szCs w:val="28"/>
              </w:rPr>
              <w:lastRenderedPageBreak/>
              <w:t>的</w:t>
            </w:r>
            <w:proofErr w:type="gramStart"/>
            <w:r w:rsidRPr="006E4244">
              <w:rPr>
                <w:rFonts w:ascii="Times New Roman" w:eastAsiaTheme="minorEastAsia" w:hAnsi="Times New Roman"/>
                <w:sz w:val="28"/>
                <w:szCs w:val="28"/>
              </w:rPr>
              <w:t>水浴锅还不能</w:t>
            </w:r>
            <w:proofErr w:type="gramEnd"/>
            <w:r w:rsidRPr="006E4244">
              <w:rPr>
                <w:rFonts w:ascii="Times New Roman" w:eastAsiaTheme="minorEastAsia" w:hAnsi="Times New Roman"/>
                <w:sz w:val="28"/>
                <w:szCs w:val="28"/>
              </w:rPr>
              <w:t>明确指导校准工作；另外有些校准规范还存在温度偏差、温度均匀性、温度波动度的计算方法上不能完全反映水浴锅的性能指标、有些校准规范在测温点的布置上没有将水浴锅的工作区域覆盖全等问题。</w:t>
            </w:r>
            <w:bookmarkEnd w:id="0"/>
          </w:p>
          <w:p w14:paraId="7F0E1546" w14:textId="77777777" w:rsidR="00773F59" w:rsidRPr="006E4244" w:rsidRDefault="001E494E">
            <w:pPr>
              <w:spacing w:line="500" w:lineRule="exact"/>
              <w:ind w:firstLineChars="200" w:firstLine="560"/>
              <w:jc w:val="left"/>
              <w:rPr>
                <w:rFonts w:ascii="Times New Roman" w:eastAsiaTheme="minorEastAsia" w:hAnsi="Times New Roman"/>
                <w:sz w:val="28"/>
                <w:szCs w:val="28"/>
              </w:rPr>
            </w:pPr>
            <w:r w:rsidRPr="006E4244">
              <w:rPr>
                <w:rFonts w:ascii="Times New Roman" w:eastAsiaTheme="minorEastAsia" w:hAnsi="Times New Roman"/>
                <w:sz w:val="28"/>
                <w:szCs w:val="28"/>
              </w:rPr>
              <w:t>因此，为更好地指导对电热恒温水浴锅的校准工作，有必要编制《电热恒温水浴锅校准规范》。</w:t>
            </w:r>
          </w:p>
        </w:tc>
      </w:tr>
      <w:tr w:rsidR="00773F59" w:rsidRPr="006E4244" w14:paraId="7AB69A85" w14:textId="77777777">
        <w:trPr>
          <w:trHeight w:val="336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3C7C7A2"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lastRenderedPageBreak/>
              <w:t>范围和主要</w:t>
            </w:r>
          </w:p>
          <w:p w14:paraId="62426AB7"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904D8A8" w14:textId="77777777" w:rsidR="00773F59" w:rsidRPr="006E4244" w:rsidRDefault="001E494E">
            <w:pPr>
              <w:jc w:val="left"/>
              <w:rPr>
                <w:rFonts w:ascii="Times New Roman" w:eastAsiaTheme="minorEastAsia" w:hAnsi="Times New Roman"/>
                <w:sz w:val="28"/>
                <w:szCs w:val="28"/>
              </w:rPr>
            </w:pPr>
            <w:r w:rsidRPr="006E4244">
              <w:rPr>
                <w:rFonts w:ascii="Times New Roman" w:eastAsiaTheme="minorEastAsia" w:hAnsi="Times New Roman"/>
                <w:sz w:val="28"/>
                <w:szCs w:val="28"/>
              </w:rPr>
              <w:t>1</w:t>
            </w:r>
            <w:r w:rsidRPr="006E4244">
              <w:rPr>
                <w:rFonts w:ascii="Times New Roman" w:eastAsiaTheme="minorEastAsia" w:hAnsi="Times New Roman"/>
                <w:sz w:val="28"/>
                <w:szCs w:val="28"/>
              </w:rPr>
              <w:t>、本规范适用于电热恒温水浴锅的校准。</w:t>
            </w:r>
          </w:p>
          <w:p w14:paraId="39F86745" w14:textId="77777777" w:rsidR="00773F59" w:rsidRPr="006E4244" w:rsidRDefault="001E494E">
            <w:pPr>
              <w:jc w:val="left"/>
              <w:rPr>
                <w:rFonts w:ascii="Times New Roman" w:eastAsiaTheme="minorEastAsia" w:hAnsi="Times New Roman"/>
                <w:sz w:val="28"/>
                <w:szCs w:val="28"/>
              </w:rPr>
            </w:pPr>
            <w:r w:rsidRPr="006E4244">
              <w:rPr>
                <w:rFonts w:ascii="Times New Roman" w:eastAsiaTheme="minorEastAsia" w:hAnsi="Times New Roman"/>
                <w:sz w:val="28"/>
                <w:szCs w:val="28"/>
              </w:rPr>
              <w:t>2</w:t>
            </w:r>
            <w:r w:rsidRPr="006E4244">
              <w:rPr>
                <w:rFonts w:ascii="Times New Roman" w:eastAsiaTheme="minorEastAsia" w:hAnsi="Times New Roman"/>
                <w:sz w:val="28"/>
                <w:szCs w:val="28"/>
              </w:rPr>
              <w:t>、计量技术规范主要计量特性的技术指标</w:t>
            </w:r>
          </w:p>
          <w:p w14:paraId="099E8B6D" w14:textId="77777777" w:rsidR="00773F59" w:rsidRPr="006E4244" w:rsidRDefault="001E494E">
            <w:pPr>
              <w:numPr>
                <w:ilvl w:val="0"/>
                <w:numId w:val="1"/>
              </w:numPr>
              <w:jc w:val="left"/>
              <w:rPr>
                <w:rFonts w:ascii="Times New Roman" w:eastAsiaTheme="minorEastAsia" w:hAnsi="Times New Roman"/>
                <w:sz w:val="28"/>
                <w:szCs w:val="28"/>
              </w:rPr>
            </w:pPr>
            <w:r w:rsidRPr="006E4244">
              <w:rPr>
                <w:rFonts w:ascii="Times New Roman" w:eastAsiaTheme="minorEastAsia" w:hAnsi="Times New Roman"/>
                <w:sz w:val="28"/>
                <w:szCs w:val="28"/>
              </w:rPr>
              <w:t>温度偏差：应满足用户使用要求或不超过</w:t>
            </w:r>
            <w:r w:rsidRPr="006E4244">
              <w:rPr>
                <w:rFonts w:ascii="Times New Roman" w:eastAsiaTheme="minorEastAsia" w:hAnsi="Times New Roman"/>
                <w:sz w:val="28"/>
                <w:szCs w:val="28"/>
              </w:rPr>
              <w:t>±1℃</w:t>
            </w:r>
            <w:r w:rsidRPr="006E4244">
              <w:rPr>
                <w:rFonts w:ascii="Times New Roman" w:eastAsiaTheme="minorEastAsia" w:hAnsi="Times New Roman"/>
                <w:sz w:val="28"/>
                <w:szCs w:val="28"/>
              </w:rPr>
              <w:t>。</w:t>
            </w:r>
            <w:r w:rsidRPr="006E4244">
              <w:rPr>
                <w:rFonts w:ascii="Times New Roman" w:eastAsiaTheme="minorEastAsia" w:hAnsi="Times New Roman"/>
                <w:sz w:val="28"/>
                <w:szCs w:val="28"/>
              </w:rPr>
              <w:t xml:space="preserve"> </w:t>
            </w:r>
          </w:p>
          <w:p w14:paraId="22578168" w14:textId="77777777" w:rsidR="00773F59" w:rsidRPr="006E4244" w:rsidRDefault="001E494E">
            <w:pPr>
              <w:numPr>
                <w:ilvl w:val="0"/>
                <w:numId w:val="1"/>
              </w:numPr>
              <w:jc w:val="left"/>
              <w:rPr>
                <w:rFonts w:ascii="Times New Roman" w:eastAsiaTheme="minorEastAsia" w:hAnsi="Times New Roman"/>
                <w:sz w:val="28"/>
                <w:szCs w:val="28"/>
              </w:rPr>
            </w:pPr>
            <w:r w:rsidRPr="006E4244">
              <w:rPr>
                <w:rFonts w:ascii="Times New Roman" w:eastAsiaTheme="minorEastAsia" w:hAnsi="Times New Roman"/>
                <w:sz w:val="28"/>
                <w:szCs w:val="28"/>
              </w:rPr>
              <w:t>温度均匀性：应满足用户使用要求或不大于</w:t>
            </w:r>
            <w:r w:rsidRPr="006E4244">
              <w:rPr>
                <w:rFonts w:ascii="Times New Roman" w:eastAsiaTheme="minorEastAsia" w:hAnsi="Times New Roman"/>
                <w:sz w:val="28"/>
                <w:szCs w:val="28"/>
              </w:rPr>
              <w:t>1℃</w:t>
            </w:r>
            <w:r w:rsidRPr="006E4244">
              <w:rPr>
                <w:rFonts w:ascii="Times New Roman" w:eastAsiaTheme="minorEastAsia" w:hAnsi="Times New Roman"/>
                <w:sz w:val="28"/>
                <w:szCs w:val="28"/>
              </w:rPr>
              <w:t>。</w:t>
            </w:r>
            <w:r w:rsidRPr="006E4244">
              <w:rPr>
                <w:rFonts w:ascii="Times New Roman" w:eastAsiaTheme="minorEastAsia" w:hAnsi="Times New Roman"/>
                <w:sz w:val="28"/>
                <w:szCs w:val="28"/>
              </w:rPr>
              <w:t xml:space="preserve"> </w:t>
            </w:r>
          </w:p>
          <w:p w14:paraId="120C3E16" w14:textId="77777777" w:rsidR="00773F59" w:rsidRPr="006E4244" w:rsidRDefault="001E494E">
            <w:pPr>
              <w:numPr>
                <w:ilvl w:val="0"/>
                <w:numId w:val="1"/>
              </w:numPr>
              <w:jc w:val="left"/>
              <w:rPr>
                <w:rFonts w:ascii="Times New Roman" w:eastAsiaTheme="minorEastAsia" w:hAnsi="Times New Roman"/>
                <w:sz w:val="28"/>
                <w:szCs w:val="28"/>
              </w:rPr>
            </w:pPr>
            <w:r w:rsidRPr="006E4244">
              <w:rPr>
                <w:rFonts w:ascii="Times New Roman" w:eastAsiaTheme="minorEastAsia" w:hAnsi="Times New Roman"/>
                <w:sz w:val="28"/>
                <w:szCs w:val="28"/>
              </w:rPr>
              <w:t>温度波动度：应满足用户使用要求或不超过</w:t>
            </w:r>
            <w:r w:rsidRPr="006E4244">
              <w:rPr>
                <w:rFonts w:ascii="Times New Roman" w:eastAsiaTheme="minorEastAsia" w:hAnsi="Times New Roman"/>
                <w:sz w:val="28"/>
                <w:szCs w:val="28"/>
              </w:rPr>
              <w:t>±0.5℃</w:t>
            </w:r>
            <w:r w:rsidRPr="006E4244">
              <w:rPr>
                <w:rFonts w:ascii="Times New Roman" w:eastAsiaTheme="minorEastAsia" w:hAnsi="Times New Roman"/>
                <w:sz w:val="28"/>
                <w:szCs w:val="28"/>
              </w:rPr>
              <w:t>。</w:t>
            </w:r>
          </w:p>
        </w:tc>
      </w:tr>
      <w:tr w:rsidR="00773F59" w:rsidRPr="006E4244" w14:paraId="14B27FCB" w14:textId="77777777">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A52D9ED" w14:textId="77777777" w:rsidR="00773F59" w:rsidRPr="006E4244" w:rsidRDefault="001E494E">
            <w:pPr>
              <w:jc w:val="center"/>
              <w:rPr>
                <w:rFonts w:ascii="Times New Roman" w:eastAsiaTheme="minorEastAsia" w:hAnsi="Times New Roman"/>
                <w:sz w:val="28"/>
                <w:szCs w:val="28"/>
              </w:rPr>
            </w:pPr>
            <w:r w:rsidRPr="006E4244">
              <w:rPr>
                <w:rFonts w:ascii="Times New Roman" w:eastAsiaTheme="minorEastAsia" w:hAnsi="Times New Roman"/>
                <w:sz w:val="28"/>
                <w:szCs w:val="28"/>
              </w:rPr>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677F2B71" w14:textId="77777777" w:rsidR="00773F59" w:rsidRPr="006E4244" w:rsidRDefault="001E494E">
            <w:pPr>
              <w:adjustRightInd w:val="0"/>
              <w:snapToGrid w:val="0"/>
              <w:rPr>
                <w:rFonts w:ascii="Times New Roman" w:eastAsiaTheme="minorEastAsia" w:hAnsi="Times New Roman"/>
                <w:sz w:val="28"/>
                <w:szCs w:val="28"/>
              </w:rPr>
            </w:pP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国际先进</w:t>
            </w:r>
            <w:r w:rsidRPr="006E4244">
              <w:rPr>
                <w:rFonts w:ascii="Times New Roman" w:eastAsiaTheme="minorEastAsia" w:hAnsi="Times New Roman"/>
                <w:sz w:val="28"/>
                <w:szCs w:val="28"/>
              </w:rPr>
              <w:t xml:space="preserve">        ■</w:t>
            </w:r>
            <w:r w:rsidRPr="006E4244">
              <w:rPr>
                <w:rFonts w:ascii="Times New Roman" w:eastAsiaTheme="minorEastAsia" w:hAnsi="Times New Roman"/>
                <w:sz w:val="28"/>
                <w:szCs w:val="28"/>
              </w:rPr>
              <w:t>国内先进</w:t>
            </w:r>
            <w:r w:rsidRPr="006E4244">
              <w:rPr>
                <w:rFonts w:ascii="Times New Roman" w:eastAsiaTheme="minorEastAsia" w:hAnsi="Times New Roman"/>
                <w:sz w:val="28"/>
                <w:szCs w:val="28"/>
              </w:rPr>
              <w:t xml:space="preserve">        </w:t>
            </w:r>
          </w:p>
        </w:tc>
      </w:tr>
      <w:tr w:rsidR="00773F59" w:rsidRPr="006E4244" w14:paraId="4336F23D" w14:textId="77777777">
        <w:trPr>
          <w:trHeight w:val="388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EDD5E3F" w14:textId="77777777" w:rsidR="00773F59" w:rsidRPr="006E4244" w:rsidRDefault="001E494E">
            <w:pPr>
              <w:spacing w:line="5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国内外情况</w:t>
            </w:r>
          </w:p>
          <w:p w14:paraId="2D756603" w14:textId="77777777" w:rsidR="00773F59" w:rsidRPr="006E4244" w:rsidRDefault="001E494E">
            <w:pPr>
              <w:spacing w:line="500" w:lineRule="exact"/>
              <w:jc w:val="center"/>
              <w:rPr>
                <w:rFonts w:ascii="Times New Roman" w:eastAsiaTheme="minorEastAsia" w:hAnsi="Times New Roman"/>
                <w:sz w:val="28"/>
                <w:szCs w:val="28"/>
              </w:rPr>
            </w:pPr>
            <w:r w:rsidRPr="006E4244">
              <w:rPr>
                <w:rFonts w:ascii="Times New Roman" w:eastAsiaTheme="minorEastAsia" w:hAnsi="Times New Roman"/>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0BD753BD" w14:textId="77777777" w:rsidR="00773F59" w:rsidRPr="006E4244" w:rsidRDefault="001E494E">
            <w:pPr>
              <w:widowControl/>
              <w:ind w:firstLineChars="228" w:firstLine="638"/>
              <w:jc w:val="left"/>
              <w:rPr>
                <w:rFonts w:ascii="Times New Roman" w:eastAsiaTheme="minorEastAsia" w:hAnsi="Times New Roman"/>
                <w:sz w:val="28"/>
                <w:szCs w:val="28"/>
              </w:rPr>
            </w:pPr>
            <w:r w:rsidRPr="006E4244">
              <w:rPr>
                <w:rFonts w:ascii="Times New Roman" w:eastAsiaTheme="minorEastAsia" w:hAnsi="Times New Roman"/>
                <w:sz w:val="28"/>
                <w:szCs w:val="28"/>
              </w:rPr>
              <w:t>电热恒温水浴锅形状、样式多样，有单列孔、双列孔、无孔，内腔形状有长方形、圆形的，根</w:t>
            </w:r>
            <w:proofErr w:type="gramStart"/>
            <w:r w:rsidRPr="006E4244">
              <w:rPr>
                <w:rFonts w:ascii="Times New Roman" w:eastAsiaTheme="minorEastAsia" w:hAnsi="Times New Roman"/>
                <w:sz w:val="28"/>
                <w:szCs w:val="28"/>
              </w:rPr>
              <w:t>椐</w:t>
            </w:r>
            <w:proofErr w:type="gramEnd"/>
            <w:r w:rsidRPr="006E4244">
              <w:rPr>
                <w:rFonts w:ascii="Times New Roman" w:eastAsiaTheme="minorEastAsia" w:hAnsi="Times New Roman"/>
                <w:sz w:val="28"/>
                <w:szCs w:val="28"/>
              </w:rPr>
              <w:t>使用需求，选择相应样式的电热恒温水浴锅。</w:t>
            </w:r>
          </w:p>
          <w:p w14:paraId="5EB43A8C" w14:textId="77777777" w:rsidR="00773F59" w:rsidRPr="006E4244" w:rsidRDefault="001E494E">
            <w:pPr>
              <w:widowControl/>
              <w:ind w:firstLineChars="228" w:firstLine="638"/>
              <w:jc w:val="left"/>
              <w:rPr>
                <w:rFonts w:ascii="Times New Roman" w:eastAsiaTheme="minorEastAsia" w:hAnsi="Times New Roman"/>
                <w:szCs w:val="21"/>
              </w:rPr>
            </w:pPr>
            <w:r w:rsidRPr="006E4244">
              <w:rPr>
                <w:rFonts w:ascii="Times New Roman" w:eastAsiaTheme="minorEastAsia" w:hAnsi="Times New Roman"/>
                <w:sz w:val="28"/>
                <w:szCs w:val="28"/>
              </w:rPr>
              <w:t>目前，电热恒温</w:t>
            </w:r>
            <w:proofErr w:type="gramStart"/>
            <w:r w:rsidRPr="006E4244">
              <w:rPr>
                <w:rFonts w:ascii="Times New Roman" w:eastAsiaTheme="minorEastAsia" w:hAnsi="Times New Roman"/>
                <w:sz w:val="28"/>
                <w:szCs w:val="28"/>
              </w:rPr>
              <w:t>水浴锅还没有</w:t>
            </w:r>
            <w:proofErr w:type="gramEnd"/>
            <w:r w:rsidRPr="006E4244">
              <w:rPr>
                <w:rFonts w:ascii="Times New Roman" w:eastAsiaTheme="minorEastAsia" w:hAnsi="Times New Roman"/>
                <w:sz w:val="28"/>
                <w:szCs w:val="28"/>
              </w:rPr>
              <w:t>国家检定规程或校准规范，现存的有水利技术标准</w:t>
            </w:r>
            <w:r w:rsidRPr="006E4244">
              <w:rPr>
                <w:rFonts w:ascii="Times New Roman" w:eastAsiaTheme="minorEastAsia" w:hAnsi="Times New Roman"/>
                <w:sz w:val="28"/>
                <w:szCs w:val="28"/>
              </w:rPr>
              <w:t>SL 144.6-2008</w:t>
            </w:r>
            <w:r w:rsidRPr="006E4244">
              <w:rPr>
                <w:rFonts w:ascii="Times New Roman" w:eastAsiaTheme="minorEastAsia" w:hAnsi="Times New Roman"/>
                <w:sz w:val="28"/>
                <w:szCs w:val="28"/>
              </w:rPr>
              <w:t>《电热恒温水浴锅校验方法》，地方标准</w:t>
            </w:r>
            <w:r w:rsidRPr="006E4244">
              <w:rPr>
                <w:rFonts w:ascii="Times New Roman" w:eastAsiaTheme="minorEastAsia" w:hAnsi="Times New Roman"/>
                <w:sz w:val="28"/>
                <w:szCs w:val="28"/>
              </w:rPr>
              <w:t>JJF(</w:t>
            </w:r>
            <w:r w:rsidRPr="006E4244">
              <w:rPr>
                <w:rFonts w:ascii="Times New Roman" w:eastAsiaTheme="minorEastAsia" w:hAnsi="Times New Roman"/>
                <w:sz w:val="28"/>
                <w:szCs w:val="28"/>
              </w:rPr>
              <w:t>辽</w:t>
            </w:r>
            <w:r w:rsidRPr="006E4244">
              <w:rPr>
                <w:rFonts w:ascii="Times New Roman" w:eastAsiaTheme="minorEastAsia" w:hAnsi="Times New Roman"/>
                <w:sz w:val="28"/>
                <w:szCs w:val="28"/>
              </w:rPr>
              <w:t>) 118- 2011</w:t>
            </w:r>
            <w:r w:rsidRPr="006E4244">
              <w:rPr>
                <w:rFonts w:ascii="Times New Roman" w:eastAsiaTheme="minorEastAsia" w:hAnsi="Times New Roman"/>
                <w:sz w:val="28"/>
                <w:szCs w:val="28"/>
              </w:rPr>
              <w:t>《电热恒温水浴锅校准规范》、</w:t>
            </w:r>
            <w:r w:rsidRPr="006E4244">
              <w:rPr>
                <w:rFonts w:ascii="Times New Roman" w:eastAsiaTheme="minorEastAsia" w:hAnsi="Times New Roman"/>
                <w:sz w:val="28"/>
                <w:szCs w:val="28"/>
              </w:rPr>
              <w:t>JJF(</w:t>
            </w:r>
            <w:r w:rsidRPr="006E4244">
              <w:rPr>
                <w:rFonts w:ascii="Times New Roman" w:eastAsiaTheme="minorEastAsia" w:hAnsi="Times New Roman"/>
                <w:sz w:val="28"/>
                <w:szCs w:val="28"/>
              </w:rPr>
              <w:t>新</w:t>
            </w:r>
            <w:r w:rsidRPr="006E4244">
              <w:rPr>
                <w:rFonts w:ascii="Times New Roman" w:eastAsiaTheme="minorEastAsia" w:hAnsi="Times New Roman"/>
                <w:sz w:val="28"/>
                <w:szCs w:val="28"/>
              </w:rPr>
              <w:t>)08-2017</w:t>
            </w:r>
            <w:r w:rsidRPr="006E4244">
              <w:rPr>
                <w:rFonts w:ascii="Times New Roman" w:eastAsiaTheme="minorEastAsia" w:hAnsi="Times New Roman"/>
                <w:sz w:val="28"/>
                <w:szCs w:val="28"/>
              </w:rPr>
              <w:t>《电热恒温水浴锅校准规范》、</w:t>
            </w:r>
            <w:r w:rsidRPr="006E4244">
              <w:rPr>
                <w:rFonts w:ascii="Times New Roman" w:eastAsiaTheme="minorEastAsia" w:hAnsi="Times New Roman"/>
                <w:sz w:val="28"/>
                <w:szCs w:val="28"/>
              </w:rPr>
              <w:t>JJF(</w:t>
            </w:r>
            <w:r w:rsidRPr="006E4244">
              <w:rPr>
                <w:rFonts w:ascii="Times New Roman" w:eastAsiaTheme="minorEastAsia" w:hAnsi="Times New Roman"/>
                <w:sz w:val="28"/>
                <w:szCs w:val="28"/>
              </w:rPr>
              <w:t>闽</w:t>
            </w:r>
            <w:r w:rsidRPr="006E4244">
              <w:rPr>
                <w:rFonts w:ascii="Times New Roman" w:eastAsiaTheme="minorEastAsia" w:hAnsi="Times New Roman"/>
                <w:sz w:val="28"/>
                <w:szCs w:val="28"/>
              </w:rPr>
              <w:t>)1094-2018</w:t>
            </w:r>
            <w:r w:rsidRPr="006E4244">
              <w:rPr>
                <w:rFonts w:ascii="Times New Roman" w:eastAsiaTheme="minorEastAsia" w:hAnsi="Times New Roman"/>
                <w:sz w:val="28"/>
                <w:szCs w:val="28"/>
              </w:rPr>
              <w:t>《电热恒温水浴锅校准规范》。这些校准规范针对单列孔、双列孔及内腔为长方形的水浴锅编制了校验方法或校准规范。但由于水浴锅的样式多样，这些校准规范对内腔为圆形及其它形状的</w:t>
            </w:r>
            <w:proofErr w:type="gramStart"/>
            <w:r w:rsidRPr="006E4244">
              <w:rPr>
                <w:rFonts w:ascii="Times New Roman" w:eastAsiaTheme="minorEastAsia" w:hAnsi="Times New Roman"/>
                <w:sz w:val="28"/>
                <w:szCs w:val="28"/>
              </w:rPr>
              <w:lastRenderedPageBreak/>
              <w:t>水浴锅还不能</w:t>
            </w:r>
            <w:proofErr w:type="gramEnd"/>
            <w:r w:rsidRPr="006E4244">
              <w:rPr>
                <w:rFonts w:ascii="Times New Roman" w:eastAsiaTheme="minorEastAsia" w:hAnsi="Times New Roman"/>
                <w:sz w:val="28"/>
                <w:szCs w:val="28"/>
              </w:rPr>
              <w:t>明确指导校准工作。另外</w:t>
            </w:r>
            <w:r w:rsidRPr="006E4244">
              <w:rPr>
                <w:rFonts w:ascii="Times New Roman" w:eastAsiaTheme="minorEastAsia" w:hAnsi="Times New Roman"/>
                <w:sz w:val="28"/>
                <w:szCs w:val="28"/>
              </w:rPr>
              <w:t>SL 144.6-2008</w:t>
            </w:r>
            <w:r w:rsidRPr="006E4244">
              <w:rPr>
                <w:rFonts w:ascii="Times New Roman" w:eastAsiaTheme="minorEastAsia" w:hAnsi="Times New Roman"/>
                <w:sz w:val="28"/>
                <w:szCs w:val="28"/>
              </w:rPr>
              <w:t>、</w:t>
            </w:r>
            <w:r w:rsidRPr="006E4244">
              <w:rPr>
                <w:rFonts w:ascii="Times New Roman" w:eastAsiaTheme="minorEastAsia" w:hAnsi="Times New Roman"/>
                <w:sz w:val="28"/>
                <w:szCs w:val="28"/>
              </w:rPr>
              <w:t>JJF(</w:t>
            </w:r>
            <w:r w:rsidRPr="006E4244">
              <w:rPr>
                <w:rFonts w:ascii="Times New Roman" w:eastAsiaTheme="minorEastAsia" w:hAnsi="Times New Roman"/>
                <w:sz w:val="28"/>
                <w:szCs w:val="28"/>
              </w:rPr>
              <w:t>辽</w:t>
            </w:r>
            <w:r w:rsidRPr="006E4244">
              <w:rPr>
                <w:rFonts w:ascii="Times New Roman" w:eastAsiaTheme="minorEastAsia" w:hAnsi="Times New Roman"/>
                <w:sz w:val="28"/>
                <w:szCs w:val="28"/>
              </w:rPr>
              <w:t>) 118- 2011</w:t>
            </w:r>
            <w:r w:rsidRPr="006E4244">
              <w:rPr>
                <w:rFonts w:ascii="Times New Roman" w:eastAsiaTheme="minorEastAsia" w:hAnsi="Times New Roman"/>
                <w:sz w:val="28"/>
                <w:szCs w:val="28"/>
              </w:rPr>
              <w:t>、</w:t>
            </w:r>
            <w:r w:rsidRPr="006E4244">
              <w:rPr>
                <w:rFonts w:ascii="Times New Roman" w:eastAsiaTheme="minorEastAsia" w:hAnsi="Times New Roman"/>
                <w:sz w:val="28"/>
                <w:szCs w:val="28"/>
              </w:rPr>
              <w:t>JJF(</w:t>
            </w:r>
            <w:r w:rsidRPr="006E4244">
              <w:rPr>
                <w:rFonts w:ascii="Times New Roman" w:eastAsiaTheme="minorEastAsia" w:hAnsi="Times New Roman"/>
                <w:sz w:val="28"/>
                <w:szCs w:val="28"/>
              </w:rPr>
              <w:t>新</w:t>
            </w:r>
            <w:r w:rsidRPr="006E4244">
              <w:rPr>
                <w:rFonts w:ascii="Times New Roman" w:eastAsiaTheme="minorEastAsia" w:hAnsi="Times New Roman"/>
                <w:sz w:val="28"/>
                <w:szCs w:val="28"/>
              </w:rPr>
              <w:t>)08-2017</w:t>
            </w:r>
            <w:r w:rsidRPr="006E4244">
              <w:rPr>
                <w:rFonts w:ascii="Times New Roman" w:eastAsiaTheme="minorEastAsia" w:hAnsi="Times New Roman"/>
                <w:sz w:val="28"/>
                <w:szCs w:val="28"/>
              </w:rPr>
              <w:t>还存在温度偏差、温度均匀性、温度波动度的测试计算方法不能完全反映水浴锅的性能指标问题，</w:t>
            </w:r>
            <w:r w:rsidRPr="006E4244">
              <w:rPr>
                <w:rFonts w:ascii="Times New Roman" w:eastAsiaTheme="minorEastAsia" w:hAnsi="Times New Roman"/>
                <w:sz w:val="28"/>
                <w:szCs w:val="28"/>
              </w:rPr>
              <w:t>JJF(</w:t>
            </w:r>
            <w:r w:rsidRPr="006E4244">
              <w:rPr>
                <w:rFonts w:ascii="Times New Roman" w:eastAsiaTheme="minorEastAsia" w:hAnsi="Times New Roman"/>
                <w:sz w:val="28"/>
                <w:szCs w:val="28"/>
              </w:rPr>
              <w:t>闽</w:t>
            </w:r>
            <w:r w:rsidRPr="006E4244">
              <w:rPr>
                <w:rFonts w:ascii="Times New Roman" w:eastAsiaTheme="minorEastAsia" w:hAnsi="Times New Roman"/>
                <w:sz w:val="28"/>
                <w:szCs w:val="28"/>
              </w:rPr>
              <w:t>)1094-2018</w:t>
            </w:r>
            <w:r w:rsidRPr="006E4244">
              <w:rPr>
                <w:rFonts w:ascii="Times New Roman" w:eastAsiaTheme="minorEastAsia" w:hAnsi="Times New Roman"/>
                <w:sz w:val="28"/>
                <w:szCs w:val="28"/>
              </w:rPr>
              <w:t>存在测温点的布置没有将水浴锅的工作区域覆盖全等问题。</w:t>
            </w:r>
          </w:p>
        </w:tc>
      </w:tr>
      <w:tr w:rsidR="00773F59" w:rsidRPr="006E4244" w14:paraId="3574008D" w14:textId="77777777">
        <w:trPr>
          <w:trHeight w:val="2828"/>
          <w:jc w:val="center"/>
        </w:trPr>
        <w:tc>
          <w:tcPr>
            <w:tcW w:w="822" w:type="dxa"/>
            <w:tcBorders>
              <w:top w:val="single" w:sz="4" w:space="0" w:color="auto"/>
              <w:left w:val="single" w:sz="4" w:space="0" w:color="auto"/>
              <w:bottom w:val="single" w:sz="4" w:space="0" w:color="auto"/>
              <w:right w:val="single" w:sz="4" w:space="0" w:color="auto"/>
            </w:tcBorders>
            <w:vAlign w:val="center"/>
          </w:tcPr>
          <w:p w14:paraId="2DF7DEC9"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lastRenderedPageBreak/>
              <w:t>主要</w:t>
            </w:r>
          </w:p>
          <w:p w14:paraId="192A8995"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FECD453" w14:textId="77777777" w:rsidR="00773F59" w:rsidRPr="006E4244" w:rsidRDefault="00773F59">
            <w:pPr>
              <w:spacing w:line="500" w:lineRule="exact"/>
              <w:jc w:val="center"/>
              <w:rPr>
                <w:rFonts w:ascii="Times New Roman" w:eastAsiaTheme="minorEastAsia" w:hAnsi="Times New Roman"/>
                <w:sz w:val="24"/>
              </w:rPr>
            </w:pPr>
          </w:p>
          <w:p w14:paraId="0B9A3AAA" w14:textId="77777777" w:rsidR="00773F59" w:rsidRPr="006E4244" w:rsidRDefault="00773F59">
            <w:pPr>
              <w:spacing w:line="500" w:lineRule="exact"/>
              <w:jc w:val="center"/>
              <w:rPr>
                <w:rFonts w:ascii="Times New Roman" w:eastAsiaTheme="minorEastAsia" w:hAnsi="Times New Roman"/>
                <w:sz w:val="24"/>
              </w:rPr>
            </w:pPr>
          </w:p>
          <w:p w14:paraId="36C93C50"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（签字、盖公章）</w:t>
            </w:r>
          </w:p>
          <w:p w14:paraId="611B9783"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 xml:space="preserve">  </w:t>
            </w:r>
          </w:p>
          <w:p w14:paraId="7A905D3E" w14:textId="77777777" w:rsidR="00773F59" w:rsidRPr="006E4244" w:rsidRDefault="00773F59">
            <w:pPr>
              <w:spacing w:line="500" w:lineRule="exact"/>
              <w:jc w:val="center"/>
              <w:rPr>
                <w:rFonts w:ascii="Times New Roman" w:eastAsiaTheme="minorEastAsia" w:hAnsi="Times New Roman"/>
                <w:sz w:val="24"/>
              </w:rPr>
            </w:pPr>
          </w:p>
          <w:p w14:paraId="0F561FDE"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 xml:space="preserve"> 12</w:t>
            </w:r>
            <w:r w:rsidRPr="006E4244">
              <w:rPr>
                <w:rFonts w:ascii="Times New Roman" w:eastAsiaTheme="minorEastAsia" w:hAnsi="Times New Roman"/>
                <w:sz w:val="24"/>
              </w:rPr>
              <w:t>月</w:t>
            </w:r>
            <w:r w:rsidRPr="006E4244">
              <w:rPr>
                <w:rFonts w:ascii="Times New Roman" w:eastAsiaTheme="minorEastAsia" w:hAnsi="Times New Roman"/>
                <w:sz w:val="24"/>
              </w:rPr>
              <w:t xml:space="preserve">23 </w:t>
            </w:r>
            <w:r w:rsidRPr="006E4244">
              <w:rPr>
                <w:rFonts w:ascii="Times New Roman" w:eastAsiaTheme="minorEastAsia" w:hAnsi="Times New Roman"/>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14:paraId="7611435D"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技术</w:t>
            </w:r>
          </w:p>
          <w:p w14:paraId="0F523E13"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12418F8" w14:textId="77777777" w:rsidR="00773F59" w:rsidRPr="006E4244" w:rsidRDefault="00773F59">
            <w:pPr>
              <w:spacing w:line="500" w:lineRule="exact"/>
              <w:jc w:val="center"/>
              <w:rPr>
                <w:rFonts w:ascii="Times New Roman" w:eastAsiaTheme="minorEastAsia" w:hAnsi="Times New Roman"/>
                <w:sz w:val="24"/>
              </w:rPr>
            </w:pPr>
          </w:p>
          <w:p w14:paraId="40DED988" w14:textId="77777777" w:rsidR="00773F59" w:rsidRPr="006E4244" w:rsidRDefault="00773F59">
            <w:pPr>
              <w:spacing w:line="500" w:lineRule="exact"/>
              <w:jc w:val="center"/>
              <w:rPr>
                <w:rFonts w:ascii="Times New Roman" w:eastAsiaTheme="minorEastAsia" w:hAnsi="Times New Roman"/>
                <w:sz w:val="24"/>
              </w:rPr>
            </w:pPr>
          </w:p>
          <w:p w14:paraId="404BFE6A"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（签字、盖公章）</w:t>
            </w:r>
          </w:p>
          <w:p w14:paraId="3E6BF157" w14:textId="77777777" w:rsidR="00773F59" w:rsidRPr="006E4244" w:rsidRDefault="00773F59">
            <w:pPr>
              <w:spacing w:line="500" w:lineRule="exact"/>
              <w:jc w:val="center"/>
              <w:rPr>
                <w:rFonts w:ascii="Times New Roman" w:eastAsiaTheme="minorEastAsia" w:hAnsi="Times New Roman"/>
                <w:sz w:val="24"/>
              </w:rPr>
            </w:pPr>
          </w:p>
          <w:p w14:paraId="4E165F5C" w14:textId="77777777" w:rsidR="00773F59" w:rsidRPr="006E4244" w:rsidRDefault="00773F59">
            <w:pPr>
              <w:spacing w:line="500" w:lineRule="exact"/>
              <w:jc w:val="center"/>
              <w:rPr>
                <w:rFonts w:ascii="Times New Roman" w:eastAsiaTheme="minorEastAsia" w:hAnsi="Times New Roman"/>
                <w:sz w:val="24"/>
              </w:rPr>
            </w:pPr>
          </w:p>
          <w:p w14:paraId="4B553492"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月</w:t>
            </w:r>
            <w:r w:rsidRPr="006E4244">
              <w:rPr>
                <w:rFonts w:ascii="Times New Roman" w:eastAsiaTheme="minorEastAsia" w:hAnsi="Times New Roman"/>
                <w:sz w:val="24"/>
              </w:rPr>
              <w:t xml:space="preserve">  </w:t>
            </w:r>
            <w:r w:rsidRPr="006E4244">
              <w:rPr>
                <w:rFonts w:ascii="Times New Roman" w:eastAsiaTheme="minorEastAsia" w:hAnsi="Times New Roman"/>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14:paraId="1ECEB150"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部委托</w:t>
            </w:r>
          </w:p>
          <w:p w14:paraId="7A750F98"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支撑</w:t>
            </w:r>
          </w:p>
          <w:p w14:paraId="77E429A2"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071E2FF4" w14:textId="77777777" w:rsidR="00773F59" w:rsidRPr="006E4244" w:rsidRDefault="00773F59">
            <w:pPr>
              <w:spacing w:line="500" w:lineRule="exact"/>
              <w:jc w:val="center"/>
              <w:rPr>
                <w:rFonts w:ascii="Times New Roman" w:eastAsiaTheme="minorEastAsia" w:hAnsi="Times New Roman"/>
                <w:sz w:val="24"/>
              </w:rPr>
            </w:pPr>
          </w:p>
          <w:p w14:paraId="2C22601C" w14:textId="77777777" w:rsidR="00773F59" w:rsidRPr="006E4244" w:rsidRDefault="00773F59">
            <w:pPr>
              <w:spacing w:line="500" w:lineRule="exact"/>
              <w:jc w:val="center"/>
              <w:rPr>
                <w:rFonts w:ascii="Times New Roman" w:eastAsiaTheme="minorEastAsia" w:hAnsi="Times New Roman"/>
                <w:sz w:val="24"/>
              </w:rPr>
            </w:pPr>
          </w:p>
          <w:p w14:paraId="3DCDDC0D"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（签字、盖公章）</w:t>
            </w:r>
          </w:p>
          <w:p w14:paraId="1D7FBC4F" w14:textId="77777777" w:rsidR="00773F59" w:rsidRPr="006E4244" w:rsidRDefault="00773F59">
            <w:pPr>
              <w:spacing w:line="500" w:lineRule="exact"/>
              <w:jc w:val="center"/>
              <w:rPr>
                <w:rFonts w:ascii="Times New Roman" w:eastAsiaTheme="minorEastAsia" w:hAnsi="Times New Roman"/>
                <w:sz w:val="24"/>
              </w:rPr>
            </w:pPr>
          </w:p>
          <w:p w14:paraId="4867F785" w14:textId="77777777" w:rsidR="00773F59" w:rsidRPr="006E4244" w:rsidRDefault="00773F59">
            <w:pPr>
              <w:spacing w:line="500" w:lineRule="exact"/>
              <w:jc w:val="center"/>
              <w:rPr>
                <w:rFonts w:ascii="Times New Roman" w:eastAsiaTheme="minorEastAsia" w:hAnsi="Times New Roman"/>
                <w:sz w:val="24"/>
              </w:rPr>
            </w:pPr>
          </w:p>
          <w:p w14:paraId="578F7478" w14:textId="77777777" w:rsidR="00773F59" w:rsidRPr="006E4244" w:rsidRDefault="001E494E">
            <w:pPr>
              <w:spacing w:line="500" w:lineRule="exact"/>
              <w:jc w:val="center"/>
              <w:rPr>
                <w:rFonts w:ascii="Times New Roman" w:eastAsiaTheme="minorEastAsia" w:hAnsi="Times New Roman"/>
                <w:sz w:val="24"/>
              </w:rPr>
            </w:pPr>
            <w:r w:rsidRPr="006E4244">
              <w:rPr>
                <w:rFonts w:ascii="Times New Roman" w:eastAsiaTheme="minorEastAsia" w:hAnsi="Times New Roman"/>
                <w:sz w:val="24"/>
              </w:rPr>
              <w:t>月</w:t>
            </w:r>
            <w:r w:rsidRPr="006E4244">
              <w:rPr>
                <w:rFonts w:ascii="Times New Roman" w:eastAsiaTheme="minorEastAsia" w:hAnsi="Times New Roman"/>
                <w:sz w:val="24"/>
              </w:rPr>
              <w:t xml:space="preserve">  </w:t>
            </w:r>
            <w:r w:rsidRPr="006E4244">
              <w:rPr>
                <w:rFonts w:ascii="Times New Roman" w:eastAsiaTheme="minorEastAsia" w:hAnsi="Times New Roman"/>
                <w:sz w:val="24"/>
              </w:rPr>
              <w:t>日</w:t>
            </w:r>
          </w:p>
        </w:tc>
      </w:tr>
    </w:tbl>
    <w:p w14:paraId="3E45FCB6" w14:textId="77777777" w:rsidR="00773F59" w:rsidRPr="006E4244" w:rsidRDefault="001E494E">
      <w:pPr>
        <w:rPr>
          <w:rFonts w:ascii="Times New Roman" w:eastAsiaTheme="minorEastAsia" w:hAnsi="Times New Roman"/>
        </w:rPr>
      </w:pPr>
      <w:r w:rsidRPr="006E4244">
        <w:rPr>
          <w:rFonts w:ascii="Times New Roman" w:eastAsiaTheme="minorEastAsia" w:hAnsi="Times New Roman"/>
        </w:rPr>
        <w:t>填写说明：</w:t>
      </w:r>
      <w:r w:rsidRPr="006E4244">
        <w:rPr>
          <w:rFonts w:ascii="Times New Roman" w:eastAsiaTheme="minorEastAsia" w:hAnsi="Times New Roman"/>
        </w:rPr>
        <w:t>1.</w:t>
      </w:r>
      <w:r w:rsidRPr="006E4244">
        <w:rPr>
          <w:rFonts w:ascii="Times New Roman" w:eastAsiaTheme="minorEastAsia" w:hAnsi="Times New Roman"/>
        </w:rPr>
        <w:t>表中第</w:t>
      </w:r>
      <w:r w:rsidRPr="006E4244">
        <w:rPr>
          <w:rFonts w:ascii="Times New Roman" w:eastAsiaTheme="minorEastAsia" w:hAnsi="Times New Roman"/>
        </w:rPr>
        <w:t>2</w:t>
      </w:r>
      <w:r w:rsidRPr="006E4244">
        <w:rPr>
          <w:rFonts w:ascii="Times New Roman" w:eastAsiaTheme="minorEastAsia" w:hAnsi="Times New Roman"/>
        </w:rPr>
        <w:t>，</w:t>
      </w:r>
      <w:r w:rsidRPr="006E4244">
        <w:rPr>
          <w:rFonts w:ascii="Times New Roman" w:eastAsiaTheme="minorEastAsia" w:hAnsi="Times New Roman"/>
        </w:rPr>
        <w:t>3</w:t>
      </w:r>
      <w:r w:rsidRPr="006E4244">
        <w:rPr>
          <w:rFonts w:ascii="Times New Roman" w:eastAsiaTheme="minorEastAsia" w:hAnsi="Times New Roman"/>
        </w:rPr>
        <w:t>，</w:t>
      </w:r>
      <w:r w:rsidRPr="006E4244">
        <w:rPr>
          <w:rFonts w:ascii="Times New Roman" w:eastAsiaTheme="minorEastAsia" w:hAnsi="Times New Roman"/>
        </w:rPr>
        <w:t>8</w:t>
      </w:r>
      <w:r w:rsidRPr="006E4244">
        <w:rPr>
          <w:rFonts w:ascii="Times New Roman" w:eastAsiaTheme="minorEastAsia" w:hAnsi="Times New Roman"/>
        </w:rPr>
        <w:t>行，请在选定的内容上填写</w:t>
      </w:r>
      <w:r w:rsidRPr="006E4244">
        <w:rPr>
          <w:rFonts w:ascii="Times New Roman" w:eastAsiaTheme="minorEastAsia" w:hAnsi="Times New Roman"/>
        </w:rPr>
        <w:t xml:space="preserve"> “█”</w:t>
      </w:r>
      <w:r w:rsidRPr="006E4244">
        <w:rPr>
          <w:rFonts w:ascii="Times New Roman" w:eastAsiaTheme="minorEastAsia" w:hAnsi="Times New Roman"/>
        </w:rPr>
        <w:t>的符号。</w:t>
      </w:r>
    </w:p>
    <w:p w14:paraId="1DFCA3A4" w14:textId="77777777" w:rsidR="00773F59" w:rsidRPr="006E4244" w:rsidRDefault="001E494E">
      <w:pPr>
        <w:rPr>
          <w:rFonts w:ascii="Times New Roman" w:eastAsiaTheme="minorEastAsia" w:hAnsi="Times New Roman"/>
          <w:szCs w:val="21"/>
        </w:rPr>
      </w:pPr>
      <w:r w:rsidRPr="006E4244">
        <w:rPr>
          <w:rFonts w:ascii="Times New Roman" w:eastAsiaTheme="minorEastAsia" w:hAnsi="Times New Roman"/>
        </w:rPr>
        <w:t xml:space="preserve">          </w:t>
      </w:r>
      <w:r w:rsidRPr="006E4244">
        <w:rPr>
          <w:rFonts w:ascii="Times New Roman" w:eastAsiaTheme="minorEastAsia" w:hAnsi="Times New Roman"/>
          <w:szCs w:val="21"/>
        </w:rPr>
        <w:t>2.</w:t>
      </w:r>
      <w:r w:rsidRPr="006E4244">
        <w:rPr>
          <w:rFonts w:ascii="Times New Roman" w:eastAsiaTheme="minorEastAsia" w:hAnsi="Times New Roman"/>
          <w:szCs w:val="21"/>
        </w:rPr>
        <w:t>填写制定或修订项目中，若选择修订则必须填写被修订计量技术规范号。</w:t>
      </w:r>
    </w:p>
    <w:p w14:paraId="001E9609" w14:textId="77777777" w:rsidR="00773F59" w:rsidRPr="006E4244" w:rsidRDefault="00773F59">
      <w:pPr>
        <w:rPr>
          <w:rFonts w:ascii="Times New Roman" w:eastAsiaTheme="minorEastAsia" w:hAnsi="Times New Roman"/>
        </w:rPr>
      </w:pPr>
    </w:p>
    <w:sectPr w:rsidR="00773F59" w:rsidRPr="006E424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15B84D" w14:textId="77777777" w:rsidR="00262953" w:rsidRDefault="00262953" w:rsidP="00265399">
      <w:r>
        <w:separator/>
      </w:r>
    </w:p>
  </w:endnote>
  <w:endnote w:type="continuationSeparator" w:id="0">
    <w:p w14:paraId="7E247FD5" w14:textId="77777777" w:rsidR="00262953" w:rsidRDefault="00262953" w:rsidP="0026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08D8B" w14:textId="77777777" w:rsidR="00262953" w:rsidRDefault="00262953" w:rsidP="00265399">
      <w:r>
        <w:separator/>
      </w:r>
    </w:p>
  </w:footnote>
  <w:footnote w:type="continuationSeparator" w:id="0">
    <w:p w14:paraId="51052DD3" w14:textId="77777777" w:rsidR="00262953" w:rsidRDefault="00262953" w:rsidP="00265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AAE6AE3"/>
    <w:multiLevelType w:val="singleLevel"/>
    <w:tmpl w:val="BAAE6AE3"/>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82A"/>
    <w:rsid w:val="00061EF9"/>
    <w:rsid w:val="0006791C"/>
    <w:rsid w:val="000B2C87"/>
    <w:rsid w:val="000B76A7"/>
    <w:rsid w:val="001327BF"/>
    <w:rsid w:val="00137D53"/>
    <w:rsid w:val="00142C97"/>
    <w:rsid w:val="00165CF4"/>
    <w:rsid w:val="00191A23"/>
    <w:rsid w:val="001A6319"/>
    <w:rsid w:val="001B1109"/>
    <w:rsid w:val="001C7479"/>
    <w:rsid w:val="001D6492"/>
    <w:rsid w:val="001E494E"/>
    <w:rsid w:val="001F0266"/>
    <w:rsid w:val="001F1E15"/>
    <w:rsid w:val="00220765"/>
    <w:rsid w:val="00224E9C"/>
    <w:rsid w:val="002361A8"/>
    <w:rsid w:val="002363D3"/>
    <w:rsid w:val="0024351E"/>
    <w:rsid w:val="00262953"/>
    <w:rsid w:val="00265399"/>
    <w:rsid w:val="002A52DC"/>
    <w:rsid w:val="002C2E4A"/>
    <w:rsid w:val="002D0B8E"/>
    <w:rsid w:val="002E2E3A"/>
    <w:rsid w:val="002F3111"/>
    <w:rsid w:val="00320121"/>
    <w:rsid w:val="003813B1"/>
    <w:rsid w:val="00392077"/>
    <w:rsid w:val="00397A98"/>
    <w:rsid w:val="003C5E0E"/>
    <w:rsid w:val="0045334C"/>
    <w:rsid w:val="00473281"/>
    <w:rsid w:val="004F2F0A"/>
    <w:rsid w:val="00503107"/>
    <w:rsid w:val="00516D40"/>
    <w:rsid w:val="0055687F"/>
    <w:rsid w:val="005774D1"/>
    <w:rsid w:val="005B43B7"/>
    <w:rsid w:val="00637109"/>
    <w:rsid w:val="00641058"/>
    <w:rsid w:val="00643672"/>
    <w:rsid w:val="00647228"/>
    <w:rsid w:val="006574E4"/>
    <w:rsid w:val="00681DE2"/>
    <w:rsid w:val="00683E3B"/>
    <w:rsid w:val="006E4244"/>
    <w:rsid w:val="0075669B"/>
    <w:rsid w:val="00773F59"/>
    <w:rsid w:val="007F4C71"/>
    <w:rsid w:val="00823986"/>
    <w:rsid w:val="00851BC6"/>
    <w:rsid w:val="008C6D89"/>
    <w:rsid w:val="008E14B4"/>
    <w:rsid w:val="00927B91"/>
    <w:rsid w:val="009773E1"/>
    <w:rsid w:val="00980C76"/>
    <w:rsid w:val="009D7AFC"/>
    <w:rsid w:val="00A029F9"/>
    <w:rsid w:val="00A26A8F"/>
    <w:rsid w:val="00A515A1"/>
    <w:rsid w:val="00A972F2"/>
    <w:rsid w:val="00AB2D0B"/>
    <w:rsid w:val="00AC1616"/>
    <w:rsid w:val="00AF6CE9"/>
    <w:rsid w:val="00B17841"/>
    <w:rsid w:val="00B24859"/>
    <w:rsid w:val="00B36306"/>
    <w:rsid w:val="00B47AAE"/>
    <w:rsid w:val="00B62EE9"/>
    <w:rsid w:val="00B73443"/>
    <w:rsid w:val="00BB04B5"/>
    <w:rsid w:val="00BB3BAA"/>
    <w:rsid w:val="00BD1D8A"/>
    <w:rsid w:val="00BD4ABD"/>
    <w:rsid w:val="00BD59EB"/>
    <w:rsid w:val="00C4561D"/>
    <w:rsid w:val="00C500B4"/>
    <w:rsid w:val="00C6562D"/>
    <w:rsid w:val="00C73A6F"/>
    <w:rsid w:val="00C91BE8"/>
    <w:rsid w:val="00CD0CA1"/>
    <w:rsid w:val="00CF770F"/>
    <w:rsid w:val="00D311E0"/>
    <w:rsid w:val="00D37236"/>
    <w:rsid w:val="00D40D04"/>
    <w:rsid w:val="00DA4C2A"/>
    <w:rsid w:val="00E061A0"/>
    <w:rsid w:val="00E64E76"/>
    <w:rsid w:val="00EB192E"/>
    <w:rsid w:val="00EB250E"/>
    <w:rsid w:val="00F0076E"/>
    <w:rsid w:val="00F23DCA"/>
    <w:rsid w:val="00F27F87"/>
    <w:rsid w:val="00F6682A"/>
    <w:rsid w:val="00F80AC1"/>
    <w:rsid w:val="00F937B3"/>
    <w:rsid w:val="00F940EC"/>
    <w:rsid w:val="00FB5C0E"/>
    <w:rsid w:val="00FF1C29"/>
    <w:rsid w:val="0AFD5758"/>
    <w:rsid w:val="0DAA3E3B"/>
    <w:rsid w:val="13493D76"/>
    <w:rsid w:val="13EF56C2"/>
    <w:rsid w:val="147A54F3"/>
    <w:rsid w:val="204C1F36"/>
    <w:rsid w:val="22C30C70"/>
    <w:rsid w:val="248D026B"/>
    <w:rsid w:val="360A5764"/>
    <w:rsid w:val="392B6AFF"/>
    <w:rsid w:val="3A073CC1"/>
    <w:rsid w:val="3B4E2D98"/>
    <w:rsid w:val="3C0E6824"/>
    <w:rsid w:val="3FAD5018"/>
    <w:rsid w:val="42A22F06"/>
    <w:rsid w:val="458230B3"/>
    <w:rsid w:val="46460EFD"/>
    <w:rsid w:val="48435518"/>
    <w:rsid w:val="4DC201F6"/>
    <w:rsid w:val="519B0055"/>
    <w:rsid w:val="52D21EFE"/>
    <w:rsid w:val="547856DC"/>
    <w:rsid w:val="71F7373A"/>
    <w:rsid w:val="75B43460"/>
    <w:rsid w:val="7D8D4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BB3F95"/>
  <w15:docId w15:val="{23D510F2-0B78-43C0-B247-C56477511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spacing w:before="100" w:beforeAutospacing="1" w:after="100" w:afterAutospacing="1"/>
      <w:jc w:val="left"/>
    </w:pPr>
    <w:rPr>
      <w:rFonts w:ascii="Times New Roman" w:eastAsia="宋体" w:hAnsi="Times New Roman"/>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semiHidden/>
    <w:unhideWhenUsed/>
    <w:qFormat/>
    <w:rPr>
      <w:color w:val="0000FF"/>
      <w:u w:val="single"/>
    </w:rPr>
  </w:style>
  <w:style w:type="character" w:styleId="af0">
    <w:name w:val="annotation reference"/>
    <w:basedOn w:val="a0"/>
    <w:uiPriority w:val="99"/>
    <w:semiHidden/>
    <w:unhideWhenUsed/>
    <w:qFormat/>
    <w:rPr>
      <w:sz w:val="21"/>
      <w:szCs w:val="21"/>
    </w:rPr>
  </w:style>
  <w:style w:type="paragraph" w:customStyle="1" w:styleId="1">
    <w:name w:val="列表段落1"/>
    <w:basedOn w:val="a"/>
    <w:uiPriority w:val="99"/>
    <w:qFormat/>
    <w:pPr>
      <w:ind w:firstLineChars="200" w:firstLine="420"/>
    </w:pPr>
  </w:style>
  <w:style w:type="character" w:customStyle="1" w:styleId="aa">
    <w:name w:val="页眉 字符"/>
    <w:basedOn w:val="a0"/>
    <w:link w:val="a9"/>
    <w:uiPriority w:val="99"/>
    <w:semiHidden/>
    <w:rPr>
      <w:sz w:val="18"/>
      <w:szCs w:val="18"/>
    </w:rPr>
  </w:style>
  <w:style w:type="character" w:customStyle="1" w:styleId="a8">
    <w:name w:val="页脚 字符"/>
    <w:basedOn w:val="a0"/>
    <w:link w:val="a7"/>
    <w:uiPriority w:val="99"/>
    <w:semiHidden/>
    <w:qFormat/>
    <w:rPr>
      <w:sz w:val="18"/>
      <w:szCs w:val="18"/>
    </w:rPr>
  </w:style>
  <w:style w:type="character" w:customStyle="1" w:styleId="a4">
    <w:name w:val="批注文字 字符"/>
    <w:basedOn w:val="a0"/>
    <w:link w:val="a3"/>
    <w:uiPriority w:val="99"/>
    <w:semiHidden/>
    <w:qFormat/>
    <w:rPr>
      <w:rFonts w:ascii="等线" w:eastAsia="等线" w:hAnsi="等线"/>
      <w:kern w:val="2"/>
      <w:sz w:val="21"/>
      <w:szCs w:val="22"/>
    </w:rPr>
  </w:style>
  <w:style w:type="character" w:customStyle="1" w:styleId="ad">
    <w:name w:val="批注主题 字符"/>
    <w:basedOn w:val="a4"/>
    <w:link w:val="ac"/>
    <w:uiPriority w:val="99"/>
    <w:semiHidden/>
    <w:qFormat/>
    <w:rPr>
      <w:rFonts w:ascii="等线" w:eastAsia="等线" w:hAnsi="等线"/>
      <w:b/>
      <w:bCs/>
      <w:kern w:val="2"/>
      <w:sz w:val="21"/>
      <w:szCs w:val="22"/>
    </w:rPr>
  </w:style>
  <w:style w:type="character" w:customStyle="1" w:styleId="a6">
    <w:name w:val="批注框文本 字符"/>
    <w:basedOn w:val="a0"/>
    <w:link w:val="a5"/>
    <w:uiPriority w:val="99"/>
    <w:semiHidden/>
    <w:qFormat/>
    <w:rPr>
      <w:rFonts w:ascii="等线" w:eastAsia="等线" w:hAnsi="等线"/>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baike.baidu.com/item/%E6%81%92%E6%B8%A9/285317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and tracy</dc:creator>
  <cp:lastModifiedBy> </cp:lastModifiedBy>
  <cp:revision>7</cp:revision>
  <cp:lastPrinted>2021-02-01T06:15:00Z</cp:lastPrinted>
  <dcterms:created xsi:type="dcterms:W3CDTF">2020-11-04T07:24:00Z</dcterms:created>
  <dcterms:modified xsi:type="dcterms:W3CDTF">2021-02-08T02:09:00Z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