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hAnsi="宋体"/>
          <w:sz w:val="28"/>
          <w:szCs w:val="24"/>
        </w:rPr>
      </w:pPr>
    </w:p>
    <w:p>
      <w:pPr>
        <w:tabs>
          <w:tab w:val="left" w:pos="720"/>
        </w:tabs>
        <w:autoSpaceDE w:val="0"/>
        <w:autoSpaceDN w:val="0"/>
        <w:adjustRightInd w:val="0"/>
        <w:ind w:left="352" w:right="18" w:hanging="180"/>
        <w:jc w:val="right"/>
        <w:rPr>
          <w:rFonts w:ascii="宋体" w:hAnsi="宋体"/>
          <w:sz w:val="28"/>
          <w:szCs w:val="24"/>
        </w:rPr>
      </w:pPr>
      <w:r>
        <w:rPr>
          <w:rFonts w:hint="eastAsia" w:ascii="宋体" w:hAnsi="宋体"/>
          <w:sz w:val="28"/>
          <w:szCs w:val="24"/>
        </w:rPr>
        <w:t>编号：（X）XK0</w:t>
      </w:r>
      <w:r>
        <w:rPr>
          <w:rFonts w:ascii="宋体" w:hAnsi="宋体"/>
          <w:sz w:val="28"/>
          <w:szCs w:val="24"/>
        </w:rPr>
        <w:t>8</w:t>
      </w:r>
      <w:r>
        <w:rPr>
          <w:rFonts w:hint="eastAsia" w:ascii="宋体" w:hAnsi="宋体"/>
          <w:sz w:val="28"/>
          <w:szCs w:val="24"/>
        </w:rPr>
        <w:t>-001</w:t>
      </w: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水泥产品生产许可证实施细则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p>
    <w:p>
      <w:pPr>
        <w:tabs>
          <w:tab w:val="left" w:pos="720"/>
        </w:tabs>
        <w:autoSpaceDE w:val="0"/>
        <w:autoSpaceDN w:val="0"/>
        <w:adjustRightInd w:val="0"/>
        <w:ind w:left="352" w:right="18" w:hanging="180"/>
        <w:jc w:val="center"/>
        <w:rPr>
          <w:rFonts w:ascii="宋体" w:hAnsi="宋体"/>
          <w:b/>
          <w:bCs/>
          <w:kern w:val="0"/>
          <w:sz w:val="44"/>
          <w:szCs w:val="32"/>
        </w:rPr>
      </w:pP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tabs>
          <w:tab w:val="left" w:pos="720"/>
        </w:tabs>
        <w:autoSpaceDE w:val="0"/>
        <w:autoSpaceDN w:val="0"/>
        <w:adjustRightInd w:val="0"/>
        <w:ind w:left="352" w:right="18" w:hanging="180"/>
        <w:jc w:val="center"/>
        <w:rPr>
          <w:rFonts w:ascii="宋体" w:hAnsi="宋体"/>
          <w:kern w:val="0"/>
          <w:sz w:val="44"/>
          <w:szCs w:val="32"/>
        </w:rPr>
      </w:pPr>
    </w:p>
    <w:p>
      <w:pPr>
        <w:tabs>
          <w:tab w:val="left" w:pos="720"/>
        </w:tabs>
        <w:autoSpaceDE w:val="0"/>
        <w:autoSpaceDN w:val="0"/>
        <w:adjustRightInd w:val="0"/>
        <w:ind w:left="352" w:right="18" w:hanging="180"/>
        <w:jc w:val="center"/>
        <w:rPr>
          <w:rFonts w:ascii="MS+Sans+Serif" w:eastAsia="MS+Sans+Serif"/>
          <w:kern w:val="0"/>
          <w:sz w:val="32"/>
          <w:szCs w:val="32"/>
        </w:rPr>
      </w:pPr>
    </w:p>
    <w:p>
      <w:pPr>
        <w:tabs>
          <w:tab w:val="left" w:pos="720"/>
        </w:tabs>
        <w:autoSpaceDE w:val="0"/>
        <w:autoSpaceDN w:val="0"/>
        <w:adjustRightInd w:val="0"/>
        <w:ind w:left="352" w:right="18" w:hanging="180"/>
        <w:jc w:val="left"/>
        <w:rPr>
          <w:rFonts w:ascii="方正仿宋简体" w:eastAsia="方正仿宋简体"/>
          <w:b/>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spacing w:line="360" w:lineRule="auto"/>
        <w:ind w:firstLine="562" w:firstLineChars="200"/>
        <w:rPr>
          <w:rFonts w:ascii="宋体" w:hAnsi="宋体"/>
          <w:b/>
          <w:sz w:val="52"/>
        </w:rPr>
      </w:pP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 xml:space="preserve">公布                   </w:t>
      </w: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实施</w:t>
      </w:r>
    </w:p>
    <w:p>
      <w:pPr>
        <w:tabs>
          <w:tab w:val="left" w:pos="720"/>
        </w:tabs>
        <w:autoSpaceDE w:val="0"/>
        <w:autoSpaceDN w:val="0"/>
        <w:adjustRightInd w:val="0"/>
        <w:ind w:left="105" w:leftChars="50" w:right="18" w:firstLine="161" w:firstLineChars="50"/>
        <w:jc w:val="left"/>
        <w:rPr>
          <w:rFonts w:ascii="宋体" w:hAnsi="宋体"/>
          <w:b/>
          <w:kern w:val="0"/>
          <w:sz w:val="32"/>
          <w:szCs w:val="32"/>
        </w:rPr>
      </w:pPr>
      <w:r>
        <w:rPr>
          <w:rFonts w:ascii="宋体" w:hAnsi="宋体"/>
          <w:b/>
          <w:kern w:val="0"/>
          <w:sz w:val="32"/>
          <w:szCs w:val="32"/>
        </w:rPr>
        <mc:AlternateContent>
          <mc:Choice Requires="wps">
            <w:drawing>
              <wp:anchor distT="0" distB="0" distL="114300" distR="114300" simplePos="0" relativeHeight="251666432" behindDoc="0" locked="0" layoutInCell="1" allowOverlap="1">
                <wp:simplePos x="0" y="0"/>
                <wp:positionH relativeFrom="column">
                  <wp:posOffset>160655</wp:posOffset>
                </wp:positionH>
                <wp:positionV relativeFrom="paragraph">
                  <wp:posOffset>238125</wp:posOffset>
                </wp:positionV>
                <wp:extent cx="5532120" cy="0"/>
                <wp:effectExtent l="0" t="0" r="0" b="0"/>
                <wp:wrapNone/>
                <wp:docPr id="1" name="直线 14"/>
                <wp:cNvGraphicFramePr/>
                <a:graphic xmlns:a="http://schemas.openxmlformats.org/drawingml/2006/main">
                  <a:graphicData uri="http://schemas.microsoft.com/office/word/2010/wordprocessingShape">
                    <wps:wsp>
                      <wps:cNvCnPr/>
                      <wps:spPr bwMode="auto">
                        <a:xfrm flipV="1">
                          <a:off x="0" y="0"/>
                          <a:ext cx="5532120" cy="0"/>
                        </a:xfrm>
                        <a:prstGeom prst="line">
                          <a:avLst/>
                        </a:prstGeom>
                        <a:noFill/>
                        <a:ln w="19050">
                          <a:solidFill>
                            <a:srgbClr val="000000"/>
                          </a:solidFill>
                          <a:round/>
                        </a:ln>
                      </wps:spPr>
                      <wps:bodyPr/>
                    </wps:wsp>
                  </a:graphicData>
                </a:graphic>
              </wp:anchor>
            </w:drawing>
          </mc:Choice>
          <mc:Fallback>
            <w:pict>
              <v:line id="直线 14" o:spid="_x0000_s1026" o:spt="20" style="position:absolute;left:0pt;flip:y;margin-left:12.65pt;margin-top:18.75pt;height:0pt;width:435.6pt;z-index:251666432;mso-width-relative:page;mso-height-relative:page;" filled="f" stroked="t" coordsize="21600,21600" o:gfxdata="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6+D4F1wAAAAgBAAAP&#10;AAAAAAAAAAEAIAAAACIAAABkcnMvZG93bnJldi54bWxQSwECFAAUAAAACACHTuJAuFcaIqcBAAAt&#10;AwAADgAAAAAAAAABACAAAAAmAQAAZHJzL2Uyb0RvYy54bWxQSwUGAAAAAAYABgBZAQAAPwUAAAAA&#10;">
                <v:fill on="f" focussize="0,0"/>
                <v:stroke weight="1.5pt" color="#000000" joinstyle="round"/>
                <v:imagedata o:title=""/>
                <o:lock v:ext="edit" aspectratio="f"/>
              </v:line>
            </w:pict>
          </mc:Fallback>
        </mc:AlternateContent>
      </w:r>
    </w:p>
    <w:p>
      <w:pPr>
        <w:tabs>
          <w:tab w:val="left" w:pos="8788"/>
        </w:tabs>
        <w:spacing w:line="300" w:lineRule="auto"/>
        <w:ind w:left="1" w:right="-31" w:rightChars="-15"/>
        <w:jc w:val="center"/>
        <w:rPr>
          <w:rFonts w:ascii="宋体" w:hAnsi="宋体"/>
          <w:b/>
          <w:sz w:val="36"/>
          <w:szCs w:val="24"/>
        </w:rPr>
        <w:sectPr>
          <w:footerReference r:id="rId3" w:type="default"/>
          <w:pgSz w:w="11906" w:h="16838"/>
          <w:pgMar w:top="1644" w:right="1418" w:bottom="1417" w:left="1418" w:header="851" w:footer="992" w:gutter="0"/>
          <w:pgNumType w:start="1"/>
          <w:cols w:space="0" w:num="1"/>
          <w:docGrid w:linePitch="312" w:charSpace="0"/>
        </w:sectPr>
      </w:pPr>
      <w:r>
        <w:rPr>
          <w:rFonts w:hint="eastAsia" w:ascii="宋体" w:hAnsi="宋体"/>
          <w:b/>
          <w:sz w:val="36"/>
          <w:szCs w:val="24"/>
        </w:rPr>
        <w:t>国家市场监督管理总局</w:t>
      </w:r>
    </w:p>
    <w:p>
      <w:pPr>
        <w:tabs>
          <w:tab w:val="left" w:pos="720"/>
        </w:tabs>
        <w:autoSpaceDE w:val="0"/>
        <w:autoSpaceDN w:val="0"/>
        <w:adjustRightInd w:val="0"/>
        <w:ind w:left="352" w:right="18" w:hanging="180"/>
        <w:jc w:val="center"/>
        <w:rPr>
          <w:rFonts w:ascii="宋体" w:hAnsi="宋体"/>
          <w:b/>
          <w:kern w:val="0"/>
          <w:sz w:val="44"/>
          <w:szCs w:val="28"/>
        </w:rPr>
      </w:pPr>
      <w:bookmarkStart w:id="0" w:name="_Toc461207068"/>
      <w:bookmarkStart w:id="1" w:name="_Toc461207042"/>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28"/>
        </w:rPr>
      </w:pPr>
      <w:r>
        <w:rPr>
          <w:rFonts w:hint="eastAsia" w:ascii="方正小标宋简体" w:hAnsi="方正小标宋简体" w:eastAsia="方正小标宋简体" w:cs="方正小标宋简体"/>
          <w:bCs/>
          <w:kern w:val="0"/>
          <w:sz w:val="44"/>
          <w:szCs w:val="28"/>
        </w:rPr>
        <w:t>水泥产品生产许可证实施细则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p>
    <w:bookmarkEnd w:id="0"/>
    <w:bookmarkEnd w:id="1"/>
    <w:p>
      <w:pPr>
        <w:pStyle w:val="80"/>
        <w:spacing w:line="360" w:lineRule="auto"/>
        <w:ind w:firstLineChars="0"/>
        <w:rPr>
          <w:rFonts w:ascii="宋体" w:hAnsi="宋体" w:cs="宋体"/>
        </w:rPr>
      </w:pPr>
    </w:p>
    <w:p>
      <w:pPr>
        <w:pStyle w:val="80"/>
        <w:spacing w:line="400" w:lineRule="exact"/>
        <w:ind w:firstLineChars="0"/>
        <w:rPr>
          <w:rFonts w:ascii="宋体" w:hAnsi="宋体" w:cs="宋体"/>
        </w:rPr>
      </w:pPr>
      <w:r>
        <w:rPr>
          <w:rFonts w:hint="eastAsia" w:ascii="宋体" w:hAnsi="宋体" w:cs="宋体"/>
        </w:rPr>
        <w:t>第一条 依据《中华人民共和国工业产品生产许可证管理条例》</w:t>
      </w:r>
      <w:r>
        <w:rPr>
          <w:rFonts w:hint="eastAsia" w:ascii="宋体" w:hAnsi="宋体" w:cs="宋体"/>
          <w:szCs w:val="24"/>
        </w:rPr>
        <w:t>《</w:t>
      </w:r>
      <w:r>
        <w:rPr>
          <w:rFonts w:hint="eastAsia" w:ascii="宋体" w:hAnsi="宋体" w:cs="宋体"/>
        </w:rPr>
        <w:t>中华人民共和国工业产品生产许可证管理条例实施办法》及国务院关于工业产品生产许可证制度的改革要求，制定本细则。</w:t>
      </w:r>
    </w:p>
    <w:p>
      <w:pPr>
        <w:pStyle w:val="80"/>
        <w:spacing w:line="400" w:lineRule="exact"/>
        <w:ind w:firstLineChars="0"/>
        <w:rPr>
          <w:rFonts w:ascii="宋体" w:hAnsi="宋体" w:cs="宋体"/>
          <w:szCs w:val="24"/>
        </w:rPr>
      </w:pPr>
      <w:r>
        <w:rPr>
          <w:rFonts w:hint="eastAsia" w:ascii="宋体" w:hAnsi="宋体" w:cs="宋体"/>
          <w:szCs w:val="24"/>
        </w:rPr>
        <w:t>第二条 本细则适用于省级市场监管部门水泥产品的生产许可核发等工作。</w:t>
      </w:r>
    </w:p>
    <w:p>
      <w:pPr>
        <w:pStyle w:val="80"/>
        <w:spacing w:line="400" w:lineRule="exact"/>
        <w:ind w:firstLineChars="0"/>
        <w:rPr>
          <w:rFonts w:ascii="宋体" w:hAnsi="宋体" w:cs="宋体"/>
          <w:szCs w:val="24"/>
        </w:rPr>
      </w:pPr>
      <w:r>
        <w:rPr>
          <w:rFonts w:hint="eastAsia" w:ascii="宋体" w:hAnsi="宋体" w:cs="宋体"/>
        </w:rPr>
        <w:t>第三条 发证产品范围及产品单元。</w:t>
      </w:r>
    </w:p>
    <w:p>
      <w:pPr>
        <w:pStyle w:val="80"/>
        <w:spacing w:line="400" w:lineRule="exact"/>
        <w:ind w:firstLineChars="0"/>
        <w:rPr>
          <w:rFonts w:ascii="宋体" w:hAnsi="宋体" w:cs="宋体"/>
        </w:rPr>
      </w:pPr>
      <w:r>
        <w:rPr>
          <w:rFonts w:hint="eastAsia" w:ascii="宋体" w:hAnsi="宋体" w:cs="宋体"/>
        </w:rPr>
        <w:t>本细则规定的水泥产品划分为6个产品单元，具体产品单元及说明见表1。</w:t>
      </w:r>
    </w:p>
    <w:p>
      <w:pPr>
        <w:pStyle w:val="80"/>
        <w:spacing w:line="400" w:lineRule="exact"/>
        <w:ind w:firstLineChars="0"/>
        <w:rPr>
          <w:rFonts w:ascii="宋体" w:hAnsi="宋体" w:cs="宋体"/>
          <w:szCs w:val="24"/>
        </w:rPr>
      </w:pPr>
      <w:r>
        <w:rPr>
          <w:rFonts w:hint="eastAsia"/>
        </w:rPr>
        <w:t>水泥生产企业按生产工艺划分为水泥厂、熟料厂、粉磨站和配制厂四种类型。水泥厂指包括原料处理、生料粉磨、熟料煅烧、水泥粉磨、水泥均化及配制、水泥包装（散装）生产工序的企业；熟料厂指包括原料处理、生料粉磨、熟料煅烧生产工序的企业；粉磨站指包括水泥粉磨、水泥均化及配制、水泥包装（散装）生产工序的企业；配制厂指包括水泥均化及配制、水泥包装（散装）生产工序的企业。特种水泥生产企业，必须具备完整的熟料和粉磨生产线。</w:t>
      </w:r>
    </w:p>
    <w:p>
      <w:pPr>
        <w:spacing w:line="400" w:lineRule="exact"/>
        <w:jc w:val="center"/>
        <w:rPr>
          <w:rFonts w:ascii="宋体" w:hAnsi="宋体" w:cs="Calibri"/>
          <w:b/>
          <w:kern w:val="0"/>
          <w:szCs w:val="24"/>
        </w:rPr>
      </w:pPr>
      <w:r>
        <w:rPr>
          <w:rFonts w:hint="eastAsia" w:ascii="宋体" w:hAnsi="宋体" w:cs="Calibri"/>
          <w:b/>
          <w:kern w:val="0"/>
          <w:szCs w:val="24"/>
        </w:rPr>
        <w:t>表1 水泥产品单元</w:t>
      </w:r>
    </w:p>
    <w:tbl>
      <w:tblPr>
        <w:tblStyle w:val="43"/>
        <w:tblW w:w="9139" w:type="dxa"/>
        <w:jc w:val="center"/>
        <w:tblInd w:w="0" w:type="dxa"/>
        <w:tblLayout w:type="fixed"/>
        <w:tblCellMar>
          <w:top w:w="0" w:type="dxa"/>
          <w:left w:w="108" w:type="dxa"/>
          <w:bottom w:w="0" w:type="dxa"/>
          <w:right w:w="108" w:type="dxa"/>
        </w:tblCellMar>
      </w:tblPr>
      <w:tblGrid>
        <w:gridCol w:w="775"/>
        <w:gridCol w:w="1678"/>
        <w:gridCol w:w="6686"/>
      </w:tblGrid>
      <w:tr>
        <w:tblPrEx>
          <w:tblLayout w:type="fixed"/>
          <w:tblCellMar>
            <w:top w:w="0" w:type="dxa"/>
            <w:left w:w="108" w:type="dxa"/>
            <w:bottom w:w="0" w:type="dxa"/>
            <w:right w:w="108" w:type="dxa"/>
          </w:tblCellMar>
        </w:tblPrEx>
        <w:trPr>
          <w:cantSplit/>
          <w:tblHeader/>
          <w:jc w:val="center"/>
        </w:trPr>
        <w:tc>
          <w:tcPr>
            <w:tcW w:w="7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b/>
              </w:rPr>
            </w:pPr>
            <w:r>
              <w:rPr>
                <w:rFonts w:hint="eastAsia"/>
                <w:b/>
              </w:rPr>
              <w:t>序号</w:t>
            </w:r>
          </w:p>
        </w:tc>
        <w:tc>
          <w:tcPr>
            <w:tcW w:w="1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b/>
              </w:rPr>
            </w:pPr>
            <w:r>
              <w:rPr>
                <w:rFonts w:hint="eastAsia"/>
                <w:b/>
              </w:rPr>
              <w:t>产品单元</w:t>
            </w:r>
          </w:p>
        </w:tc>
        <w:tc>
          <w:tcPr>
            <w:tcW w:w="66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b/>
              </w:rPr>
            </w:pPr>
            <w:r>
              <w:rPr>
                <w:rFonts w:hint="eastAsia"/>
                <w:b/>
              </w:rPr>
              <w:t>备注</w:t>
            </w:r>
          </w:p>
        </w:tc>
      </w:tr>
      <w:tr>
        <w:tblPrEx>
          <w:tblLayout w:type="fixed"/>
          <w:tblCellMar>
            <w:top w:w="0" w:type="dxa"/>
            <w:left w:w="108" w:type="dxa"/>
            <w:bottom w:w="0" w:type="dxa"/>
            <w:right w:w="108" w:type="dxa"/>
          </w:tblCellMar>
        </w:tblPrEx>
        <w:trPr>
          <w:cantSplit/>
          <w:jc w:val="center"/>
        </w:trPr>
        <w:tc>
          <w:tcPr>
            <w:tcW w:w="7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1</w:t>
            </w:r>
          </w:p>
        </w:tc>
        <w:tc>
          <w:tcPr>
            <w:tcW w:w="1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通用水泥32.5</w:t>
            </w:r>
          </w:p>
        </w:tc>
        <w:tc>
          <w:tcPr>
            <w:tcW w:w="66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通用水泥32.5是指强度等级为32.5MPa的一般土木建筑工程通常采用的水泥。</w:t>
            </w:r>
          </w:p>
          <w:p>
            <w:pPr>
              <w:spacing w:before="72" w:beforeLines="30" w:line="288" w:lineRule="auto"/>
            </w:pPr>
            <w:r>
              <w:rPr>
                <w:rFonts w:hint="eastAsia"/>
              </w:rPr>
              <w:t>企业获得本单元生产许可证，允许生产32.5（含32.5R）强度等级及以下强度等级的通用水泥产品。</w:t>
            </w:r>
          </w:p>
        </w:tc>
      </w:tr>
      <w:tr>
        <w:tblPrEx>
          <w:tblLayout w:type="fixed"/>
          <w:tblCellMar>
            <w:top w:w="0" w:type="dxa"/>
            <w:left w:w="108" w:type="dxa"/>
            <w:bottom w:w="0" w:type="dxa"/>
            <w:right w:w="108" w:type="dxa"/>
          </w:tblCellMar>
        </w:tblPrEx>
        <w:trPr>
          <w:cantSplit/>
          <w:jc w:val="center"/>
        </w:trPr>
        <w:tc>
          <w:tcPr>
            <w:tcW w:w="7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2</w:t>
            </w:r>
          </w:p>
        </w:tc>
        <w:tc>
          <w:tcPr>
            <w:tcW w:w="1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通用水泥42.5</w:t>
            </w:r>
          </w:p>
        </w:tc>
        <w:tc>
          <w:tcPr>
            <w:tcW w:w="66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通用水泥42.5是指强度等级为42.5MPa的一般土木建筑工程通常采用的水泥。</w:t>
            </w:r>
          </w:p>
          <w:p>
            <w:pPr>
              <w:spacing w:before="72" w:beforeLines="30" w:line="288" w:lineRule="auto"/>
            </w:pPr>
            <w:r>
              <w:rPr>
                <w:rFonts w:hint="eastAsia"/>
              </w:rPr>
              <w:t>企业获得本单元生产许可证，允许生产42.5（含42.5R）强度等级及以下强度等级的通用水泥产品。</w:t>
            </w:r>
          </w:p>
        </w:tc>
      </w:tr>
      <w:tr>
        <w:tblPrEx>
          <w:tblLayout w:type="fixed"/>
          <w:tblCellMar>
            <w:top w:w="0" w:type="dxa"/>
            <w:left w:w="108" w:type="dxa"/>
            <w:bottom w:w="0" w:type="dxa"/>
            <w:right w:w="108" w:type="dxa"/>
          </w:tblCellMar>
        </w:tblPrEx>
        <w:trPr>
          <w:cantSplit/>
          <w:jc w:val="center"/>
        </w:trPr>
        <w:tc>
          <w:tcPr>
            <w:tcW w:w="7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3</w:t>
            </w:r>
          </w:p>
        </w:tc>
        <w:tc>
          <w:tcPr>
            <w:tcW w:w="1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通用水泥52.5</w:t>
            </w:r>
          </w:p>
        </w:tc>
        <w:tc>
          <w:tcPr>
            <w:tcW w:w="66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通用水泥52.5是指强度等级为52.5MPa的一般土木建筑工程通常采用的水泥。</w:t>
            </w:r>
          </w:p>
          <w:p>
            <w:pPr>
              <w:spacing w:before="72" w:beforeLines="30" w:line="288" w:lineRule="auto"/>
            </w:pPr>
            <w:r>
              <w:rPr>
                <w:rFonts w:hint="eastAsia"/>
              </w:rPr>
              <w:t>企业获得本单元生产许可证，允许生产52.5（含52.5R）强度等级及以下强度等级的通用水泥产品。</w:t>
            </w:r>
          </w:p>
        </w:tc>
      </w:tr>
      <w:tr>
        <w:tblPrEx>
          <w:tblLayout w:type="fixed"/>
          <w:tblCellMar>
            <w:top w:w="0" w:type="dxa"/>
            <w:left w:w="108" w:type="dxa"/>
            <w:bottom w:w="0" w:type="dxa"/>
            <w:right w:w="108" w:type="dxa"/>
          </w:tblCellMar>
        </w:tblPrEx>
        <w:trPr>
          <w:cantSplit/>
          <w:jc w:val="center"/>
        </w:trPr>
        <w:tc>
          <w:tcPr>
            <w:tcW w:w="7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4</w:t>
            </w:r>
          </w:p>
        </w:tc>
        <w:tc>
          <w:tcPr>
            <w:tcW w:w="1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通用水泥62.5</w:t>
            </w:r>
          </w:p>
        </w:tc>
        <w:tc>
          <w:tcPr>
            <w:tcW w:w="66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通用水泥62.5是指强度等级为62.5MPa的一般土木建筑工程通常采用的水泥。</w:t>
            </w:r>
          </w:p>
          <w:p>
            <w:pPr>
              <w:spacing w:before="72" w:beforeLines="30" w:line="288" w:lineRule="auto"/>
            </w:pPr>
            <w:r>
              <w:rPr>
                <w:rFonts w:hint="eastAsia"/>
              </w:rPr>
              <w:t>企业获得本单元生产许可证，允许生产62.5（含62.5R）强度等级及以下强度等级的通用水泥产品。</w:t>
            </w:r>
          </w:p>
        </w:tc>
      </w:tr>
      <w:tr>
        <w:tblPrEx>
          <w:tblLayout w:type="fixed"/>
          <w:tblCellMar>
            <w:top w:w="0" w:type="dxa"/>
            <w:left w:w="108" w:type="dxa"/>
            <w:bottom w:w="0" w:type="dxa"/>
            <w:right w:w="108" w:type="dxa"/>
          </w:tblCellMar>
        </w:tblPrEx>
        <w:trPr>
          <w:cantSplit/>
          <w:jc w:val="center"/>
        </w:trPr>
        <w:tc>
          <w:tcPr>
            <w:tcW w:w="7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5</w:t>
            </w:r>
          </w:p>
        </w:tc>
        <w:tc>
          <w:tcPr>
            <w:tcW w:w="1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硅酸盐水泥</w:t>
            </w:r>
          </w:p>
          <w:p>
            <w:pPr>
              <w:spacing w:before="72" w:beforeLines="30" w:line="288" w:lineRule="auto"/>
              <w:jc w:val="center"/>
            </w:pPr>
            <w:r>
              <w:rPr>
                <w:rFonts w:hint="eastAsia"/>
              </w:rPr>
              <w:t>熟料</w:t>
            </w:r>
          </w:p>
        </w:tc>
        <w:tc>
          <w:tcPr>
            <w:tcW w:w="66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硅酸盐水泥熟料是指以钙质和硅质材料为主要原料，按适当比例配制成生料，煅烧至部分熔融，并经冷却所得以硅酸钙为主要矿物组成的产物。</w:t>
            </w:r>
          </w:p>
          <w:p>
            <w:pPr>
              <w:spacing w:before="72" w:beforeLines="30" w:line="288" w:lineRule="auto"/>
            </w:pPr>
            <w:r>
              <w:rPr>
                <w:rFonts w:hint="eastAsia"/>
              </w:rPr>
              <w:t>对外销售硅酸盐水泥熟料的生产类型为水泥厂和熟料厂的企业，应取得本单元生产许可证。</w:t>
            </w:r>
          </w:p>
        </w:tc>
      </w:tr>
      <w:tr>
        <w:tblPrEx>
          <w:tblLayout w:type="fixed"/>
          <w:tblCellMar>
            <w:top w:w="0" w:type="dxa"/>
            <w:left w:w="108" w:type="dxa"/>
            <w:bottom w:w="0" w:type="dxa"/>
            <w:right w:w="108" w:type="dxa"/>
          </w:tblCellMar>
        </w:tblPrEx>
        <w:trPr>
          <w:cantSplit/>
          <w:jc w:val="center"/>
        </w:trPr>
        <w:tc>
          <w:tcPr>
            <w:tcW w:w="7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6</w:t>
            </w:r>
          </w:p>
        </w:tc>
        <w:tc>
          <w:tcPr>
            <w:tcW w:w="1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特种水泥</w:t>
            </w:r>
          </w:p>
        </w:tc>
        <w:tc>
          <w:tcPr>
            <w:tcW w:w="66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特种水泥是指具有特殊性能或用途的水泥。</w:t>
            </w:r>
          </w:p>
          <w:p>
            <w:pPr>
              <w:spacing w:before="72" w:beforeLines="30" w:line="288" w:lineRule="auto"/>
              <w:rPr>
                <w:szCs w:val="24"/>
              </w:rPr>
            </w:pPr>
            <w:r>
              <w:rPr>
                <w:rFonts w:hint="eastAsia"/>
                <w:szCs w:val="24"/>
              </w:rPr>
              <w:t>企业获得本单元生产许可证，允许生产必备检验设备表（见表4）中注明所需必备检验设备对应的特种水泥产品。</w:t>
            </w:r>
          </w:p>
        </w:tc>
      </w:tr>
    </w:tbl>
    <w:p>
      <w:pPr>
        <w:spacing w:line="400" w:lineRule="exact"/>
        <w:ind w:firstLine="420" w:firstLineChars="200"/>
        <w:jc w:val="left"/>
      </w:pPr>
      <w:r>
        <w:rPr>
          <w:rFonts w:hint="eastAsia" w:ascii="宋体" w:hAnsi="宋体" w:cs="宋体"/>
          <w:color w:val="000000" w:themeColor="text1"/>
          <w14:textFill>
            <w14:solidFill>
              <w14:schemeClr w14:val="tx1"/>
            </w14:solidFill>
          </w14:textFill>
        </w:rPr>
        <w:t>按国际标准、国外标准</w:t>
      </w:r>
      <w:r>
        <w:rPr>
          <w:rFonts w:hint="eastAsia" w:ascii="宋体" w:hAnsi="宋体" w:cs="宋体"/>
        </w:rPr>
        <w:t>、地方标准、团体标准和企业标准等生产的上述产品</w:t>
      </w:r>
      <w:r>
        <w:rPr>
          <w:rFonts w:hint="eastAsia"/>
        </w:rPr>
        <w:t>，属于本细则列出的相关国家标准和行业标准的范畴或适用范围的，企业应按相应的国家标准或行业标准取证</w:t>
      </w:r>
      <w:r>
        <w:rPr>
          <w:rFonts w:hint="eastAsia" w:cs="宋体"/>
        </w:rPr>
        <w:t>，企业获证后生产的产品应当满足相应国家标准和行业标准要求</w:t>
      </w:r>
      <w:r>
        <w:rPr>
          <w:rFonts w:hint="eastAsia"/>
        </w:rPr>
        <w:t>。</w:t>
      </w:r>
    </w:p>
    <w:p>
      <w:pPr>
        <w:spacing w:line="400" w:lineRule="exact"/>
        <w:ind w:firstLine="420" w:firstLineChars="200"/>
        <w:jc w:val="left"/>
        <w:rPr>
          <w:rFonts w:ascii="宋体" w:hAnsi="宋体" w:cs="Calibri"/>
          <w:b/>
          <w:kern w:val="0"/>
          <w:szCs w:val="24"/>
        </w:rPr>
      </w:pPr>
      <w:r>
        <w:rPr>
          <w:rFonts w:hint="eastAsia" w:ascii="宋体" w:hAnsi="宋体" w:cs="宋体"/>
          <w:szCs w:val="24"/>
        </w:rPr>
        <w:t>第四条 企业应符合的条件</w:t>
      </w:r>
    </w:p>
    <w:p>
      <w:pPr>
        <w:pStyle w:val="80"/>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80"/>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80"/>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（三）企业应有与所生产产品相适应的生产条件和检验手段（见表2、表3、表4）。</w:t>
      </w:r>
    </w:p>
    <w:p>
      <w:pPr>
        <w:pStyle w:val="80"/>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80"/>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80"/>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80"/>
        <w:adjustRightInd w:val="0"/>
        <w:snapToGrid w:val="0"/>
        <w:spacing w:line="400" w:lineRule="exact"/>
        <w:rPr>
          <w:rFonts w:hint="eastAsia" w:asciiTheme="minorEastAsia" w:hAnsiTheme="minorEastAsia" w:eastAsiaTheme="minorEastAsia"/>
          <w:szCs w:val="24"/>
        </w:rPr>
      </w:pPr>
      <w:r>
        <w:rPr>
          <w:rFonts w:hint="eastAsia" w:ascii="宋体" w:hAnsi="宋体" w:cs="宋体"/>
          <w:szCs w:val="24"/>
        </w:rPr>
        <w:t>法律、行政法规有其他规定的，还应当符合其规</w:t>
      </w:r>
      <w:r>
        <w:rPr>
          <w:rFonts w:hint="eastAsia" w:asciiTheme="minorEastAsia" w:hAnsiTheme="minorEastAsia" w:eastAsia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snapToGrid w:val="0"/>
        <w:spacing w:line="400" w:lineRule="exact"/>
        <w:jc w:val="center"/>
        <w:rPr>
          <w:b/>
        </w:rPr>
      </w:pPr>
      <w:r>
        <w:rPr>
          <w:rFonts w:hint="eastAsia"/>
          <w:b/>
        </w:rPr>
        <w:t>表2 企业生产水泥产品应具备的生产设施和检验设施</w:t>
      </w:r>
    </w:p>
    <w:tbl>
      <w:tblPr>
        <w:tblStyle w:val="43"/>
        <w:tblW w:w="9240" w:type="dxa"/>
        <w:jc w:val="center"/>
        <w:tblInd w:w="0" w:type="dxa"/>
        <w:tblLayout w:type="fixed"/>
        <w:tblCellMar>
          <w:top w:w="0" w:type="dxa"/>
          <w:left w:w="108" w:type="dxa"/>
          <w:bottom w:w="0" w:type="dxa"/>
          <w:right w:w="108" w:type="dxa"/>
        </w:tblCellMar>
      </w:tblPr>
      <w:tblGrid>
        <w:gridCol w:w="679"/>
        <w:gridCol w:w="1683"/>
        <w:gridCol w:w="4900"/>
        <w:gridCol w:w="1978"/>
      </w:tblGrid>
      <w:tr>
        <w:tblPrEx>
          <w:tblLayout w:type="fixed"/>
          <w:tblCellMar>
            <w:top w:w="0" w:type="dxa"/>
            <w:left w:w="108" w:type="dxa"/>
            <w:bottom w:w="0" w:type="dxa"/>
            <w:right w:w="108" w:type="dxa"/>
          </w:tblCellMar>
        </w:tblPrEx>
        <w:trPr>
          <w:cantSplit/>
          <w:tblHeader/>
          <w:jc w:val="center"/>
        </w:trPr>
        <w:tc>
          <w:tcPr>
            <w:tcW w:w="6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b/>
              </w:rPr>
            </w:pPr>
            <w:r>
              <w:rPr>
                <w:rFonts w:hint="eastAsia" w:hAnsi="Courier New"/>
                <w:b/>
              </w:rPr>
              <w:t>序号</w:t>
            </w:r>
          </w:p>
        </w:tc>
        <w:tc>
          <w:tcPr>
            <w:tcW w:w="16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b/>
              </w:rPr>
            </w:pPr>
            <w:r>
              <w:rPr>
                <w:rFonts w:hint="eastAsia" w:hAnsi="Courier New"/>
                <w:b/>
              </w:rPr>
              <w:t>生产设施名称</w:t>
            </w:r>
          </w:p>
        </w:tc>
        <w:tc>
          <w:tcPr>
            <w:tcW w:w="4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b/>
              </w:rPr>
            </w:pPr>
            <w:r>
              <w:rPr>
                <w:rFonts w:hint="eastAsia" w:hAnsi="Courier New"/>
                <w:b/>
              </w:rPr>
              <w:t>设施要求</w:t>
            </w:r>
          </w:p>
        </w:tc>
        <w:tc>
          <w:tcPr>
            <w:tcW w:w="19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b/>
              </w:rPr>
            </w:pPr>
            <w:r>
              <w:rPr>
                <w:rFonts w:hint="eastAsia" w:hAnsi="Courier New"/>
                <w:b/>
              </w:rPr>
              <w:t>备注</w:t>
            </w:r>
          </w:p>
        </w:tc>
      </w:tr>
      <w:tr>
        <w:tblPrEx>
          <w:tblLayout w:type="fixed"/>
          <w:tblCellMar>
            <w:top w:w="0" w:type="dxa"/>
            <w:left w:w="108" w:type="dxa"/>
            <w:bottom w:w="0" w:type="dxa"/>
            <w:right w:w="108" w:type="dxa"/>
          </w:tblCellMar>
        </w:tblPrEx>
        <w:trPr>
          <w:cantSplit/>
          <w:jc w:val="center"/>
        </w:trPr>
        <w:tc>
          <w:tcPr>
            <w:tcW w:w="6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rPr>
            </w:pPr>
            <w:r>
              <w:rPr>
                <w:rFonts w:hint="eastAsia" w:hAnsi="Courier New"/>
              </w:rPr>
              <w:t>1</w:t>
            </w:r>
          </w:p>
        </w:tc>
        <w:tc>
          <w:tcPr>
            <w:tcW w:w="16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rPr>
            </w:pPr>
            <w:r>
              <w:rPr>
                <w:rFonts w:hint="eastAsia" w:hAnsi="Courier New"/>
              </w:rPr>
              <w:t>原辅材料储存、配料、均化设施</w:t>
            </w:r>
          </w:p>
        </w:tc>
        <w:tc>
          <w:tcPr>
            <w:tcW w:w="4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left"/>
              <w:rPr>
                <w:rFonts w:hAnsi="Courier New"/>
              </w:rPr>
            </w:pPr>
            <w:r>
              <w:rPr>
                <w:rFonts w:hint="eastAsia" w:hAnsi="Courier New"/>
              </w:rPr>
              <w:t>容量应满足生产要求。预均化堆场应设置封闭厂房。</w:t>
            </w:r>
          </w:p>
          <w:p>
            <w:pPr>
              <w:spacing w:before="72" w:beforeLines="30" w:line="288" w:lineRule="auto"/>
              <w:jc w:val="left"/>
              <w:rPr>
                <w:rFonts w:hAnsi="Courier New"/>
              </w:rPr>
            </w:pPr>
            <w:r>
              <w:rPr>
                <w:rFonts w:hint="eastAsia" w:hAnsi="Courier New"/>
              </w:rPr>
              <w:t>均化设施应采用多库搭配、机械倒库或空气均化等。</w:t>
            </w:r>
          </w:p>
          <w:p>
            <w:pPr>
              <w:spacing w:before="72" w:beforeLines="30" w:line="288" w:lineRule="auto"/>
              <w:jc w:val="left"/>
              <w:rPr>
                <w:rFonts w:hAnsi="Courier New"/>
              </w:rPr>
            </w:pPr>
            <w:r>
              <w:rPr>
                <w:rFonts w:hint="eastAsia" w:hAnsi="Courier New"/>
              </w:rPr>
              <w:t>经破碎、烘干、均化处理后的物料以及熟料应设置封闭厂房，不允许采用露天堆放。</w:t>
            </w:r>
          </w:p>
        </w:tc>
        <w:tc>
          <w:tcPr>
            <w:tcW w:w="19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rPr>
                <w:rFonts w:hAnsi="Courier New"/>
              </w:rPr>
            </w:pPr>
            <w:r>
              <w:rPr>
                <w:rFonts w:hint="eastAsia"/>
              </w:rPr>
              <w:t>水泥厂、熟料厂、粉磨站必备</w:t>
            </w:r>
          </w:p>
        </w:tc>
      </w:tr>
      <w:tr>
        <w:tblPrEx>
          <w:tblLayout w:type="fixed"/>
          <w:tblCellMar>
            <w:top w:w="0" w:type="dxa"/>
            <w:left w:w="108" w:type="dxa"/>
            <w:bottom w:w="0" w:type="dxa"/>
            <w:right w:w="108" w:type="dxa"/>
          </w:tblCellMar>
        </w:tblPrEx>
        <w:trPr>
          <w:cantSplit/>
          <w:jc w:val="center"/>
        </w:trPr>
        <w:tc>
          <w:tcPr>
            <w:tcW w:w="6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rPr>
            </w:pPr>
            <w:r>
              <w:rPr>
                <w:rFonts w:hint="eastAsia" w:hAnsi="Courier New"/>
              </w:rPr>
              <w:t>2</w:t>
            </w:r>
          </w:p>
        </w:tc>
        <w:tc>
          <w:tcPr>
            <w:tcW w:w="16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rPr>
            </w:pPr>
            <w:r>
              <w:rPr>
                <w:rFonts w:hint="eastAsia" w:hAnsi="Courier New"/>
              </w:rPr>
              <w:t>半成品、成品</w:t>
            </w:r>
          </w:p>
          <w:p>
            <w:pPr>
              <w:spacing w:before="72" w:beforeLines="30" w:line="288" w:lineRule="auto"/>
              <w:jc w:val="center"/>
              <w:rPr>
                <w:rFonts w:hAnsi="Courier New"/>
              </w:rPr>
            </w:pPr>
            <w:r>
              <w:rPr>
                <w:rFonts w:hint="eastAsia" w:hAnsi="Courier New"/>
              </w:rPr>
              <w:t>储存设施</w:t>
            </w:r>
          </w:p>
        </w:tc>
        <w:tc>
          <w:tcPr>
            <w:tcW w:w="4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left"/>
              <w:rPr>
                <w:rFonts w:hAnsi="Courier New"/>
              </w:rPr>
            </w:pPr>
            <w:r>
              <w:rPr>
                <w:rFonts w:hint="eastAsia" w:hAnsi="Courier New"/>
              </w:rPr>
              <w:t>水泥储库禁止同时上入下出，特种水泥各品种均应有具有均化功能专用水泥储库。</w:t>
            </w:r>
          </w:p>
          <w:p>
            <w:pPr>
              <w:spacing w:line="288" w:lineRule="auto"/>
              <w:jc w:val="left"/>
              <w:rPr>
                <w:rFonts w:hAnsi="Courier New"/>
              </w:rPr>
            </w:pPr>
            <w:r>
              <w:rPr>
                <w:rFonts w:hint="eastAsia" w:hAnsi="Courier New"/>
              </w:rPr>
              <w:t>生料、水泥均化设施应采用多库搭配、机械倒库、空气均化或其他先进均化设施。不允许无均化功能的水泥库单库包装或散装出厂。</w:t>
            </w:r>
          </w:p>
        </w:tc>
        <w:tc>
          <w:tcPr>
            <w:tcW w:w="19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rPr>
                <w:rFonts w:hAnsi="Courier New"/>
              </w:rPr>
            </w:pPr>
            <w:r>
              <w:rPr>
                <w:rFonts w:hint="eastAsia"/>
              </w:rPr>
              <w:t>水泥厂、熟料厂、粉磨站、配制厂必备</w:t>
            </w:r>
          </w:p>
        </w:tc>
      </w:tr>
      <w:tr>
        <w:tblPrEx>
          <w:tblLayout w:type="fixed"/>
          <w:tblCellMar>
            <w:top w:w="0" w:type="dxa"/>
            <w:left w:w="108" w:type="dxa"/>
            <w:bottom w:w="0" w:type="dxa"/>
            <w:right w:w="108" w:type="dxa"/>
          </w:tblCellMar>
        </w:tblPrEx>
        <w:trPr>
          <w:cantSplit/>
          <w:jc w:val="center"/>
        </w:trPr>
        <w:tc>
          <w:tcPr>
            <w:tcW w:w="6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rPr>
            </w:pPr>
            <w:r>
              <w:rPr>
                <w:rFonts w:hint="eastAsia" w:hAnsi="Courier New"/>
              </w:rPr>
              <w:t>3</w:t>
            </w:r>
          </w:p>
        </w:tc>
        <w:tc>
          <w:tcPr>
            <w:tcW w:w="16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i/>
              </w:rPr>
            </w:pPr>
            <w:r>
              <w:rPr>
                <w:rFonts w:hint="eastAsia" w:hAnsi="Courier New"/>
              </w:rPr>
              <w:t>生产车间等</w:t>
            </w:r>
          </w:p>
        </w:tc>
        <w:tc>
          <w:tcPr>
            <w:tcW w:w="4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left"/>
              <w:rPr>
                <w:rFonts w:hAnsi="Courier New"/>
              </w:rPr>
            </w:pPr>
            <w:r>
              <w:rPr>
                <w:rFonts w:hint="eastAsia" w:hAnsi="Courier New"/>
              </w:rPr>
              <w:t>球磨机不允许露天放置或大棚式放置。</w:t>
            </w:r>
          </w:p>
        </w:tc>
        <w:tc>
          <w:tcPr>
            <w:tcW w:w="19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rPr>
                <w:rFonts w:hAnsi="Courier New"/>
                <w:i/>
              </w:rPr>
            </w:pPr>
            <w:r>
              <w:rPr>
                <w:rFonts w:hint="eastAsia"/>
              </w:rPr>
              <w:t>水泥厂、熟料厂、粉磨站必备</w:t>
            </w:r>
          </w:p>
        </w:tc>
      </w:tr>
      <w:tr>
        <w:tblPrEx>
          <w:tblLayout w:type="fixed"/>
          <w:tblCellMar>
            <w:top w:w="0" w:type="dxa"/>
            <w:left w:w="108" w:type="dxa"/>
            <w:bottom w:w="0" w:type="dxa"/>
            <w:right w:w="108" w:type="dxa"/>
          </w:tblCellMar>
        </w:tblPrEx>
        <w:trPr>
          <w:cantSplit/>
          <w:jc w:val="center"/>
        </w:trPr>
        <w:tc>
          <w:tcPr>
            <w:tcW w:w="6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rPr>
            </w:pPr>
            <w:r>
              <w:rPr>
                <w:rFonts w:hint="eastAsia" w:hAnsi="Courier New"/>
              </w:rPr>
              <w:t>4</w:t>
            </w:r>
          </w:p>
        </w:tc>
        <w:tc>
          <w:tcPr>
            <w:tcW w:w="16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rFonts w:hAnsi="Courier New"/>
              </w:rPr>
            </w:pPr>
            <w:r>
              <w:rPr>
                <w:rFonts w:hint="eastAsia" w:hAnsi="Courier New"/>
              </w:rPr>
              <w:t>检验设施</w:t>
            </w:r>
          </w:p>
        </w:tc>
        <w:tc>
          <w:tcPr>
            <w:tcW w:w="4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left"/>
              <w:rPr>
                <w:rFonts w:hAnsi="Courier New"/>
              </w:rPr>
            </w:pPr>
            <w:r>
              <w:rPr>
                <w:rFonts w:hint="eastAsia" w:hAnsi="Courier New"/>
              </w:rPr>
              <w:t>独立生产厂点应具备单独的化验室。</w:t>
            </w:r>
          </w:p>
          <w:p>
            <w:pPr>
              <w:spacing w:line="288" w:lineRule="auto"/>
              <w:jc w:val="left"/>
              <w:rPr>
                <w:rFonts w:hAnsi="Courier New"/>
              </w:rPr>
            </w:pPr>
            <w:r>
              <w:rPr>
                <w:rFonts w:hint="eastAsia" w:hAnsi="Courier New"/>
              </w:rPr>
              <w:t>化验室成型、破型、养护场所应有温湿度控制设施，封存样应专库保管。</w:t>
            </w:r>
          </w:p>
          <w:p>
            <w:pPr>
              <w:spacing w:line="288" w:lineRule="auto"/>
              <w:jc w:val="left"/>
              <w:rPr>
                <w:rFonts w:hAnsi="Courier New"/>
              </w:rPr>
            </w:pPr>
            <w:r>
              <w:rPr>
                <w:rFonts w:hint="eastAsia" w:hAnsi="Courier New"/>
              </w:rPr>
              <w:t>水泥试体养护水槽数量应与生产规模相适。</w:t>
            </w:r>
          </w:p>
        </w:tc>
        <w:tc>
          <w:tcPr>
            <w:tcW w:w="19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rPr>
                <w:rFonts w:hAnsi="Courier New"/>
                <w:i/>
              </w:rPr>
            </w:pPr>
            <w:r>
              <w:rPr>
                <w:rFonts w:hint="eastAsia"/>
              </w:rPr>
              <w:t>水泥厂、熟料厂、粉磨站、配制厂必备</w:t>
            </w:r>
          </w:p>
        </w:tc>
      </w:tr>
    </w:tbl>
    <w:p>
      <w:pPr>
        <w:spacing w:line="400" w:lineRule="exact"/>
        <w:ind w:firstLine="420" w:firstLineChars="200"/>
        <w:jc w:val="left"/>
        <w:rPr>
          <w:rFonts w:asciiTheme="minorEastAsia" w:hAnsiTheme="minorEastAsia" w:eastAsiaTheme="minorEastAsia"/>
          <w:szCs w:val="24"/>
        </w:rPr>
      </w:pPr>
    </w:p>
    <w:p>
      <w:pPr>
        <w:snapToGrid w:val="0"/>
        <w:spacing w:line="400" w:lineRule="exact"/>
        <w:jc w:val="center"/>
        <w:rPr>
          <w:b/>
          <w:szCs w:val="22"/>
        </w:rPr>
      </w:pPr>
      <w:r>
        <w:rPr>
          <w:rFonts w:hint="eastAsia"/>
          <w:b/>
          <w:szCs w:val="22"/>
        </w:rPr>
        <w:t>表</w:t>
      </w:r>
      <w:r>
        <w:rPr>
          <w:b/>
          <w:szCs w:val="22"/>
        </w:rPr>
        <w:t>3</w:t>
      </w:r>
      <w:r>
        <w:rPr>
          <w:rFonts w:hint="eastAsia"/>
          <w:b/>
          <w:szCs w:val="22"/>
        </w:rPr>
        <w:t xml:space="preserve"> </w:t>
      </w:r>
      <w:r>
        <w:rPr>
          <w:rFonts w:hint="eastAsia"/>
          <w:b/>
        </w:rPr>
        <w:t>企业生产水泥产品应具备的</w:t>
      </w:r>
      <w:r>
        <w:rPr>
          <w:rFonts w:hint="eastAsia"/>
          <w:b/>
          <w:szCs w:val="22"/>
        </w:rPr>
        <w:t>生产设备</w:t>
      </w:r>
    </w:p>
    <w:tbl>
      <w:tblPr>
        <w:tblStyle w:val="43"/>
        <w:tblW w:w="9286" w:type="dxa"/>
        <w:jc w:val="center"/>
        <w:tblInd w:w="0" w:type="dxa"/>
        <w:tblLayout w:type="fixed"/>
        <w:tblCellMar>
          <w:top w:w="0" w:type="dxa"/>
          <w:left w:w="28" w:type="dxa"/>
          <w:bottom w:w="0" w:type="dxa"/>
          <w:right w:w="28" w:type="dxa"/>
        </w:tblCellMar>
      </w:tblPr>
      <w:tblGrid>
        <w:gridCol w:w="704"/>
        <w:gridCol w:w="1701"/>
        <w:gridCol w:w="3928"/>
        <w:gridCol w:w="1985"/>
        <w:gridCol w:w="968"/>
      </w:tblGrid>
      <w:tr>
        <w:tblPrEx>
          <w:tblLayout w:type="fixed"/>
          <w:tblCellMar>
            <w:top w:w="0" w:type="dxa"/>
            <w:left w:w="28" w:type="dxa"/>
            <w:bottom w:w="0" w:type="dxa"/>
            <w:right w:w="28" w:type="dxa"/>
          </w:tblCellMar>
        </w:tblPrEx>
        <w:trPr>
          <w:trHeight w:val="393" w:hRule="atLeast"/>
          <w:tblHeader/>
          <w:jc w:val="center"/>
        </w:trPr>
        <w:tc>
          <w:tcPr>
            <w:tcW w:w="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b/>
              </w:rPr>
            </w:pPr>
            <w:r>
              <w:rPr>
                <w:rFonts w:hint="eastAsia"/>
                <w:b/>
              </w:rPr>
              <w:t>序号</w:t>
            </w: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b/>
              </w:rPr>
            </w:pPr>
            <w:r>
              <w:rPr>
                <w:rFonts w:hint="eastAsia"/>
                <w:b/>
              </w:rPr>
              <w:t>设备名称</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b/>
              </w:rPr>
            </w:pPr>
            <w:r>
              <w:rPr>
                <w:rFonts w:hint="eastAsia"/>
                <w:b/>
              </w:rPr>
              <w:t>设备要求</w:t>
            </w:r>
          </w:p>
        </w:tc>
        <w:tc>
          <w:tcPr>
            <w:tcW w:w="2953"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rPr>
                <w:b/>
              </w:rPr>
            </w:pPr>
            <w:r>
              <w:rPr>
                <w:rFonts w:hint="eastAsia"/>
                <w:b/>
              </w:rPr>
              <w:t>备    注</w:t>
            </w:r>
          </w:p>
        </w:tc>
      </w:tr>
      <w:tr>
        <w:tblPrEx>
          <w:tblLayout w:type="fixed"/>
          <w:tblCellMar>
            <w:top w:w="0" w:type="dxa"/>
            <w:left w:w="28" w:type="dxa"/>
            <w:bottom w:w="0" w:type="dxa"/>
            <w:right w:w="28" w:type="dxa"/>
          </w:tblCellMar>
        </w:tblPrEx>
        <w:trPr>
          <w:jc w:val="center"/>
        </w:trPr>
        <w:tc>
          <w:tcPr>
            <w:tcW w:w="704" w:type="dxa"/>
            <w:vMerge w:val="restart"/>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1</w:t>
            </w: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原料破碎设备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rPr>
                <w:vertAlign w:val="superscript"/>
              </w:rPr>
            </w:pPr>
            <w:r>
              <w:rPr>
                <w:rFonts w:hint="eastAsia"/>
              </w:rPr>
              <w:t>能满足生产要求</w:t>
            </w:r>
          </w:p>
        </w:tc>
        <w:tc>
          <w:tcPr>
            <w:tcW w:w="198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原料破碎、烘干、均化设备可视进厂原材料情况及生产工艺需要进行配备</w:t>
            </w:r>
          </w:p>
        </w:tc>
        <w:tc>
          <w:tcPr>
            <w:tcW w:w="968"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水泥厂、熟料厂必备</w:t>
            </w:r>
          </w:p>
        </w:tc>
      </w:tr>
      <w:tr>
        <w:tblPrEx>
          <w:tblLayout w:type="fixed"/>
          <w:tblCellMar>
            <w:top w:w="0" w:type="dxa"/>
            <w:left w:w="28" w:type="dxa"/>
            <w:bottom w:w="0" w:type="dxa"/>
            <w:right w:w="28" w:type="dxa"/>
          </w:tblCellMar>
        </w:tblPrEx>
        <w:trPr>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原料烘干设备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能满足生产要求。煤、粘土等原料不允许采用晾晒工艺进行烘干处理</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325" w:hRule="atLeast"/>
          <w:jc w:val="center"/>
        </w:trPr>
        <w:tc>
          <w:tcPr>
            <w:tcW w:w="704"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原料输送设备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能满足生产要求</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301" w:hRule="atLeast"/>
          <w:jc w:val="center"/>
        </w:trPr>
        <w:tc>
          <w:tcPr>
            <w:tcW w:w="704" w:type="dxa"/>
            <w:vMerge w:val="restart"/>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2</w:t>
            </w: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物料输送设备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能满足生产要求</w:t>
            </w:r>
          </w:p>
        </w:tc>
        <w:tc>
          <w:tcPr>
            <w:tcW w:w="198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 xml:space="preserve"> </w:t>
            </w:r>
          </w:p>
        </w:tc>
        <w:tc>
          <w:tcPr>
            <w:tcW w:w="968"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水泥厂、熟料厂必备</w:t>
            </w:r>
          </w:p>
        </w:tc>
      </w:tr>
      <w:tr>
        <w:tblPrEx>
          <w:tblLayout w:type="fixed"/>
          <w:tblCellMar>
            <w:top w:w="0" w:type="dxa"/>
            <w:left w:w="28" w:type="dxa"/>
            <w:bottom w:w="0" w:type="dxa"/>
            <w:right w:w="28" w:type="dxa"/>
          </w:tblCellMar>
        </w:tblPrEx>
        <w:trPr>
          <w:trHeight w:val="90" w:hRule="atLeast"/>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配料计量设备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采用电子、微机控制计量装置</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804" w:hRule="atLeast"/>
          <w:jc w:val="center"/>
        </w:trPr>
        <w:tc>
          <w:tcPr>
            <w:tcW w:w="704"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生料粉磨设备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Ф</w:t>
            </w:r>
            <w:r>
              <w:t>3</w:t>
            </w:r>
            <w:r>
              <w:rPr>
                <w:rFonts w:hint="eastAsia"/>
              </w:rPr>
              <w:t>m（含）以上的球（管）磨机(生产特种水泥除外)、立磨、辊压机等，并符合国家产业政策</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jc w:val="center"/>
        </w:trPr>
        <w:tc>
          <w:tcPr>
            <w:tcW w:w="704" w:type="dxa"/>
            <w:vMerge w:val="restart"/>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3</w:t>
            </w: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 xml:space="preserve">生料输送设备 </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应达到密闭输送要求</w:t>
            </w:r>
          </w:p>
        </w:tc>
        <w:tc>
          <w:tcPr>
            <w:tcW w:w="198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生产通用水泥、硅酸盐水泥熟料的生产线必须具备预热器</w:t>
            </w:r>
          </w:p>
        </w:tc>
        <w:tc>
          <w:tcPr>
            <w:tcW w:w="968"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水泥厂、熟料厂必备</w:t>
            </w:r>
          </w:p>
        </w:tc>
      </w:tr>
      <w:tr>
        <w:tblPrEx>
          <w:tblLayout w:type="fixed"/>
          <w:tblCellMar>
            <w:top w:w="0" w:type="dxa"/>
            <w:left w:w="28" w:type="dxa"/>
            <w:bottom w:w="0" w:type="dxa"/>
            <w:right w:w="28" w:type="dxa"/>
          </w:tblCellMar>
        </w:tblPrEx>
        <w:trPr>
          <w:trHeight w:val="225" w:hRule="atLeast"/>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预热器</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采用立筒或旋风预热装置</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157" w:hRule="atLeast"/>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分解炉</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能满足生产要求</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275" w:hRule="atLeast"/>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熟料煅烧设备*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能满足生产要求，并符合国家产业政策</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157" w:hRule="atLeast"/>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冷却机</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能满足生产要求</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熟料输送设备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应达到密闭输送要求</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285" w:hRule="atLeast"/>
          <w:jc w:val="center"/>
        </w:trPr>
        <w:tc>
          <w:tcPr>
            <w:tcW w:w="704"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熟料装运设备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熟料装运设备应密闭</w:t>
            </w: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销售熟料企业用</w:t>
            </w: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349" w:hRule="atLeast"/>
          <w:jc w:val="center"/>
        </w:trPr>
        <w:tc>
          <w:tcPr>
            <w:tcW w:w="704" w:type="dxa"/>
            <w:vMerge w:val="restart"/>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4</w:t>
            </w: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熟料预粉碎</w:t>
            </w:r>
            <w:r>
              <w:rPr>
                <w:rFonts w:hint="eastAsia"/>
              </w:rPr>
              <w:br w:type="textWrapping"/>
            </w:r>
            <w:r>
              <w:rPr>
                <w:rFonts w:hint="eastAsia"/>
              </w:rPr>
              <w:t>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能满足生产要求</w:t>
            </w:r>
          </w:p>
        </w:tc>
        <w:tc>
          <w:tcPr>
            <w:tcW w:w="198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熟料预粉碎设备可视生产工艺需要进行配备</w:t>
            </w:r>
          </w:p>
        </w:tc>
        <w:tc>
          <w:tcPr>
            <w:tcW w:w="968"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水泥厂、粉磨站必备</w:t>
            </w:r>
          </w:p>
        </w:tc>
      </w:tr>
      <w:tr>
        <w:tblPrEx>
          <w:tblLayout w:type="fixed"/>
          <w:tblCellMar>
            <w:top w:w="0" w:type="dxa"/>
            <w:left w:w="28" w:type="dxa"/>
            <w:bottom w:w="0" w:type="dxa"/>
            <w:right w:w="28" w:type="dxa"/>
          </w:tblCellMar>
        </w:tblPrEx>
        <w:trPr>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熟料及原料输送设备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应达到密闭输送要求</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配料计量装置</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采用电子、微机控制计量装置</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857" w:hRule="atLeast"/>
          <w:jc w:val="center"/>
        </w:trPr>
        <w:tc>
          <w:tcPr>
            <w:tcW w:w="704"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水泥粉磨设备*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Ф3m（含）以上的球（管）磨机(生产特种水泥除外)、立磨、 辊压机（用于终粉磨）等，并符合国家产业政策</w:t>
            </w:r>
          </w:p>
        </w:tc>
        <w:tc>
          <w:tcPr>
            <w:tcW w:w="198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340" w:hRule="atLeast"/>
          <w:jc w:val="center"/>
        </w:trPr>
        <w:tc>
          <w:tcPr>
            <w:tcW w:w="704" w:type="dxa"/>
            <w:vMerge w:val="restart"/>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5</w:t>
            </w:r>
          </w:p>
        </w:tc>
        <w:tc>
          <w:tcPr>
            <w:tcW w:w="1701"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水泥输送设备</w:t>
            </w:r>
          </w:p>
        </w:tc>
        <w:tc>
          <w:tcPr>
            <w:tcW w:w="3928"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应达到密闭输送要求</w:t>
            </w:r>
          </w:p>
        </w:tc>
        <w:tc>
          <w:tcPr>
            <w:tcW w:w="1985"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配制厂及采用熟料和混合材分别粉磨或部分分别粉磨工艺的企业应配备混料设备</w:t>
            </w:r>
          </w:p>
        </w:tc>
        <w:tc>
          <w:tcPr>
            <w:tcW w:w="9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水泥厂、粉磨站、配制厂必备</w:t>
            </w:r>
          </w:p>
        </w:tc>
      </w:tr>
      <w:tr>
        <w:tblPrEx>
          <w:tblLayout w:type="fixed"/>
          <w:tblCellMar>
            <w:top w:w="0" w:type="dxa"/>
            <w:left w:w="28" w:type="dxa"/>
            <w:bottom w:w="0" w:type="dxa"/>
            <w:right w:w="28" w:type="dxa"/>
          </w:tblCellMar>
        </w:tblPrEx>
        <w:trPr>
          <w:trHeight w:val="744" w:hRule="atLeast"/>
          <w:jc w:val="center"/>
        </w:trPr>
        <w:tc>
          <w:tcPr>
            <w:tcW w:w="704" w:type="dxa"/>
            <w:vMerge w:val="continue"/>
            <w:tcBorders>
              <w:left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混料设备</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应采用专用的满足要求的混料机或选粉机，规格应与产能相适应</w:t>
            </w:r>
          </w:p>
        </w:tc>
        <w:tc>
          <w:tcPr>
            <w:tcW w:w="1985"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373" w:hRule="atLeast"/>
          <w:jc w:val="center"/>
        </w:trPr>
        <w:tc>
          <w:tcPr>
            <w:tcW w:w="704"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配料计量装置</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采用微机控制计量装置</w:t>
            </w:r>
          </w:p>
        </w:tc>
        <w:tc>
          <w:tcPr>
            <w:tcW w:w="1985"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r>
      <w:tr>
        <w:tblPrEx>
          <w:tblLayout w:type="fixed"/>
          <w:tblCellMar>
            <w:top w:w="0" w:type="dxa"/>
            <w:left w:w="28" w:type="dxa"/>
            <w:bottom w:w="0" w:type="dxa"/>
            <w:right w:w="28" w:type="dxa"/>
          </w:tblCellMar>
        </w:tblPrEx>
        <w:trPr>
          <w:trHeight w:val="929" w:hRule="atLeast"/>
          <w:jc w:val="center"/>
        </w:trPr>
        <w:tc>
          <w:tcPr>
            <w:tcW w:w="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jc w:val="center"/>
            </w:pPr>
            <w:r>
              <w:rPr>
                <w:rFonts w:hint="eastAsia"/>
              </w:rPr>
              <w:t>6</w:t>
            </w: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散装水泥装车装置或水泥包装机</w:t>
            </w:r>
          </w:p>
        </w:tc>
        <w:tc>
          <w:tcPr>
            <w:tcW w:w="3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散装水泥装车、水泥包装应配备计量装置</w:t>
            </w: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p>
        </w:tc>
        <w:tc>
          <w:tcPr>
            <w:tcW w:w="9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88" w:lineRule="auto"/>
            </w:pPr>
            <w:r>
              <w:rPr>
                <w:rFonts w:hint="eastAsia"/>
              </w:rPr>
              <w:t>水泥厂、粉磨站、配制厂必备</w:t>
            </w:r>
          </w:p>
        </w:tc>
      </w:tr>
      <w:tr>
        <w:tblPrEx>
          <w:tblLayout w:type="fixed"/>
          <w:tblCellMar>
            <w:top w:w="0" w:type="dxa"/>
            <w:left w:w="28" w:type="dxa"/>
            <w:bottom w:w="0" w:type="dxa"/>
            <w:right w:w="28" w:type="dxa"/>
          </w:tblCellMar>
        </w:tblPrEx>
        <w:trPr>
          <w:trHeight w:val="929" w:hRule="atLeast"/>
          <w:jc w:val="center"/>
        </w:trPr>
        <w:tc>
          <w:tcPr>
            <w:tcW w:w="9286"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72" w:beforeLines="30" w:line="264" w:lineRule="auto"/>
            </w:pPr>
            <w:r>
              <w:rPr>
                <w:rFonts w:hint="eastAsia"/>
              </w:rPr>
              <w:t>注：1.本表为企业应具备的必备生产设备，可与上述设备名称不同，但应满足上述设备的功能性能精度要求。</w:t>
            </w:r>
          </w:p>
          <w:p>
            <w:pPr>
              <w:snapToGrid w:val="0"/>
              <w:spacing w:line="400" w:lineRule="exact"/>
            </w:pPr>
            <w:r>
              <w:rPr>
                <w:rFonts w:hint="eastAsia"/>
              </w:rPr>
              <w:t>2.本表中带“*”设备为关键生产设备（熟料煅烧设备和水泥粉磨设备），企业获证后关键生产设备发生变化的，一个月内应向企业所在地省级市场监管部门提交许可范围变更申请。</w:t>
            </w:r>
          </w:p>
        </w:tc>
      </w:tr>
    </w:tbl>
    <w:p>
      <w:pPr>
        <w:pStyle w:val="80"/>
        <w:adjustRightInd w:val="0"/>
        <w:snapToGrid w:val="0"/>
        <w:spacing w:line="400" w:lineRule="exact"/>
        <w:rPr>
          <w:rFonts w:asciiTheme="minorEastAsia" w:hAnsiTheme="minorEastAsia" w:eastAsiaTheme="minorEastAsia"/>
          <w:szCs w:val="24"/>
        </w:rPr>
      </w:pPr>
    </w:p>
    <w:p>
      <w:pPr>
        <w:snapToGrid w:val="0"/>
        <w:spacing w:line="400" w:lineRule="exact"/>
        <w:jc w:val="center"/>
        <w:rPr>
          <w:b/>
          <w:szCs w:val="22"/>
        </w:rPr>
      </w:pPr>
      <w:r>
        <w:rPr>
          <w:rFonts w:hint="eastAsia"/>
          <w:b/>
          <w:szCs w:val="22"/>
        </w:rPr>
        <w:t xml:space="preserve">表4 </w:t>
      </w:r>
      <w:r>
        <w:rPr>
          <w:rFonts w:hint="eastAsia"/>
          <w:b/>
        </w:rPr>
        <w:t>企业生产水泥产品应具备的</w:t>
      </w:r>
      <w:r>
        <w:rPr>
          <w:rFonts w:hint="eastAsia"/>
          <w:b/>
          <w:szCs w:val="22"/>
        </w:rPr>
        <w:t>检验设备</w:t>
      </w:r>
    </w:p>
    <w:tbl>
      <w:tblPr>
        <w:tblStyle w:val="43"/>
        <w:tblW w:w="8760" w:type="dxa"/>
        <w:tblInd w:w="0" w:type="dxa"/>
        <w:tblLayout w:type="fixed"/>
        <w:tblCellMar>
          <w:top w:w="0" w:type="dxa"/>
          <w:left w:w="108" w:type="dxa"/>
          <w:bottom w:w="0" w:type="dxa"/>
          <w:right w:w="108" w:type="dxa"/>
        </w:tblCellMar>
      </w:tblPr>
      <w:tblGrid>
        <w:gridCol w:w="704"/>
        <w:gridCol w:w="5670"/>
        <w:gridCol w:w="2386"/>
      </w:tblGrid>
      <w:tr>
        <w:tblPrEx>
          <w:tblLayout w:type="fixed"/>
          <w:tblCellMar>
            <w:top w:w="0" w:type="dxa"/>
            <w:left w:w="108" w:type="dxa"/>
            <w:bottom w:w="0" w:type="dxa"/>
            <w:right w:w="108" w:type="dxa"/>
          </w:tblCellMar>
        </w:tblPrEx>
        <w:trPr>
          <w:cantSplit/>
          <w:trHeight w:val="285" w:hRule="atLeast"/>
          <w:tblHead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56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检验设备</w:t>
            </w:r>
          </w:p>
        </w:tc>
        <w:tc>
          <w:tcPr>
            <w:tcW w:w="23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备注</w:t>
            </w:r>
          </w:p>
        </w:tc>
      </w:tr>
      <w:tr>
        <w:tblPrEx>
          <w:tblLayout w:type="fixed"/>
          <w:tblCellMar>
            <w:top w:w="0" w:type="dxa"/>
            <w:left w:w="108" w:type="dxa"/>
            <w:bottom w:w="0" w:type="dxa"/>
            <w:right w:w="108" w:type="dxa"/>
          </w:tblCellMar>
        </w:tblPrEx>
        <w:trPr>
          <w:cantSplit/>
          <w:trHeight w:val="357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1</w:t>
            </w: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水泥胶砂电动抗折试验机、抗压强度试验机、行星式水泥胶砂搅拌机、水泥胶砂试体成型振实台、40mm×40mm水泥抗压夹具、天平、水泥胶砂试模 、水泥强度试体养护水控温装置、水泥强度/凝结时间/安定性试体带模自动控温养护装置、水泥净浆搅拌机、水泥净浆标准稠度与凝结时间测定仪、水泥安定性试验用沸煮箱、雷氏夹膨胀测定仪（标准法）、水泥安定性试验用雷氏夹（标准法）、水泥标准筛/水泥负压筛析仪、勃氏透气仪、高温炉、电热鼓风干燥箱、水泥胶砂流动度测定仪（跳桌）、游标卡尺、化学分析用玻璃器皿、氯离子测定装置、化验室统一小磨（配制厂可不具备此设备）、刚性试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通用水泥32.5、通用水泥42.5、通用水泥52.5、通用水泥62.5产品单元必备检验设备。</w:t>
            </w:r>
          </w:p>
        </w:tc>
      </w:tr>
      <w:tr>
        <w:tblPrEx>
          <w:tblLayout w:type="fixed"/>
          <w:tblCellMar>
            <w:top w:w="0" w:type="dxa"/>
            <w:left w:w="108" w:type="dxa"/>
            <w:bottom w:w="0" w:type="dxa"/>
            <w:right w:w="108" w:type="dxa"/>
          </w:tblCellMar>
        </w:tblPrEx>
        <w:trPr>
          <w:cantSplit/>
          <w:trHeight w:val="255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2</w:t>
            </w: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水泥胶砂电动抗折试验机、抗压强度试验机、行星式水泥胶砂搅拌机、水泥胶砂试体成型振实台、40mm×40mm水泥抗压夹具、天平、水泥胶砂试模 、水泥强度试体养护水控温装置、水泥强度/凝结时间/安定性试体带模自动控温养护装置、水泥净浆搅拌机、水泥净浆标准稠度与凝结时间测定仪、水泥安定性试验用沸煮箱、雷氏夹膨胀测定仪（标准法）、水泥安定性试验用雷氏夹（标准法）、高温炉、化学分析用玻璃器皿、游离氧化钙测定仪、化验室统一小磨、电热鼓风干燥箱</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硅酸盐水泥熟料产品单元必备检验设备。</w:t>
            </w:r>
          </w:p>
        </w:tc>
      </w:tr>
      <w:tr>
        <w:tblPrEx>
          <w:tblLayout w:type="fixed"/>
          <w:tblCellMar>
            <w:top w:w="0" w:type="dxa"/>
            <w:left w:w="108" w:type="dxa"/>
            <w:bottom w:w="0" w:type="dxa"/>
            <w:right w:w="108" w:type="dxa"/>
          </w:tblCellMar>
        </w:tblPrEx>
        <w:trPr>
          <w:cantSplit/>
          <w:trHeight w:val="3705" w:hRule="atLeas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w:t>
            </w: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水泥胶砂电动抗折试验机、抗压强度试验机、行星式水泥胶砂搅拌机、水泥胶砂试体成型振实台、40mm×40mm水泥抗压夹具、天平、水泥胶砂试模 、水泥强度试体养护水控温装置、水泥强度/凝结时间/安定性试体带模自动控温养护装置、水泥净浆搅拌机、水泥净浆标准稠度与凝结时间测定仪、水泥安定性试验用沸煮箱、雷氏夹膨胀测定仪（标准法）、水泥安定性试验用雷氏夹（标准法）、水泥标准筛/水泥负压筛析仪、勃氏透气仪、高温炉、电热鼓风干燥箱、水泥胶砂流动度测定仪（跳桌）、游标卡尺、化学分析用玻璃器皿、化验室统一小磨、氯离子测定装置</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特种水泥产品单元必备通用检验设备。</w:t>
            </w:r>
          </w:p>
        </w:tc>
      </w:tr>
      <w:tr>
        <w:tblPrEx>
          <w:tblLayout w:type="fixed"/>
          <w:tblCellMar>
            <w:top w:w="0" w:type="dxa"/>
            <w:left w:w="108" w:type="dxa"/>
            <w:bottom w:w="0" w:type="dxa"/>
            <w:right w:w="108" w:type="dxa"/>
          </w:tblCellMar>
        </w:tblPrEx>
        <w:trPr>
          <w:cantSplit/>
          <w:trHeight w:val="855"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水泥胶砂耐磨试验机*、比长仪*、水泥胶砂耐磨试模、水泥胶砂振动台、干缩养护箱、水泥胶砂干缩试模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钢渣道路水泥必备检验设备。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比长仪*、砂浆渗透仪*、限制钢丝骨架、抗渗试模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明矾石膨胀水泥必备检验设备。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比长仪*、游离氧化钙测定仪*、水泥膨胀试模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道路基层用缓凝硅酸盐水泥必备检验设备。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白度计*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白色硅酸盐水泥必备检验设备。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光谱光度计或光电积分类测色仪*</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彩色硅酸盐水泥必备检验设备。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蒸汽养护箱*</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免压蒸管桩硅酸盐水泥必备检验设备。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激光粒度分析仪*、六价铬测定仪*</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超细硅酸盐水泥必备检验设备。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常压稠化仪*、增压稠化仪*、常压养护箱、高压养护釜、恒速搅拌器</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油井水泥必备检验设备。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比长仪*、自应力水泥试模*、限制钢丝骨架</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自应力铁铝酸盐水泥必备检验设备。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水泥氯离子扩散系数测定装置*、水泥氯离子扩散胶砂试模、真空饱盐设备</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海工硅酸盐水泥必备检验设备。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溶解热测定仪*、火焰光度计*、量热温度计（贝克曼温度计）、水化热恒温水槽、热量计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核电工程用硅酸盐水泥必备检验设备。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溶解热测定仪*、比长仪*、量热温度计（贝克曼温度计）、水化热恒温水槽、热量计、水泥膨胀试模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低热微膨胀水泥必备检验设备。</w:t>
            </w:r>
          </w:p>
        </w:tc>
      </w:tr>
      <w:tr>
        <w:tblPrEx>
          <w:tblLayout w:type="fixed"/>
          <w:tblCellMar>
            <w:top w:w="0" w:type="dxa"/>
            <w:left w:w="108" w:type="dxa"/>
            <w:bottom w:w="0" w:type="dxa"/>
            <w:right w:w="108" w:type="dxa"/>
          </w:tblCellMar>
        </w:tblPrEx>
        <w:trPr>
          <w:cantSplit/>
          <w:trHeight w:val="855"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溶解热测定仪*、量热温度计（贝克曼温度计）、水化热恒温水槽、热量计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中热硅酸盐水泥、低热硅酸盐水泥必备检验设备。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溶解热测定仪*、量热温度计（贝克曼温度计）、水化热恒温水槽、热量计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低热钢渣硅酸盐水泥必备检验设备。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比长仪*、水泥膨胀试模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硫铝酸钙改性硅酸盐水泥必备检验设备。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比长仪*、水泥膨胀试模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复合硫铝酸盐水泥必备检验设备。</w:t>
            </w:r>
          </w:p>
        </w:tc>
      </w:tr>
      <w:tr>
        <w:tblPrEx>
          <w:tblLayout w:type="fixed"/>
          <w:tblCellMar>
            <w:top w:w="0" w:type="dxa"/>
            <w:left w:w="108" w:type="dxa"/>
            <w:bottom w:w="0" w:type="dxa"/>
            <w:right w:w="108" w:type="dxa"/>
          </w:tblCellMar>
        </w:tblPrEx>
        <w:trPr>
          <w:cantSplit/>
          <w:trHeight w:val="570"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56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比长仪*、火焰光度计*、酸度计*、水泥膨胀试模</w:t>
            </w:r>
          </w:p>
        </w:tc>
        <w:tc>
          <w:tcPr>
            <w:tcW w:w="2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硫铝酸盐水泥必备检验设备。</w:t>
            </w:r>
          </w:p>
        </w:tc>
      </w:tr>
      <w:tr>
        <w:tblPrEx>
          <w:tblLayout w:type="fixed"/>
          <w:tblCellMar>
            <w:top w:w="0" w:type="dxa"/>
            <w:left w:w="108" w:type="dxa"/>
            <w:bottom w:w="0" w:type="dxa"/>
            <w:right w:w="108" w:type="dxa"/>
          </w:tblCellMar>
        </w:tblPrEx>
        <w:trPr>
          <w:cantSplit/>
          <w:trHeight w:val="1485" w:hRule="atLeast"/>
        </w:trPr>
        <w:tc>
          <w:tcPr>
            <w:tcW w:w="8760" w:type="dxa"/>
            <w:gridSpan w:val="3"/>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Cs w:val="21"/>
              </w:rPr>
            </w:pPr>
            <w:r>
              <w:rPr>
                <w:rFonts w:hint="eastAsia" w:ascii="宋体" w:hAnsi="宋体" w:cs="宋体"/>
                <w:kern w:val="0"/>
                <w:szCs w:val="21"/>
              </w:rPr>
              <w:t>注：1.本表为企业生产水泥产品应具备的必备检验设备（产品标准中出厂检验项目所需的检验设备），可与上述设备名称不同，但应满足上述设备的功能性能精度要求。</w:t>
            </w:r>
            <w:r>
              <w:rPr>
                <w:rFonts w:hint="eastAsia" w:ascii="宋体" w:hAnsi="宋体" w:cs="宋体"/>
                <w:kern w:val="0"/>
                <w:szCs w:val="21"/>
              </w:rPr>
              <w:br w:type="textWrapping"/>
            </w:r>
            <w:r>
              <w:rPr>
                <w:rFonts w:hint="eastAsia" w:ascii="宋体" w:hAnsi="宋体" w:cs="宋体"/>
                <w:kern w:val="0"/>
                <w:szCs w:val="21"/>
              </w:rPr>
              <w:t>2.特种水泥单元中带“*”设备为关键检验设备，企业获证后关键检验设备发生变化的（不包含相同设备数量增减变化），一个月内应向企业所在地省级市场监管部门提交许可范围变更申请。</w:t>
            </w:r>
          </w:p>
          <w:p>
            <w:pPr>
              <w:widowControl/>
              <w:jc w:val="left"/>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生产铝酸盐水泥、抗硫酸盐硅酸盐水泥、道路硅酸盐水泥、快凝快硬硫铝酸盐水泥产品，必备特种水泥单元明确的通用检验设备。</w:t>
            </w:r>
          </w:p>
        </w:tc>
      </w:tr>
    </w:tbl>
    <w:p>
      <w:pPr>
        <w:spacing w:line="400" w:lineRule="exact"/>
        <w:ind w:firstLine="420" w:firstLineChars="200"/>
        <w:jc w:val="left"/>
        <w:rPr>
          <w:rFonts w:asciiTheme="minorEastAsia" w:hAnsiTheme="minorEastAsia" w:eastAsiaTheme="minorEastAsia"/>
          <w:szCs w:val="24"/>
        </w:rPr>
      </w:pPr>
      <w:r>
        <w:rPr>
          <w:rFonts w:hint="eastAsia" w:asciiTheme="minorEastAsia" w:hAnsiTheme="minorEastAsia" w:eastAsiaTheme="minorEastAsia"/>
          <w:szCs w:val="24"/>
        </w:rPr>
        <w:t>第五条 证书要求</w:t>
      </w:r>
    </w:p>
    <w:p>
      <w:pPr>
        <w:pStyle w:val="80"/>
        <w:tabs>
          <w:tab w:val="left" w:pos="1276"/>
        </w:tabs>
        <w:spacing w:line="400" w:lineRule="exact"/>
        <w:rPr>
          <w:rFonts w:ascii="宋体" w:hAnsi="宋体"/>
          <w:kern w:val="0"/>
          <w:szCs w:val="24"/>
        </w:rPr>
      </w:pPr>
      <w:r>
        <w:rPr>
          <w:rFonts w:hint="eastAsia" w:ascii="宋体" w:hAnsi="宋体"/>
          <w:kern w:val="0"/>
          <w:szCs w:val="24"/>
        </w:rPr>
        <w:t>证书明细应包括产品单元名称、生产类型、生产线及熟料、关键设备名称及数量，特种水泥单元证书还需注明关键检验设备，示例见表</w:t>
      </w:r>
      <w:r>
        <w:rPr>
          <w:rFonts w:ascii="宋体" w:hAnsi="宋体"/>
          <w:kern w:val="0"/>
          <w:szCs w:val="24"/>
        </w:rPr>
        <w:t>5</w:t>
      </w:r>
      <w:r>
        <w:rPr>
          <w:rFonts w:hint="eastAsia" w:ascii="宋体" w:hAnsi="宋体"/>
          <w:kern w:val="0"/>
          <w:szCs w:val="24"/>
        </w:rPr>
        <w:t>。</w:t>
      </w:r>
    </w:p>
    <w:p>
      <w:pPr>
        <w:pStyle w:val="80"/>
        <w:tabs>
          <w:tab w:val="left" w:pos="1276"/>
        </w:tabs>
        <w:spacing w:line="400" w:lineRule="exact"/>
        <w:rPr>
          <w:rFonts w:ascii="宋体" w:hAnsi="宋体"/>
          <w:kern w:val="0"/>
          <w:szCs w:val="24"/>
        </w:rPr>
      </w:pPr>
    </w:p>
    <w:p>
      <w:pPr>
        <w:spacing w:line="360" w:lineRule="auto"/>
        <w:ind w:firstLine="422" w:firstLineChars="200"/>
        <w:jc w:val="center"/>
        <w:rPr>
          <w:rFonts w:ascii="宋体" w:hAnsi="宋体"/>
          <w:b/>
        </w:rPr>
      </w:pPr>
      <w:r>
        <w:rPr>
          <w:rFonts w:hint="eastAsia" w:ascii="宋体" w:hAnsi="宋体"/>
          <w:b/>
        </w:rPr>
        <w:t>表</w:t>
      </w:r>
      <w:r>
        <w:rPr>
          <w:rFonts w:ascii="宋体" w:hAnsi="宋体"/>
          <w:b/>
        </w:rPr>
        <w:t>5</w:t>
      </w:r>
      <w:r>
        <w:rPr>
          <w:rFonts w:hint="eastAsia" w:ascii="宋体" w:hAnsi="宋体"/>
          <w:b/>
        </w:rPr>
        <w:t>证书产品明细内容示例</w:t>
      </w:r>
    </w:p>
    <w:tbl>
      <w:tblPr>
        <w:tblStyle w:val="43"/>
        <w:tblW w:w="8075" w:type="dxa"/>
        <w:jc w:val="center"/>
        <w:tblInd w:w="0" w:type="dxa"/>
        <w:tblLayout w:type="fixed"/>
        <w:tblCellMar>
          <w:top w:w="0" w:type="dxa"/>
          <w:left w:w="108" w:type="dxa"/>
          <w:bottom w:w="0" w:type="dxa"/>
          <w:right w:w="108" w:type="dxa"/>
        </w:tblCellMar>
      </w:tblPr>
      <w:tblGrid>
        <w:gridCol w:w="664"/>
        <w:gridCol w:w="2308"/>
        <w:gridCol w:w="5103"/>
      </w:tblGrid>
      <w:tr>
        <w:tblPrEx>
          <w:tblLayout w:type="fixed"/>
          <w:tblCellMar>
            <w:top w:w="0" w:type="dxa"/>
            <w:left w:w="108" w:type="dxa"/>
            <w:bottom w:w="0" w:type="dxa"/>
            <w:right w:w="108" w:type="dxa"/>
          </w:tblCellMar>
        </w:tblPrEx>
        <w:trPr>
          <w:trHeight w:val="536" w:hRule="atLeast"/>
          <w:tblHeader/>
          <w:jc w:val="center"/>
        </w:trPr>
        <w:tc>
          <w:tcPr>
            <w:tcW w:w="6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b/>
              </w:rPr>
            </w:pPr>
            <w:r>
              <w:rPr>
                <w:rFonts w:hint="eastAsia"/>
                <w:b/>
              </w:rPr>
              <w:t>序号</w:t>
            </w:r>
          </w:p>
        </w:tc>
        <w:tc>
          <w:tcPr>
            <w:tcW w:w="23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b/>
              </w:rPr>
            </w:pPr>
            <w:r>
              <w:rPr>
                <w:rFonts w:hint="eastAsia"/>
                <w:b/>
              </w:rPr>
              <w:t>产品单元</w:t>
            </w:r>
          </w:p>
        </w:tc>
        <w:tc>
          <w:tcPr>
            <w:tcW w:w="51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b/>
              </w:rPr>
            </w:pPr>
            <w:r>
              <w:rPr>
                <w:rFonts w:hint="eastAsia"/>
                <w:b/>
              </w:rPr>
              <w:t>证书产品明细</w:t>
            </w:r>
          </w:p>
        </w:tc>
      </w:tr>
      <w:tr>
        <w:tblPrEx>
          <w:tblLayout w:type="fixed"/>
          <w:tblCellMar>
            <w:top w:w="0" w:type="dxa"/>
            <w:left w:w="108" w:type="dxa"/>
            <w:bottom w:w="0" w:type="dxa"/>
            <w:right w:w="108" w:type="dxa"/>
          </w:tblCellMar>
        </w:tblPrEx>
        <w:trPr>
          <w:trHeight w:val="1305" w:hRule="atLeast"/>
          <w:jc w:val="center"/>
        </w:trPr>
        <w:tc>
          <w:tcPr>
            <w:tcW w:w="6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1</w:t>
            </w:r>
          </w:p>
        </w:tc>
        <w:tc>
          <w:tcPr>
            <w:tcW w:w="23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通用水泥42.5</w:t>
            </w:r>
          </w:p>
        </w:tc>
        <w:tc>
          <w:tcPr>
            <w:tcW w:w="51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pPr>
            <w:r>
              <w:rPr>
                <w:rFonts w:hint="eastAsia"/>
              </w:rPr>
              <w:t>产品：通用水泥42.5；</w:t>
            </w:r>
          </w:p>
          <w:p>
            <w:pPr>
              <w:tabs>
                <w:tab w:val="left" w:pos="1418"/>
              </w:tabs>
              <w:snapToGrid w:val="0"/>
            </w:pPr>
            <w:r>
              <w:rPr>
                <w:rFonts w:hint="eastAsia"/>
              </w:rPr>
              <w:t>生产类型：粉磨站；</w:t>
            </w:r>
          </w:p>
          <w:p>
            <w:pPr>
              <w:tabs>
                <w:tab w:val="left" w:pos="1418"/>
              </w:tabs>
              <w:snapToGrid w:val="0"/>
            </w:pPr>
            <w:r>
              <w:rPr>
                <w:rFonts w:hint="eastAsia"/>
              </w:rPr>
              <w:t>生产线：1条粉磨生产线；</w:t>
            </w:r>
          </w:p>
          <w:p>
            <w:pPr>
              <w:tabs>
                <w:tab w:val="left" w:pos="1418"/>
              </w:tabs>
              <w:snapToGrid w:val="0"/>
            </w:pPr>
            <w:r>
              <w:rPr>
                <w:rFonts w:hint="eastAsia"/>
              </w:rPr>
              <w:t>关键生产设备：Φ3.8×13m水泥磨机1台</w:t>
            </w:r>
          </w:p>
        </w:tc>
      </w:tr>
      <w:tr>
        <w:tblPrEx>
          <w:tblLayout w:type="fixed"/>
          <w:tblCellMar>
            <w:top w:w="0" w:type="dxa"/>
            <w:left w:w="108" w:type="dxa"/>
            <w:bottom w:w="0" w:type="dxa"/>
            <w:right w:w="108" w:type="dxa"/>
          </w:tblCellMar>
        </w:tblPrEx>
        <w:trPr>
          <w:trHeight w:val="1591" w:hRule="atLeast"/>
          <w:jc w:val="center"/>
        </w:trPr>
        <w:tc>
          <w:tcPr>
            <w:tcW w:w="6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2</w:t>
            </w:r>
          </w:p>
        </w:tc>
        <w:tc>
          <w:tcPr>
            <w:tcW w:w="23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通用水泥52.5</w:t>
            </w:r>
          </w:p>
        </w:tc>
        <w:tc>
          <w:tcPr>
            <w:tcW w:w="51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pPr>
            <w:r>
              <w:rPr>
                <w:rFonts w:hint="eastAsia"/>
              </w:rPr>
              <w:t>产品：通用水泥52.5；</w:t>
            </w:r>
          </w:p>
          <w:p>
            <w:pPr>
              <w:snapToGrid w:val="0"/>
            </w:pPr>
            <w:r>
              <w:rPr>
                <w:rFonts w:hint="eastAsia"/>
              </w:rPr>
              <w:t>生产类型：水泥厂；</w:t>
            </w:r>
          </w:p>
          <w:p>
            <w:pPr>
              <w:tabs>
                <w:tab w:val="left" w:pos="1418"/>
              </w:tabs>
              <w:snapToGrid w:val="0"/>
            </w:pPr>
            <w:r>
              <w:rPr>
                <w:rFonts w:hint="eastAsia"/>
              </w:rPr>
              <w:t>生产线A：1条熟料生产线；</w:t>
            </w:r>
          </w:p>
          <w:p>
            <w:pPr>
              <w:tabs>
                <w:tab w:val="left" w:pos="1418"/>
              </w:tabs>
              <w:snapToGrid w:val="0"/>
            </w:pPr>
            <w:r>
              <w:rPr>
                <w:rFonts w:hint="eastAsia"/>
              </w:rPr>
              <w:t>关键生产设备A：Φ3.2×46m回转窑1台；</w:t>
            </w:r>
          </w:p>
          <w:p>
            <w:pPr>
              <w:tabs>
                <w:tab w:val="left" w:pos="1418"/>
              </w:tabs>
              <w:snapToGrid w:val="0"/>
            </w:pPr>
            <w:r>
              <w:rPr>
                <w:rFonts w:hint="eastAsia"/>
              </w:rPr>
              <w:t>生产线B：1条粉磨生产线；</w:t>
            </w:r>
          </w:p>
          <w:p>
            <w:pPr>
              <w:tabs>
                <w:tab w:val="left" w:pos="1418"/>
              </w:tabs>
              <w:snapToGrid w:val="0"/>
            </w:pPr>
            <w:r>
              <w:rPr>
                <w:rFonts w:hint="eastAsia"/>
              </w:rPr>
              <w:t>关键生产设备B：Φ3.0×11m水泥磨机1台</w:t>
            </w:r>
          </w:p>
        </w:tc>
      </w:tr>
      <w:tr>
        <w:tblPrEx>
          <w:tblLayout w:type="fixed"/>
          <w:tblCellMar>
            <w:top w:w="0" w:type="dxa"/>
            <w:left w:w="108" w:type="dxa"/>
            <w:bottom w:w="0" w:type="dxa"/>
            <w:right w:w="108" w:type="dxa"/>
          </w:tblCellMar>
        </w:tblPrEx>
        <w:trPr>
          <w:trHeight w:val="1333" w:hRule="atLeast"/>
          <w:jc w:val="center"/>
        </w:trPr>
        <w:tc>
          <w:tcPr>
            <w:tcW w:w="6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3</w:t>
            </w:r>
          </w:p>
        </w:tc>
        <w:tc>
          <w:tcPr>
            <w:tcW w:w="23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硅酸盐水泥熟料</w:t>
            </w:r>
          </w:p>
        </w:tc>
        <w:tc>
          <w:tcPr>
            <w:tcW w:w="51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pPr>
            <w:r>
              <w:rPr>
                <w:rFonts w:hint="eastAsia"/>
              </w:rPr>
              <w:t>产品：硅酸盐水泥熟料；</w:t>
            </w:r>
          </w:p>
          <w:p>
            <w:pPr>
              <w:tabs>
                <w:tab w:val="left" w:pos="1418"/>
              </w:tabs>
              <w:snapToGrid w:val="0"/>
            </w:pPr>
            <w:r>
              <w:rPr>
                <w:rFonts w:hint="eastAsia"/>
              </w:rPr>
              <w:t>生产类型：熟料厂；</w:t>
            </w:r>
          </w:p>
          <w:p>
            <w:pPr>
              <w:tabs>
                <w:tab w:val="left" w:pos="1418"/>
              </w:tabs>
              <w:snapToGrid w:val="0"/>
            </w:pPr>
            <w:r>
              <w:rPr>
                <w:rFonts w:hint="eastAsia"/>
              </w:rPr>
              <w:t>生产线：1条熟料生产线；</w:t>
            </w:r>
          </w:p>
          <w:p>
            <w:pPr>
              <w:tabs>
                <w:tab w:val="left" w:pos="1418"/>
              </w:tabs>
              <w:snapToGrid w:val="0"/>
            </w:pPr>
            <w:r>
              <w:rPr>
                <w:rFonts w:hint="eastAsia"/>
              </w:rPr>
              <w:t>关键生产设备：Φ4.8×74m回转窑1台</w:t>
            </w:r>
          </w:p>
        </w:tc>
      </w:tr>
      <w:tr>
        <w:tblPrEx>
          <w:tblLayout w:type="fixed"/>
          <w:tblCellMar>
            <w:top w:w="0" w:type="dxa"/>
            <w:left w:w="108" w:type="dxa"/>
            <w:bottom w:w="0" w:type="dxa"/>
            <w:right w:w="108" w:type="dxa"/>
          </w:tblCellMar>
        </w:tblPrEx>
        <w:trPr>
          <w:trHeight w:val="2145" w:hRule="atLeast"/>
          <w:jc w:val="center"/>
        </w:trPr>
        <w:tc>
          <w:tcPr>
            <w:tcW w:w="6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4</w:t>
            </w:r>
          </w:p>
        </w:tc>
        <w:tc>
          <w:tcPr>
            <w:tcW w:w="23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特种水泥</w:t>
            </w:r>
          </w:p>
        </w:tc>
        <w:tc>
          <w:tcPr>
            <w:tcW w:w="51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pPr>
            <w:r>
              <w:rPr>
                <w:rFonts w:hint="eastAsia"/>
              </w:rPr>
              <w:t>产品：特种水泥；</w:t>
            </w:r>
          </w:p>
          <w:p>
            <w:pPr>
              <w:tabs>
                <w:tab w:val="left" w:pos="1418"/>
              </w:tabs>
              <w:snapToGrid w:val="0"/>
            </w:pPr>
            <w:r>
              <w:rPr>
                <w:rFonts w:hint="eastAsia"/>
              </w:rPr>
              <w:t>生产类型：水泥厂；</w:t>
            </w:r>
          </w:p>
          <w:p>
            <w:pPr>
              <w:tabs>
                <w:tab w:val="left" w:pos="1418"/>
              </w:tabs>
              <w:snapToGrid w:val="0"/>
            </w:pPr>
            <w:r>
              <w:rPr>
                <w:rFonts w:hint="eastAsia"/>
              </w:rPr>
              <w:t>生产线A：1条熟料生产线；</w:t>
            </w:r>
          </w:p>
          <w:p>
            <w:pPr>
              <w:tabs>
                <w:tab w:val="left" w:pos="1418"/>
              </w:tabs>
              <w:snapToGrid w:val="0"/>
            </w:pPr>
            <w:r>
              <w:rPr>
                <w:rFonts w:hint="eastAsia"/>
              </w:rPr>
              <w:t>关键生产设备A：Φ3.2×46m回转窑1台；</w:t>
            </w:r>
          </w:p>
          <w:p>
            <w:pPr>
              <w:tabs>
                <w:tab w:val="left" w:pos="1418"/>
              </w:tabs>
              <w:snapToGrid w:val="0"/>
            </w:pPr>
            <w:r>
              <w:rPr>
                <w:rFonts w:hint="eastAsia"/>
              </w:rPr>
              <w:t>生产线B：1条粉磨生产线；</w:t>
            </w:r>
          </w:p>
          <w:p>
            <w:pPr>
              <w:tabs>
                <w:tab w:val="left" w:pos="1418"/>
              </w:tabs>
              <w:snapToGrid w:val="0"/>
            </w:pPr>
            <w:r>
              <w:rPr>
                <w:rFonts w:hint="eastAsia"/>
              </w:rPr>
              <w:t>关键生产设备B：Φ3.0×11m水泥磨机1台；</w:t>
            </w:r>
          </w:p>
          <w:p>
            <w:pPr>
              <w:tabs>
                <w:tab w:val="left" w:pos="1418"/>
              </w:tabs>
              <w:snapToGrid w:val="0"/>
            </w:pPr>
            <w:r>
              <w:rPr>
                <w:rFonts w:hint="eastAsia"/>
              </w:rPr>
              <w:t>关键检验设备：溶解热测定仪</w:t>
            </w:r>
          </w:p>
        </w:tc>
      </w:tr>
      <w:tr>
        <w:tblPrEx>
          <w:tblLayout w:type="fixed"/>
          <w:tblCellMar>
            <w:top w:w="0" w:type="dxa"/>
            <w:left w:w="108" w:type="dxa"/>
            <w:bottom w:w="0" w:type="dxa"/>
            <w:right w:w="108" w:type="dxa"/>
          </w:tblCellMar>
        </w:tblPrEx>
        <w:trPr>
          <w:trHeight w:val="1861" w:hRule="atLeast"/>
          <w:jc w:val="center"/>
        </w:trPr>
        <w:tc>
          <w:tcPr>
            <w:tcW w:w="6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5</w:t>
            </w:r>
          </w:p>
        </w:tc>
        <w:tc>
          <w:tcPr>
            <w:tcW w:w="23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1418"/>
              </w:tabs>
              <w:snapToGrid w:val="0"/>
              <w:spacing w:line="360" w:lineRule="auto"/>
              <w:jc w:val="center"/>
            </w:pPr>
            <w:r>
              <w:rPr>
                <w:rFonts w:hint="eastAsia"/>
              </w:rPr>
              <w:t>通用水泥52.5</w:t>
            </w:r>
          </w:p>
          <w:p>
            <w:pPr>
              <w:tabs>
                <w:tab w:val="left" w:pos="1418"/>
              </w:tabs>
              <w:snapToGrid w:val="0"/>
              <w:spacing w:line="360" w:lineRule="auto"/>
              <w:jc w:val="center"/>
            </w:pPr>
            <w:r>
              <w:rPr>
                <w:rFonts w:hint="eastAsia"/>
              </w:rPr>
              <w:t>特种水泥</w:t>
            </w:r>
          </w:p>
        </w:tc>
        <w:tc>
          <w:tcPr>
            <w:tcW w:w="51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pPr>
            <w:r>
              <w:rPr>
                <w:rFonts w:hint="eastAsia"/>
              </w:rPr>
              <w:t>产品：通用水泥52.5；</w:t>
            </w:r>
          </w:p>
          <w:p>
            <w:pPr>
              <w:snapToGrid w:val="0"/>
            </w:pPr>
            <w:r>
              <w:rPr>
                <w:rFonts w:hint="eastAsia"/>
              </w:rPr>
              <w:t>生产类型：水泥厂；</w:t>
            </w:r>
          </w:p>
          <w:p>
            <w:pPr>
              <w:tabs>
                <w:tab w:val="left" w:pos="1418"/>
              </w:tabs>
              <w:snapToGrid w:val="0"/>
            </w:pPr>
            <w:r>
              <w:rPr>
                <w:rFonts w:hint="eastAsia"/>
              </w:rPr>
              <w:t>生产线A：1条熟料生产线；</w:t>
            </w:r>
          </w:p>
          <w:p>
            <w:pPr>
              <w:tabs>
                <w:tab w:val="left" w:pos="1418"/>
              </w:tabs>
              <w:snapToGrid w:val="0"/>
            </w:pPr>
            <w:r>
              <w:rPr>
                <w:rFonts w:hint="eastAsia"/>
              </w:rPr>
              <w:t>关键生产设备A：Φ4.3×50m回转窑1台；</w:t>
            </w:r>
          </w:p>
          <w:p>
            <w:pPr>
              <w:tabs>
                <w:tab w:val="left" w:pos="1418"/>
              </w:tabs>
              <w:snapToGrid w:val="0"/>
            </w:pPr>
            <w:r>
              <w:rPr>
                <w:rFonts w:hint="eastAsia"/>
              </w:rPr>
              <w:t>生产线B：2条粉磨生产线；</w:t>
            </w:r>
          </w:p>
          <w:p>
            <w:pPr>
              <w:tabs>
                <w:tab w:val="left" w:pos="1418"/>
              </w:tabs>
              <w:snapToGrid w:val="0"/>
            </w:pPr>
            <w:r>
              <w:rPr>
                <w:rFonts w:hint="eastAsia"/>
              </w:rPr>
              <w:t>关键生产设备B：Φ4.0×13m水泥磨机1台；Φ4.2×13m水泥磨机1台</w:t>
            </w:r>
          </w:p>
        </w:tc>
      </w:tr>
    </w:tbl>
    <w:p>
      <w:pPr>
        <w:adjustRightInd w:val="0"/>
        <w:snapToGrid w:val="0"/>
        <w:spacing w:line="400" w:lineRule="exact"/>
        <w:ind w:firstLine="420" w:firstLineChars="200"/>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spacing w:line="360" w:lineRule="auto"/>
        <w:ind w:firstLine="422" w:firstLineChars="200"/>
        <w:jc w:val="center"/>
        <w:rPr>
          <w:rFonts w:ascii="宋体" w:hAnsi="宋体"/>
          <w:b/>
        </w:rPr>
      </w:pPr>
      <w:bookmarkStart w:id="2" w:name="_GoBack"/>
      <w:bookmarkEnd w:id="2"/>
    </w:p>
    <w:p>
      <w:pPr>
        <w:widowControl/>
        <w:ind w:firstLine="420" w:firstLineChars="200"/>
        <w:jc w:val="left"/>
        <w:rPr>
          <w:rFonts w:cs="Calibri" w:asciiTheme="minorEastAsia" w:hAnsiTheme="minorEastAsia" w:eastAsiaTheme="minorEastAsia"/>
          <w:szCs w:val="24"/>
        </w:rPr>
      </w:pPr>
      <w:r>
        <w:rPr>
          <w:rFonts w:hint="eastAsia" w:cs="Calibri" w:asciiTheme="minorEastAsia" w:hAnsiTheme="minorEastAsia" w:eastAsiaTheme="minorEastAsia"/>
          <w:szCs w:val="24"/>
        </w:rPr>
        <w:t>附件：水泥产品执行的标准及检验项目。</w:t>
      </w:r>
    </w:p>
    <w:p>
      <w:pPr>
        <w:widowControl/>
        <w:jc w:val="left"/>
        <w:rPr>
          <w:rFonts w:cs="Calibri" w:asciiTheme="minorEastAsia" w:hAnsiTheme="minorEastAsia" w:eastAsiaTheme="minorEastAsia"/>
          <w:szCs w:val="24"/>
        </w:rPr>
        <w:sectPr>
          <w:footerReference r:id="rId4" w:type="default"/>
          <w:pgSz w:w="11906" w:h="16838"/>
          <w:pgMar w:top="1644" w:right="1418" w:bottom="1417" w:left="1418" w:header="851" w:footer="992" w:gutter="0"/>
          <w:pgNumType w:start="1"/>
          <w:cols w:space="0" w:num="1"/>
          <w:docGrid w:linePitch="312" w:charSpace="0"/>
        </w:sectPr>
      </w:pPr>
    </w:p>
    <w:p>
      <w:pPr>
        <w:pStyle w:val="80"/>
        <w:spacing w:line="360" w:lineRule="auto"/>
        <w:ind w:firstLine="0" w:firstLineChars="0"/>
        <w:rPr>
          <w:rFonts w:ascii="宋体" w:hAnsi="宋体"/>
          <w:b/>
          <w:kern w:val="0"/>
          <w:szCs w:val="24"/>
        </w:rPr>
      </w:pPr>
      <w:r>
        <w:rPr>
          <w:rFonts w:hint="eastAsia" w:ascii="宋体" w:hAnsi="宋体"/>
          <w:b/>
          <w:kern w:val="0"/>
          <w:szCs w:val="24"/>
        </w:rPr>
        <w:t>附件</w:t>
      </w:r>
    </w:p>
    <w:p>
      <w:pPr>
        <w:pStyle w:val="80"/>
        <w:spacing w:line="400" w:lineRule="exact"/>
        <w:ind w:firstLine="0" w:firstLineChars="0"/>
        <w:jc w:val="center"/>
        <w:rPr>
          <w:rFonts w:ascii="方正黑体简体" w:hAnsi="方正黑体简体" w:eastAsia="方正黑体简体" w:cs="方正黑体简体"/>
          <w:bCs/>
          <w:sz w:val="24"/>
          <w:szCs w:val="24"/>
        </w:rPr>
      </w:pPr>
      <w:r>
        <w:rPr>
          <w:rFonts w:hint="eastAsia" w:ascii="方正黑体简体" w:hAnsi="方正黑体简体" w:eastAsia="方正黑体简体" w:cs="方正黑体简体"/>
          <w:bCs/>
          <w:kern w:val="0"/>
          <w:sz w:val="24"/>
          <w:szCs w:val="24"/>
        </w:rPr>
        <w:t>水泥产品执行的标准及检</w:t>
      </w:r>
      <w:r>
        <w:rPr>
          <w:rFonts w:hint="eastAsia" w:ascii="方正黑体简体" w:hAnsi="方正黑体简体" w:eastAsia="方正黑体简体" w:cs="方正黑体简体"/>
          <w:bCs/>
          <w:sz w:val="24"/>
          <w:szCs w:val="24"/>
        </w:rPr>
        <w:t>验项目</w:t>
      </w:r>
    </w:p>
    <w:p>
      <w:pPr>
        <w:pStyle w:val="80"/>
        <w:spacing w:after="120" w:afterLines="50" w:line="400" w:lineRule="exact"/>
        <w:ind w:firstLine="0" w:firstLineChars="0"/>
        <w:jc w:val="center"/>
        <w:rPr>
          <w:rFonts w:ascii="宋体" w:hAnsi="宋体"/>
          <w:b/>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43"/>
        <w:tblW w:w="12507"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697"/>
        <w:gridCol w:w="1710"/>
        <w:gridCol w:w="4115"/>
        <w:gridCol w:w="598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blHeader/>
          <w:jc w:val="center"/>
        </w:trPr>
        <w:tc>
          <w:tcPr>
            <w:tcW w:w="697"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序号</w:t>
            </w:r>
          </w:p>
        </w:tc>
        <w:tc>
          <w:tcPr>
            <w:tcW w:w="1710"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产品单元</w:t>
            </w:r>
          </w:p>
        </w:tc>
        <w:tc>
          <w:tcPr>
            <w:tcW w:w="4115"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产品标准名称</w:t>
            </w:r>
          </w:p>
        </w:tc>
        <w:tc>
          <w:tcPr>
            <w:tcW w:w="5985"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检验项目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p>
        </w:tc>
        <w:tc>
          <w:tcPr>
            <w:tcW w:w="1710" w:type="dxa"/>
            <w:vMerge w:val="restart"/>
            <w:tcBorders>
              <w:tl2br w:val="nil"/>
              <w:tr2bl w:val="nil"/>
            </w:tcBorders>
            <w:vAlign w:val="center"/>
          </w:tcPr>
          <w:p>
            <w:pPr>
              <w:spacing w:before="72" w:beforeLines="30" w:line="280" w:lineRule="exact"/>
              <w:jc w:val="center"/>
              <w:rPr>
                <w:rFonts w:ascii="宋体" w:hAnsi="宋体"/>
              </w:rPr>
            </w:pPr>
            <w:r>
              <w:rPr>
                <w:rFonts w:hint="eastAsia" w:cs="宋体"/>
              </w:rPr>
              <w:t>通用水泥32.5、通用水泥42.5、通用水泥52.5、通用水泥62.5</w:t>
            </w:r>
          </w:p>
        </w:tc>
        <w:tc>
          <w:tcPr>
            <w:tcW w:w="4115" w:type="dxa"/>
            <w:tcBorders>
              <w:tl2br w:val="nil"/>
              <w:tr2bl w:val="nil"/>
            </w:tcBorders>
            <w:vAlign w:val="center"/>
          </w:tcPr>
          <w:p>
            <w:pPr>
              <w:snapToGrid w:val="0"/>
              <w:spacing w:line="0" w:lineRule="atLeast"/>
              <w:jc w:val="center"/>
              <w:rPr>
                <w:rFonts w:cs="宋体"/>
              </w:rPr>
            </w:pPr>
            <w:r>
              <w:rPr>
                <w:rFonts w:hint="eastAsia" w:cs="宋体"/>
              </w:rPr>
              <w:t>GB 175-2007 通用硅酸盐水泥</w:t>
            </w:r>
          </w:p>
        </w:tc>
        <w:tc>
          <w:tcPr>
            <w:tcW w:w="5985" w:type="dxa"/>
            <w:tcBorders>
              <w:tl2br w:val="nil"/>
              <w:tr2bl w:val="nil"/>
            </w:tcBorders>
            <w:vAlign w:val="center"/>
          </w:tcPr>
          <w:p>
            <w:pPr>
              <w:snapToGrid w:val="0"/>
              <w:jc w:val="left"/>
              <w:rPr>
                <w:szCs w:val="21"/>
              </w:rPr>
            </w:pPr>
            <w:r>
              <w:rPr>
                <w:rFonts w:hint="eastAsia"/>
                <w:szCs w:val="21"/>
              </w:rPr>
              <w:t>不溶物（仅硅酸盐水泥产品适用）、烧失量（仅硅酸盐水泥、普通硅酸盐水泥产品适用）、三氧化硫、氧化镁（除矿渣硅酸盐水泥B型以外的产品全部适用）、氯离子、凝结时间、安定性、强度、水溶性铬（VI）、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hint="eastAsia" w:ascii="宋体" w:hAnsi="宋体"/>
              </w:rPr>
              <w:t>2</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spacing w:line="0" w:lineRule="atLeast"/>
              <w:jc w:val="center"/>
              <w:rPr>
                <w:rFonts w:cs="宋体"/>
              </w:rPr>
            </w:pPr>
            <w:r>
              <w:rPr>
                <w:rFonts w:hint="eastAsia" w:cs="宋体"/>
              </w:rPr>
              <w:t>GB/T 3183-2017 砌筑水泥</w:t>
            </w:r>
          </w:p>
        </w:tc>
        <w:tc>
          <w:tcPr>
            <w:tcW w:w="5985" w:type="dxa"/>
            <w:tcBorders>
              <w:tl2br w:val="nil"/>
              <w:tr2bl w:val="nil"/>
            </w:tcBorders>
            <w:vAlign w:val="center"/>
          </w:tcPr>
          <w:p>
            <w:pPr>
              <w:snapToGrid w:val="0"/>
              <w:jc w:val="left"/>
              <w:rPr>
                <w:szCs w:val="21"/>
              </w:rPr>
            </w:pPr>
            <w:r>
              <w:rPr>
                <w:rFonts w:hint="eastAsia"/>
                <w:szCs w:val="21"/>
              </w:rPr>
              <w:t>三氧化硫、氯离子、细度、凝结时间、沸煮法安定性、保水率、强度、水溶性铬（VI）、放射性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op w:val="single" w:color="auto" w:sz="4" w:space="0"/>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3</w:t>
            </w:r>
          </w:p>
        </w:tc>
        <w:tc>
          <w:tcPr>
            <w:tcW w:w="1710"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13590-2006 钢渣硅酸盐水泥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三氧化硫</w:t>
            </w:r>
            <w:r>
              <w:rPr>
                <w:szCs w:val="21"/>
              </w:rPr>
              <w:t>、</w:t>
            </w:r>
            <w:r>
              <w:rPr>
                <w:rFonts w:hint="eastAsia"/>
                <w:szCs w:val="21"/>
              </w:rPr>
              <w:t>比表面积</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4</w:t>
            </w:r>
          </w:p>
        </w:tc>
        <w:tc>
          <w:tcPr>
            <w:tcW w:w="1710" w:type="dxa"/>
            <w:vMerge w:val="continue"/>
            <w:tcBorders>
              <w:tl2br w:val="nil"/>
              <w:tr2bl w:val="nil"/>
            </w:tcBorders>
            <w:vAlign w:val="center"/>
          </w:tcPr>
          <w:p>
            <w:pPr>
              <w:spacing w:before="72" w:beforeLines="30" w:line="280" w:lineRule="exact"/>
              <w:jc w:val="center"/>
              <w:rPr>
                <w:rFonts w:ascii="宋体" w:hAnsi="宋体"/>
                <w:b/>
                <w:szCs w:val="21"/>
              </w:rPr>
            </w:pPr>
          </w:p>
        </w:tc>
        <w:tc>
          <w:tcPr>
            <w:tcW w:w="4115" w:type="dxa"/>
            <w:tcBorders>
              <w:tl2br w:val="nil"/>
              <w:tr2bl w:val="nil"/>
            </w:tcBorders>
            <w:vAlign w:val="center"/>
          </w:tcPr>
          <w:p>
            <w:pPr>
              <w:snapToGrid w:val="0"/>
              <w:spacing w:line="0" w:lineRule="atLeast"/>
              <w:jc w:val="center"/>
              <w:rPr>
                <w:rFonts w:cs="宋体"/>
              </w:rPr>
            </w:pPr>
            <w:r>
              <w:rPr>
                <w:rFonts w:hint="eastAsia" w:cs="宋体"/>
              </w:rPr>
              <w:t>GB/T 23933-2009 镁渣硅酸盐水泥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三氧化硫</w:t>
            </w:r>
            <w:r>
              <w:rPr>
                <w:szCs w:val="21"/>
              </w:rPr>
              <w:t>、</w:t>
            </w:r>
            <w:r>
              <w:rPr>
                <w:rFonts w:hint="eastAsia"/>
                <w:szCs w:val="21"/>
              </w:rPr>
              <w:t>氧化镁</w:t>
            </w:r>
            <w:r>
              <w:rPr>
                <w:szCs w:val="21"/>
              </w:rPr>
              <w:t>、</w:t>
            </w:r>
            <w:r>
              <w:rPr>
                <w:rFonts w:hint="eastAsia"/>
                <w:szCs w:val="21"/>
              </w:rPr>
              <w:t>氯离子</w:t>
            </w:r>
            <w:r>
              <w:rPr>
                <w:szCs w:val="21"/>
              </w:rPr>
              <w:t>、</w:t>
            </w:r>
            <w:r>
              <w:rPr>
                <w:rFonts w:hint="eastAsia"/>
                <w:szCs w:val="21"/>
              </w:rPr>
              <w:t>凝结时间</w:t>
            </w:r>
            <w:r>
              <w:rPr>
                <w:szCs w:val="21"/>
              </w:rPr>
              <w:t>、</w:t>
            </w:r>
            <w:r>
              <w:rPr>
                <w:rFonts w:hint="eastAsia"/>
                <w:szCs w:val="21"/>
              </w:rPr>
              <w:t>压蒸安定性</w:t>
            </w:r>
            <w:r>
              <w:rPr>
                <w:szCs w:val="21"/>
              </w:rPr>
              <w:t>、</w:t>
            </w:r>
            <w:r>
              <w:rPr>
                <w:rFonts w:hint="eastAsia"/>
                <w:szCs w:val="21"/>
              </w:rPr>
              <w:t>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5</w:t>
            </w:r>
          </w:p>
        </w:tc>
        <w:tc>
          <w:tcPr>
            <w:tcW w:w="1710"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4115" w:type="dxa"/>
            <w:tcBorders>
              <w:tl2br w:val="nil"/>
              <w:tr2bl w:val="nil"/>
            </w:tcBorders>
            <w:vAlign w:val="center"/>
          </w:tcPr>
          <w:p>
            <w:pPr>
              <w:snapToGrid w:val="0"/>
              <w:spacing w:line="0" w:lineRule="atLeast"/>
              <w:jc w:val="center"/>
              <w:rPr>
                <w:rFonts w:cs="宋体"/>
              </w:rPr>
            </w:pPr>
            <w:r>
              <w:rPr>
                <w:rFonts w:hint="eastAsia" w:cs="宋体"/>
              </w:rPr>
              <w:t>JC/T 600-2010 石灰石硅酸盐水泥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氧化镁</w:t>
            </w:r>
            <w:r>
              <w:rPr>
                <w:szCs w:val="21"/>
              </w:rPr>
              <w:t>、</w:t>
            </w:r>
            <w:r>
              <w:rPr>
                <w:rFonts w:hint="eastAsia"/>
                <w:szCs w:val="21"/>
              </w:rPr>
              <w:t>三氧化硫</w:t>
            </w:r>
            <w:r>
              <w:rPr>
                <w:szCs w:val="21"/>
              </w:rPr>
              <w:t>、</w:t>
            </w:r>
            <w:r>
              <w:rPr>
                <w:rFonts w:hint="eastAsia"/>
                <w:szCs w:val="21"/>
              </w:rPr>
              <w:t>氯离子</w:t>
            </w:r>
            <w:r>
              <w:rPr>
                <w:szCs w:val="21"/>
              </w:rPr>
              <w:t>、</w:t>
            </w:r>
            <w:r>
              <w:rPr>
                <w:rFonts w:hint="eastAsia"/>
                <w:szCs w:val="21"/>
              </w:rPr>
              <w:t>比表面积</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6</w:t>
            </w:r>
          </w:p>
        </w:tc>
        <w:tc>
          <w:tcPr>
            <w:tcW w:w="1710" w:type="dxa"/>
            <w:vMerge w:val="continue"/>
            <w:tcBorders>
              <w:tl2br w:val="nil"/>
              <w:tr2bl w:val="nil"/>
            </w:tcBorders>
            <w:vAlign w:val="center"/>
          </w:tcPr>
          <w:p>
            <w:pPr>
              <w:spacing w:before="72" w:beforeLines="30" w:line="280" w:lineRule="exact"/>
              <w:jc w:val="center"/>
              <w:rPr>
                <w:rFonts w:ascii="宋体" w:hAnsi="宋体"/>
              </w:rPr>
            </w:pPr>
          </w:p>
        </w:tc>
        <w:tc>
          <w:tcPr>
            <w:tcW w:w="4115" w:type="dxa"/>
            <w:tcBorders>
              <w:tl2br w:val="nil"/>
              <w:tr2bl w:val="nil"/>
            </w:tcBorders>
            <w:vAlign w:val="center"/>
          </w:tcPr>
          <w:p>
            <w:pPr>
              <w:snapToGrid w:val="0"/>
              <w:spacing w:line="0" w:lineRule="atLeast"/>
              <w:jc w:val="center"/>
              <w:rPr>
                <w:rFonts w:cs="宋体"/>
              </w:rPr>
            </w:pPr>
            <w:r>
              <w:rPr>
                <w:rFonts w:hint="eastAsia" w:cs="宋体"/>
              </w:rPr>
              <w:t>JC/T 740-2006 磷渣硅酸盐水泥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氧化镁</w:t>
            </w:r>
            <w:r>
              <w:rPr>
                <w:szCs w:val="21"/>
              </w:rPr>
              <w:t>、</w:t>
            </w:r>
            <w:r>
              <w:rPr>
                <w:rFonts w:hint="eastAsia"/>
                <w:szCs w:val="21"/>
              </w:rPr>
              <w:t>三氧化硫</w:t>
            </w:r>
            <w:r>
              <w:rPr>
                <w:szCs w:val="21"/>
              </w:rPr>
              <w:t>、</w:t>
            </w:r>
            <w:r>
              <w:rPr>
                <w:rFonts w:hint="eastAsia"/>
                <w:szCs w:val="21"/>
              </w:rPr>
              <w:t>氯离子含量</w:t>
            </w:r>
            <w:r>
              <w:rPr>
                <w:szCs w:val="21"/>
              </w:rPr>
              <w:t>、</w:t>
            </w:r>
            <w:r>
              <w:rPr>
                <w:rFonts w:hint="eastAsia"/>
                <w:szCs w:val="21"/>
              </w:rPr>
              <w:t>细度</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7</w:t>
            </w:r>
          </w:p>
        </w:tc>
        <w:tc>
          <w:tcPr>
            <w:tcW w:w="1710"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4115" w:type="dxa"/>
            <w:tcBorders>
              <w:tl2br w:val="nil"/>
              <w:tr2bl w:val="nil"/>
            </w:tcBorders>
            <w:vAlign w:val="center"/>
          </w:tcPr>
          <w:p>
            <w:pPr>
              <w:snapToGrid w:val="0"/>
              <w:spacing w:line="0" w:lineRule="atLeast"/>
              <w:jc w:val="center"/>
              <w:rPr>
                <w:rFonts w:cs="宋体"/>
              </w:rPr>
            </w:pPr>
            <w:r>
              <w:rPr>
                <w:rFonts w:hint="eastAsia" w:cs="宋体"/>
              </w:rPr>
              <w:t>JC/T 1090-2008 钢渣砌筑水泥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三氧化硫</w:t>
            </w:r>
            <w:r>
              <w:rPr>
                <w:szCs w:val="21"/>
              </w:rPr>
              <w:t>、</w:t>
            </w:r>
            <w:r>
              <w:rPr>
                <w:rFonts w:hint="eastAsia"/>
                <w:szCs w:val="21"/>
              </w:rPr>
              <w:t>比表面积</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保水率</w:t>
            </w:r>
            <w:r>
              <w:rPr>
                <w:szCs w:val="21"/>
              </w:rPr>
              <w:t>、</w:t>
            </w:r>
            <w:r>
              <w:rPr>
                <w:rFonts w:hint="eastAsia"/>
                <w:szCs w:val="21"/>
              </w:rPr>
              <w:t>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8</w:t>
            </w:r>
          </w:p>
        </w:tc>
        <w:tc>
          <w:tcPr>
            <w:tcW w:w="1710" w:type="dxa"/>
            <w:tcBorders>
              <w:tl2br w:val="nil"/>
              <w:tr2bl w:val="nil"/>
            </w:tcBorders>
            <w:vAlign w:val="center"/>
          </w:tcPr>
          <w:p>
            <w:pPr>
              <w:spacing w:before="72" w:beforeLines="30" w:line="280" w:lineRule="exact"/>
              <w:jc w:val="center"/>
              <w:rPr>
                <w:rFonts w:ascii="宋体" w:hAnsi="宋体"/>
                <w:szCs w:val="21"/>
              </w:rPr>
            </w:pPr>
            <w:r>
              <w:rPr>
                <w:rFonts w:hint="eastAsia" w:cs="宋体"/>
              </w:rPr>
              <w:t>硅酸盐水泥熟料</w:t>
            </w:r>
          </w:p>
        </w:tc>
        <w:tc>
          <w:tcPr>
            <w:tcW w:w="4115" w:type="dxa"/>
            <w:tcBorders>
              <w:tl2br w:val="nil"/>
              <w:tr2bl w:val="nil"/>
            </w:tcBorders>
            <w:vAlign w:val="center"/>
          </w:tcPr>
          <w:p>
            <w:pPr>
              <w:snapToGrid w:val="0"/>
              <w:spacing w:line="0" w:lineRule="atLeast"/>
              <w:jc w:val="center"/>
              <w:rPr>
                <w:rFonts w:cs="宋体"/>
              </w:rPr>
            </w:pPr>
            <w:r>
              <w:rPr>
                <w:rFonts w:hint="eastAsia" w:cs="宋体"/>
              </w:rPr>
              <w:t>GB/T 21372-2008 硅酸盐水泥熟料</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游离氧化钙（除低碱水泥熟料、高抗硫酸盐水泥熟料以外的产品全部适用）</w:t>
            </w:r>
            <w:r>
              <w:rPr>
                <w:szCs w:val="21"/>
              </w:rPr>
              <w:t>、</w:t>
            </w:r>
            <w:r>
              <w:rPr>
                <w:rFonts w:hint="eastAsia"/>
                <w:szCs w:val="21"/>
              </w:rPr>
              <w:t>氧化镁</w:t>
            </w:r>
            <w:r>
              <w:rPr>
                <w:szCs w:val="21"/>
              </w:rPr>
              <w:t>、</w:t>
            </w:r>
            <w:r>
              <w:rPr>
                <w:rFonts w:hint="eastAsia"/>
                <w:szCs w:val="21"/>
              </w:rPr>
              <w:t>烧失量</w:t>
            </w:r>
            <w:r>
              <w:rPr>
                <w:szCs w:val="21"/>
              </w:rPr>
              <w:t>、</w:t>
            </w:r>
            <w:r>
              <w:rPr>
                <w:rFonts w:hint="eastAsia"/>
                <w:szCs w:val="21"/>
              </w:rPr>
              <w:t>不溶物</w:t>
            </w:r>
            <w:r>
              <w:rPr>
                <w:szCs w:val="21"/>
              </w:rPr>
              <w:t>、</w:t>
            </w:r>
            <w:r>
              <w:rPr>
                <w:rFonts w:hint="eastAsia"/>
                <w:szCs w:val="21"/>
              </w:rPr>
              <w:t>三氧化硫</w:t>
            </w:r>
            <w:r>
              <w:rPr>
                <w:szCs w:val="21"/>
              </w:rPr>
              <w:t>、</w:t>
            </w:r>
            <w:r>
              <w:rPr>
                <w:rFonts w:hint="eastAsia"/>
                <w:szCs w:val="21"/>
              </w:rPr>
              <w:t>硅酸三钙</w:t>
            </w:r>
            <w:r>
              <w:rPr>
                <w:rFonts w:hint="eastAsia"/>
                <w:spacing w:val="-17"/>
                <w:szCs w:val="21"/>
              </w:rPr>
              <w:t>+硅酸二钙</w:t>
            </w:r>
            <w:r>
              <w:rPr>
                <w:szCs w:val="21"/>
              </w:rPr>
              <w:t>、</w:t>
            </w:r>
            <w:r>
              <w:rPr>
                <w:rFonts w:hint="eastAsia"/>
                <w:szCs w:val="21"/>
              </w:rPr>
              <w:t>氧化钙/二氧化硅质量比</w:t>
            </w:r>
            <w:r>
              <w:rPr>
                <w:szCs w:val="21"/>
              </w:rPr>
              <w:t>、</w:t>
            </w:r>
            <w:r>
              <w:rPr>
                <w:rFonts w:hint="eastAsia"/>
                <w:szCs w:val="21"/>
              </w:rPr>
              <w:t>铝酸三钙（仅中、高抗硫酸盐水泥熟料，中、低热水泥熟料适用）</w:t>
            </w:r>
            <w:r>
              <w:rPr>
                <w:szCs w:val="21"/>
              </w:rPr>
              <w:t>、</w:t>
            </w:r>
            <w:r>
              <w:rPr>
                <w:rFonts w:hint="eastAsia"/>
                <w:szCs w:val="21"/>
              </w:rPr>
              <w:t>硅酸三钙（仅中、高抗硫酸盐水泥熟料，中热水泥熟料适用）</w:t>
            </w:r>
            <w:r>
              <w:rPr>
                <w:szCs w:val="21"/>
              </w:rPr>
              <w:t>、</w:t>
            </w:r>
            <w:r>
              <w:rPr>
                <w:rFonts w:hint="eastAsia"/>
                <w:szCs w:val="21"/>
              </w:rPr>
              <w:t>硅酸二钙（仅低热水泥熟料适用）</w:t>
            </w:r>
            <w:r>
              <w:rPr>
                <w:szCs w:val="21"/>
              </w:rPr>
              <w:t>、</w:t>
            </w:r>
            <w:r>
              <w:rPr>
                <w:rFonts w:hint="eastAsia"/>
                <w:szCs w:val="21"/>
              </w:rPr>
              <w:t>碱含量（仅低碱水泥熟料，中、低热水泥熟料适用）</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抗压强度</w:t>
            </w:r>
            <w:r>
              <w:rPr>
                <w:szCs w:val="21"/>
              </w:rPr>
              <w:t>、</w:t>
            </w:r>
            <w:r>
              <w:rPr>
                <w:rFonts w:hint="eastAsia"/>
                <w:szCs w:val="21"/>
              </w:rPr>
              <w:t>其它要求</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9</w:t>
            </w:r>
          </w:p>
        </w:tc>
        <w:tc>
          <w:tcPr>
            <w:tcW w:w="1710" w:type="dxa"/>
            <w:vMerge w:val="restart"/>
            <w:tcBorders>
              <w:tl2br w:val="nil"/>
              <w:tr2bl w:val="nil"/>
            </w:tcBorders>
            <w:vAlign w:val="center"/>
          </w:tcPr>
          <w:p>
            <w:pPr>
              <w:spacing w:before="72" w:beforeLines="30" w:line="280" w:lineRule="exact"/>
              <w:jc w:val="center"/>
              <w:rPr>
                <w:rFonts w:ascii="宋体" w:hAnsi="宋体"/>
                <w:szCs w:val="21"/>
              </w:rPr>
            </w:pPr>
            <w:r>
              <w:rPr>
                <w:rFonts w:hint="eastAsia" w:ascii="宋体" w:hAnsi="宋体"/>
                <w:szCs w:val="21"/>
              </w:rPr>
              <w:t>特种水泥</w:t>
            </w:r>
          </w:p>
        </w:tc>
        <w:tc>
          <w:tcPr>
            <w:tcW w:w="4115" w:type="dxa"/>
            <w:tcBorders>
              <w:tl2br w:val="nil"/>
              <w:tr2bl w:val="nil"/>
            </w:tcBorders>
            <w:vAlign w:val="center"/>
          </w:tcPr>
          <w:p>
            <w:pPr>
              <w:snapToGrid w:val="0"/>
              <w:spacing w:line="0" w:lineRule="atLeast"/>
              <w:jc w:val="center"/>
              <w:rPr>
                <w:rFonts w:cs="宋体"/>
              </w:rPr>
            </w:pPr>
            <w:r>
              <w:rPr>
                <w:rFonts w:hint="eastAsia" w:cs="宋体"/>
              </w:rPr>
              <w:t>GB/T 200-2017 中热硅酸盐水泥、低热硅酸盐水泥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氧化镁</w:t>
            </w:r>
            <w:r>
              <w:rPr>
                <w:szCs w:val="21"/>
              </w:rPr>
              <w:t>、</w:t>
            </w:r>
            <w:r>
              <w:rPr>
                <w:rFonts w:hint="eastAsia"/>
                <w:szCs w:val="21"/>
              </w:rPr>
              <w:t>三氧化硫</w:t>
            </w:r>
            <w:r>
              <w:rPr>
                <w:szCs w:val="21"/>
              </w:rPr>
              <w:t>、</w:t>
            </w:r>
            <w:r>
              <w:rPr>
                <w:rFonts w:hint="eastAsia"/>
                <w:szCs w:val="21"/>
              </w:rPr>
              <w:t>烧失量</w:t>
            </w:r>
            <w:r>
              <w:rPr>
                <w:szCs w:val="21"/>
              </w:rPr>
              <w:t>、</w:t>
            </w:r>
            <w:r>
              <w:rPr>
                <w:rFonts w:hint="eastAsia"/>
                <w:szCs w:val="21"/>
              </w:rPr>
              <w:t>不溶物</w:t>
            </w:r>
            <w:r>
              <w:rPr>
                <w:szCs w:val="21"/>
              </w:rPr>
              <w:t>、</w:t>
            </w:r>
            <w:r>
              <w:rPr>
                <w:rFonts w:hint="eastAsia"/>
                <w:szCs w:val="21"/>
              </w:rPr>
              <w:t>比表面积</w:t>
            </w:r>
            <w:r>
              <w:rPr>
                <w:szCs w:val="21"/>
              </w:rPr>
              <w:t>、</w:t>
            </w:r>
            <w:r>
              <w:rPr>
                <w:rFonts w:hint="eastAsia"/>
                <w:szCs w:val="21"/>
              </w:rPr>
              <w:t>凝结时间</w:t>
            </w:r>
            <w:r>
              <w:rPr>
                <w:szCs w:val="21"/>
              </w:rPr>
              <w:t>、</w:t>
            </w:r>
            <w:r>
              <w:rPr>
                <w:rFonts w:hint="eastAsia"/>
                <w:szCs w:val="21"/>
              </w:rPr>
              <w:t>沸煮安定性</w:t>
            </w:r>
            <w:r>
              <w:rPr>
                <w:szCs w:val="21"/>
              </w:rPr>
              <w:t>、</w:t>
            </w:r>
            <w:r>
              <w:rPr>
                <w:rFonts w:hint="eastAsia"/>
                <w:szCs w:val="21"/>
              </w:rPr>
              <w:t>强度</w:t>
            </w:r>
            <w:r>
              <w:rPr>
                <w:szCs w:val="21"/>
              </w:rPr>
              <w:t>、</w:t>
            </w:r>
            <w:r>
              <w:rPr>
                <w:rFonts w:hint="eastAsia"/>
                <w:szCs w:val="21"/>
              </w:rPr>
              <w:t>水化热</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1</w:t>
            </w:r>
            <w:r>
              <w:rPr>
                <w:rFonts w:ascii="宋体" w:hAnsi="宋体"/>
                <w:szCs w:val="21"/>
              </w:rPr>
              <w:t>0</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201-2015 铝酸盐水泥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Al</w:t>
            </w:r>
            <w:r>
              <w:rPr>
                <w:rFonts w:hint="eastAsia"/>
                <w:szCs w:val="21"/>
                <w:vertAlign w:val="subscript"/>
              </w:rPr>
              <w:t>2</w:t>
            </w:r>
            <w:r>
              <w:rPr>
                <w:rFonts w:hint="eastAsia"/>
                <w:szCs w:val="21"/>
              </w:rPr>
              <w:t>O</w:t>
            </w:r>
            <w:r>
              <w:rPr>
                <w:rFonts w:hint="eastAsia"/>
                <w:szCs w:val="21"/>
                <w:vertAlign w:val="subscript"/>
              </w:rPr>
              <w:t>3</w:t>
            </w:r>
            <w:r>
              <w:rPr>
                <w:rFonts w:hint="eastAsia"/>
                <w:szCs w:val="21"/>
              </w:rPr>
              <w:t>含量</w:t>
            </w:r>
            <w:r>
              <w:rPr>
                <w:szCs w:val="21"/>
              </w:rPr>
              <w:t>、</w:t>
            </w:r>
            <w:r>
              <w:rPr>
                <w:rFonts w:hint="eastAsia"/>
                <w:szCs w:val="21"/>
              </w:rPr>
              <w:t>SiO</w:t>
            </w:r>
            <w:r>
              <w:rPr>
                <w:rFonts w:hint="eastAsia"/>
                <w:szCs w:val="21"/>
                <w:vertAlign w:val="subscript"/>
              </w:rPr>
              <w:t>2</w:t>
            </w:r>
            <w:r>
              <w:rPr>
                <w:rFonts w:hint="eastAsia"/>
                <w:szCs w:val="21"/>
              </w:rPr>
              <w:t>含量</w:t>
            </w:r>
            <w:r>
              <w:rPr>
                <w:szCs w:val="21"/>
              </w:rPr>
              <w:t>、</w:t>
            </w:r>
            <w:r>
              <w:rPr>
                <w:rFonts w:hint="eastAsia"/>
                <w:szCs w:val="21"/>
              </w:rPr>
              <w:t>Fe</w:t>
            </w:r>
            <w:r>
              <w:rPr>
                <w:rFonts w:hint="eastAsia"/>
                <w:szCs w:val="21"/>
                <w:vertAlign w:val="subscript"/>
              </w:rPr>
              <w:t>2</w:t>
            </w:r>
            <w:r>
              <w:rPr>
                <w:rFonts w:hint="eastAsia"/>
                <w:szCs w:val="21"/>
              </w:rPr>
              <w:t>O</w:t>
            </w:r>
            <w:r>
              <w:rPr>
                <w:rFonts w:hint="eastAsia"/>
                <w:szCs w:val="21"/>
                <w:vertAlign w:val="subscript"/>
              </w:rPr>
              <w:t>3</w:t>
            </w:r>
            <w:r>
              <w:rPr>
                <w:rFonts w:hint="eastAsia"/>
                <w:szCs w:val="21"/>
              </w:rPr>
              <w:t>含量</w:t>
            </w:r>
            <w:r>
              <w:rPr>
                <w:szCs w:val="21"/>
              </w:rPr>
              <w:t>、</w:t>
            </w:r>
            <w:r>
              <w:rPr>
                <w:rFonts w:hint="eastAsia"/>
                <w:szCs w:val="21"/>
              </w:rPr>
              <w:t>碱含量</w:t>
            </w:r>
            <w:r>
              <w:rPr>
                <w:szCs w:val="21"/>
              </w:rPr>
              <w:t>、</w:t>
            </w:r>
            <w:r>
              <w:rPr>
                <w:rFonts w:hint="eastAsia"/>
                <w:szCs w:val="21"/>
              </w:rPr>
              <w:t>S（全硫）含量</w:t>
            </w:r>
            <w:r>
              <w:rPr>
                <w:szCs w:val="21"/>
              </w:rPr>
              <w:t>、</w:t>
            </w:r>
            <w:r>
              <w:rPr>
                <w:rFonts w:hint="eastAsia"/>
                <w:szCs w:val="21"/>
              </w:rPr>
              <w:t>Cl</w:t>
            </w:r>
            <w:r>
              <w:rPr>
                <w:rFonts w:hint="eastAsia"/>
                <w:szCs w:val="21"/>
                <w:vertAlign w:val="superscript"/>
              </w:rPr>
              <w:t>-</w:t>
            </w:r>
            <w:r>
              <w:rPr>
                <w:rFonts w:hint="eastAsia"/>
                <w:szCs w:val="21"/>
              </w:rPr>
              <w:t>含量</w:t>
            </w:r>
            <w:r>
              <w:rPr>
                <w:szCs w:val="21"/>
              </w:rPr>
              <w:t>、</w:t>
            </w:r>
            <w:r>
              <w:rPr>
                <w:rFonts w:hint="eastAsia"/>
                <w:szCs w:val="21"/>
              </w:rPr>
              <w:t>细度</w:t>
            </w:r>
            <w:r>
              <w:rPr>
                <w:szCs w:val="21"/>
              </w:rPr>
              <w:t>、</w:t>
            </w:r>
            <w:r>
              <w:rPr>
                <w:rFonts w:hint="eastAsia"/>
                <w:szCs w:val="21"/>
              </w:rPr>
              <w:t>水泥胶砂凝结时间</w:t>
            </w:r>
            <w:r>
              <w:rPr>
                <w:szCs w:val="21"/>
              </w:rPr>
              <w:t>、</w:t>
            </w:r>
            <w:r>
              <w:rPr>
                <w:rFonts w:hint="eastAsia"/>
                <w:szCs w:val="21"/>
              </w:rPr>
              <w:t>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11</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748-2005 抗硫酸盐硅酸盐水泥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硅酸三钙</w:t>
            </w:r>
            <w:r>
              <w:rPr>
                <w:szCs w:val="21"/>
              </w:rPr>
              <w:t>、</w:t>
            </w:r>
            <w:r>
              <w:rPr>
                <w:rFonts w:hint="eastAsia"/>
                <w:szCs w:val="21"/>
              </w:rPr>
              <w:t>铝酸三钙</w:t>
            </w:r>
            <w:r>
              <w:rPr>
                <w:szCs w:val="21"/>
              </w:rPr>
              <w:t>、</w:t>
            </w:r>
            <w:r>
              <w:rPr>
                <w:rFonts w:hint="eastAsia"/>
                <w:szCs w:val="21"/>
              </w:rPr>
              <w:t>烧失量</w:t>
            </w:r>
            <w:r>
              <w:rPr>
                <w:szCs w:val="21"/>
              </w:rPr>
              <w:t>、</w:t>
            </w:r>
            <w:r>
              <w:rPr>
                <w:rFonts w:hint="eastAsia"/>
                <w:szCs w:val="21"/>
              </w:rPr>
              <w:t>氧化镁</w:t>
            </w:r>
            <w:r>
              <w:rPr>
                <w:szCs w:val="21"/>
              </w:rPr>
              <w:t>、</w:t>
            </w:r>
            <w:r>
              <w:rPr>
                <w:rFonts w:hint="eastAsia"/>
                <w:szCs w:val="21"/>
              </w:rPr>
              <w:t>三氧化硫</w:t>
            </w:r>
            <w:r>
              <w:rPr>
                <w:szCs w:val="21"/>
              </w:rPr>
              <w:t>、</w:t>
            </w:r>
            <w:r>
              <w:rPr>
                <w:rFonts w:hint="eastAsia"/>
                <w:szCs w:val="21"/>
              </w:rPr>
              <w:t>不溶物</w:t>
            </w:r>
            <w:r>
              <w:rPr>
                <w:szCs w:val="21"/>
              </w:rPr>
              <w:t>、</w:t>
            </w:r>
            <w:r>
              <w:rPr>
                <w:rFonts w:hint="eastAsia"/>
                <w:szCs w:val="21"/>
              </w:rPr>
              <w:t>比表面积</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2</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2015-2017 白色硅酸盐水泥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三氧化硫</w:t>
            </w:r>
            <w:r>
              <w:rPr>
                <w:szCs w:val="21"/>
              </w:rPr>
              <w:t>、</w:t>
            </w:r>
            <w:r>
              <w:rPr>
                <w:rFonts w:hint="eastAsia"/>
                <w:szCs w:val="21"/>
              </w:rPr>
              <w:t>细度</w:t>
            </w:r>
            <w:r>
              <w:rPr>
                <w:szCs w:val="21"/>
              </w:rPr>
              <w:t>、</w:t>
            </w:r>
            <w:r>
              <w:rPr>
                <w:rFonts w:hint="eastAsia"/>
                <w:szCs w:val="21"/>
              </w:rPr>
              <w:t>沸煮法安定性</w:t>
            </w:r>
            <w:r>
              <w:rPr>
                <w:szCs w:val="21"/>
              </w:rPr>
              <w:t>、</w:t>
            </w:r>
            <w:r>
              <w:rPr>
                <w:rFonts w:hint="eastAsia"/>
                <w:szCs w:val="21"/>
              </w:rPr>
              <w:t>凝结时间</w:t>
            </w:r>
            <w:r>
              <w:rPr>
                <w:szCs w:val="21"/>
              </w:rPr>
              <w:t>、</w:t>
            </w:r>
            <w:r>
              <w:rPr>
                <w:rFonts w:hint="eastAsia"/>
                <w:szCs w:val="21"/>
              </w:rPr>
              <w:t>白度</w:t>
            </w:r>
            <w:r>
              <w:rPr>
                <w:szCs w:val="21"/>
              </w:rPr>
              <w:t>、</w:t>
            </w:r>
            <w:r>
              <w:rPr>
                <w:rFonts w:hint="eastAsia"/>
                <w:szCs w:val="21"/>
              </w:rPr>
              <w:t>强度</w:t>
            </w:r>
            <w:r>
              <w:rPr>
                <w:szCs w:val="21"/>
              </w:rPr>
              <w:t>、</w:t>
            </w:r>
            <w:r>
              <w:rPr>
                <w:rFonts w:hint="eastAsia"/>
                <w:szCs w:val="21"/>
              </w:rPr>
              <w:t>水溶性六价铬（VI）</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3</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2938-2008 低热微膨胀水泥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三氧化硫</w:t>
            </w:r>
            <w:r>
              <w:rPr>
                <w:szCs w:val="21"/>
              </w:rPr>
              <w:t>、</w:t>
            </w:r>
            <w:r>
              <w:rPr>
                <w:rFonts w:hint="eastAsia"/>
                <w:szCs w:val="21"/>
              </w:rPr>
              <w:t>比表面积</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强度</w:t>
            </w:r>
            <w:r>
              <w:rPr>
                <w:szCs w:val="21"/>
              </w:rPr>
              <w:t>、</w:t>
            </w:r>
            <w:r>
              <w:rPr>
                <w:rFonts w:hint="eastAsia"/>
                <w:szCs w:val="21"/>
              </w:rPr>
              <w:t>水化热</w:t>
            </w:r>
            <w:r>
              <w:rPr>
                <w:szCs w:val="21"/>
              </w:rPr>
              <w:t>、</w:t>
            </w:r>
            <w:r>
              <w:rPr>
                <w:rFonts w:hint="eastAsia"/>
                <w:szCs w:val="21"/>
              </w:rPr>
              <w:t>线膨胀率</w:t>
            </w:r>
            <w:r>
              <w:rPr>
                <w:szCs w:val="21"/>
              </w:rPr>
              <w:t>、</w:t>
            </w:r>
            <w:r>
              <w:rPr>
                <w:rFonts w:hint="eastAsia"/>
                <w:szCs w:val="21"/>
              </w:rPr>
              <w:t>氯离子</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4</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10238-2015 油井水泥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氧化镁</w:t>
            </w:r>
            <w:r>
              <w:rPr>
                <w:szCs w:val="21"/>
              </w:rPr>
              <w:t>、</w:t>
            </w:r>
            <w:r>
              <w:rPr>
                <w:rFonts w:hint="eastAsia"/>
                <w:szCs w:val="21"/>
              </w:rPr>
              <w:t>三氧化硫</w:t>
            </w:r>
            <w:r>
              <w:rPr>
                <w:szCs w:val="21"/>
              </w:rPr>
              <w:t>、</w:t>
            </w:r>
            <w:r>
              <w:rPr>
                <w:rFonts w:hint="eastAsia"/>
                <w:szCs w:val="21"/>
              </w:rPr>
              <w:t>烧失量</w:t>
            </w:r>
            <w:r>
              <w:rPr>
                <w:szCs w:val="21"/>
              </w:rPr>
              <w:t>、</w:t>
            </w:r>
            <w:r>
              <w:rPr>
                <w:rFonts w:hint="eastAsia"/>
                <w:szCs w:val="21"/>
              </w:rPr>
              <w:t>不溶物</w:t>
            </w:r>
            <w:r>
              <w:rPr>
                <w:szCs w:val="21"/>
              </w:rPr>
              <w:t>、</w:t>
            </w:r>
            <w:r>
              <w:rPr>
                <w:rFonts w:hint="eastAsia"/>
                <w:szCs w:val="21"/>
              </w:rPr>
              <w:t>铝酸三钙</w:t>
            </w:r>
            <w:r>
              <w:rPr>
                <w:szCs w:val="21"/>
              </w:rPr>
              <w:t>、</w:t>
            </w:r>
            <w:r>
              <w:rPr>
                <w:rFonts w:hint="eastAsia"/>
                <w:szCs w:val="21"/>
              </w:rPr>
              <w:t>硅酸三钙</w:t>
            </w:r>
            <w:r>
              <w:rPr>
                <w:szCs w:val="21"/>
              </w:rPr>
              <w:t>、</w:t>
            </w:r>
            <w:r>
              <w:rPr>
                <w:rFonts w:hint="eastAsia"/>
                <w:szCs w:val="21"/>
              </w:rPr>
              <w:t>总碱量</w:t>
            </w:r>
            <w:r>
              <w:rPr>
                <w:szCs w:val="21"/>
              </w:rPr>
              <w:t>、</w:t>
            </w:r>
            <w:r>
              <w:rPr>
                <w:rFonts w:hint="eastAsia"/>
                <w:szCs w:val="21"/>
              </w:rPr>
              <w:t>铝铁酸四钙+二倍铝酸三钙</w:t>
            </w:r>
            <w:r>
              <w:rPr>
                <w:szCs w:val="21"/>
              </w:rPr>
              <w:t>、</w:t>
            </w:r>
            <w:r>
              <w:rPr>
                <w:rFonts w:hint="eastAsia"/>
                <w:szCs w:val="21"/>
              </w:rPr>
              <w:t>拌合水，占水泥质量百分数</w:t>
            </w:r>
            <w:r>
              <w:rPr>
                <w:szCs w:val="21"/>
              </w:rPr>
              <w:t>、</w:t>
            </w:r>
            <w:r>
              <w:rPr>
                <w:rFonts w:hint="eastAsia"/>
                <w:szCs w:val="21"/>
              </w:rPr>
              <w:t>细度</w:t>
            </w:r>
            <w:r>
              <w:rPr>
                <w:szCs w:val="21"/>
              </w:rPr>
              <w:t>、</w:t>
            </w:r>
            <w:r>
              <w:rPr>
                <w:rFonts w:hint="eastAsia"/>
                <w:szCs w:val="21"/>
              </w:rPr>
              <w:t>游离液含量</w:t>
            </w:r>
            <w:r>
              <w:rPr>
                <w:szCs w:val="21"/>
              </w:rPr>
              <w:t>、</w:t>
            </w:r>
            <w:r>
              <w:rPr>
                <w:rFonts w:hint="eastAsia"/>
                <w:szCs w:val="21"/>
              </w:rPr>
              <w:t>抗压强度试验(8h养护)</w:t>
            </w:r>
            <w:r>
              <w:rPr>
                <w:szCs w:val="21"/>
              </w:rPr>
              <w:t>、</w:t>
            </w:r>
            <w:r>
              <w:rPr>
                <w:rFonts w:hint="eastAsia"/>
                <w:szCs w:val="21"/>
              </w:rPr>
              <w:t>抗压强度试验(24h养护)</w:t>
            </w:r>
            <w:r>
              <w:rPr>
                <w:szCs w:val="21"/>
              </w:rPr>
              <w:t>、</w:t>
            </w:r>
            <w:r>
              <w:rPr>
                <w:rFonts w:hint="eastAsia"/>
                <w:szCs w:val="21"/>
              </w:rPr>
              <w:t>稠化时间试验</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5</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13693-2017 道路硅酸盐水泥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氧化镁</w:t>
            </w:r>
            <w:r>
              <w:rPr>
                <w:szCs w:val="21"/>
              </w:rPr>
              <w:t>、</w:t>
            </w:r>
            <w:r>
              <w:rPr>
                <w:rFonts w:hint="eastAsia"/>
                <w:szCs w:val="21"/>
              </w:rPr>
              <w:t>三氧化硫</w:t>
            </w:r>
            <w:r>
              <w:rPr>
                <w:szCs w:val="21"/>
              </w:rPr>
              <w:t>、</w:t>
            </w:r>
            <w:r>
              <w:rPr>
                <w:rFonts w:hint="eastAsia"/>
                <w:szCs w:val="21"/>
              </w:rPr>
              <w:t>烧失量</w:t>
            </w:r>
            <w:r>
              <w:rPr>
                <w:szCs w:val="21"/>
              </w:rPr>
              <w:t>、</w:t>
            </w:r>
            <w:r>
              <w:rPr>
                <w:rFonts w:hint="eastAsia"/>
                <w:szCs w:val="21"/>
              </w:rPr>
              <w:t>氯离子</w:t>
            </w:r>
            <w:r>
              <w:rPr>
                <w:szCs w:val="21"/>
              </w:rPr>
              <w:t>、</w:t>
            </w:r>
            <w:r>
              <w:rPr>
                <w:rFonts w:hint="eastAsia"/>
                <w:szCs w:val="21"/>
              </w:rPr>
              <w:t>比表面积</w:t>
            </w:r>
            <w:r>
              <w:rPr>
                <w:szCs w:val="21"/>
              </w:rPr>
              <w:t>、</w:t>
            </w:r>
            <w:r>
              <w:rPr>
                <w:rFonts w:hint="eastAsia"/>
                <w:szCs w:val="21"/>
              </w:rPr>
              <w:t>凝结时间</w:t>
            </w:r>
            <w:r>
              <w:rPr>
                <w:szCs w:val="21"/>
              </w:rPr>
              <w:t>、</w:t>
            </w:r>
            <w:r>
              <w:rPr>
                <w:rFonts w:hint="eastAsia"/>
                <w:szCs w:val="21"/>
              </w:rPr>
              <w:t>沸煮法安定性</w:t>
            </w:r>
            <w:r>
              <w:rPr>
                <w:szCs w:val="21"/>
              </w:rPr>
              <w:t>、</w:t>
            </w:r>
            <w:r>
              <w:rPr>
                <w:rFonts w:hint="eastAsia"/>
                <w:szCs w:val="21"/>
              </w:rPr>
              <w:t>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6</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20472-2006 硫铝酸盐水泥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比表面积</w:t>
            </w:r>
            <w:r>
              <w:rPr>
                <w:szCs w:val="21"/>
              </w:rPr>
              <w:t>、</w:t>
            </w:r>
            <w:r>
              <w:rPr>
                <w:rFonts w:hint="eastAsia"/>
                <w:szCs w:val="21"/>
              </w:rPr>
              <w:t>凝结时间</w:t>
            </w:r>
            <w:r>
              <w:rPr>
                <w:szCs w:val="21"/>
              </w:rPr>
              <w:t>、</w:t>
            </w:r>
            <w:r>
              <w:rPr>
                <w:rFonts w:hint="eastAsia"/>
                <w:szCs w:val="21"/>
              </w:rPr>
              <w:t>碱度</w:t>
            </w:r>
            <w:r>
              <w:rPr>
                <w:szCs w:val="21"/>
              </w:rPr>
              <w:t>p</w:t>
            </w:r>
            <w:r>
              <w:rPr>
                <w:rFonts w:hint="eastAsia"/>
                <w:szCs w:val="21"/>
              </w:rPr>
              <w:t>H值</w:t>
            </w:r>
            <w:r>
              <w:rPr>
                <w:szCs w:val="21"/>
              </w:rPr>
              <w:t>、</w:t>
            </w:r>
            <w:r>
              <w:rPr>
                <w:rFonts w:hint="eastAsia"/>
                <w:szCs w:val="21"/>
              </w:rPr>
              <w:t>28d自由膨胀率</w:t>
            </w:r>
            <w:r>
              <w:rPr>
                <w:szCs w:val="21"/>
              </w:rPr>
              <w:t>、</w:t>
            </w:r>
            <w:r>
              <w:rPr>
                <w:rFonts w:hint="eastAsia"/>
                <w:szCs w:val="21"/>
              </w:rPr>
              <w:t>自由膨胀率</w:t>
            </w:r>
            <w:r>
              <w:rPr>
                <w:szCs w:val="21"/>
              </w:rPr>
              <w:t>、</w:t>
            </w:r>
            <w:r>
              <w:rPr>
                <w:rFonts w:hint="eastAsia"/>
                <w:szCs w:val="21"/>
              </w:rPr>
              <w:t>水泥中的碱含量</w:t>
            </w:r>
            <w:r>
              <w:rPr>
                <w:szCs w:val="21"/>
              </w:rPr>
              <w:t>、</w:t>
            </w:r>
            <w:r>
              <w:rPr>
                <w:rFonts w:hint="eastAsia"/>
                <w:szCs w:val="21"/>
              </w:rPr>
              <w:t>28d自应力增进率</w:t>
            </w:r>
            <w:r>
              <w:rPr>
                <w:szCs w:val="21"/>
              </w:rPr>
              <w:t>、</w:t>
            </w:r>
            <w:r>
              <w:rPr>
                <w:rFonts w:hint="eastAsia"/>
                <w:szCs w:val="21"/>
              </w:rPr>
              <w:t>强度</w:t>
            </w:r>
            <w:r>
              <w:rPr>
                <w:szCs w:val="21"/>
              </w:rPr>
              <w:t>、</w:t>
            </w:r>
            <w:r>
              <w:rPr>
                <w:rFonts w:hint="eastAsia"/>
                <w:szCs w:val="21"/>
              </w:rPr>
              <w:t>自应力值</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7</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25029-2010</w:t>
            </w:r>
            <w:r>
              <w:rPr>
                <w:rFonts w:cs="宋体"/>
              </w:rPr>
              <w:t xml:space="preserve"> </w:t>
            </w:r>
            <w:r>
              <w:rPr>
                <w:rFonts w:hint="eastAsia" w:cs="宋体"/>
              </w:rPr>
              <w:t>钢渣道路水泥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三氧化硫</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干缩率</w:t>
            </w:r>
            <w:r>
              <w:rPr>
                <w:szCs w:val="21"/>
              </w:rPr>
              <w:t>、</w:t>
            </w:r>
            <w:r>
              <w:rPr>
                <w:rFonts w:hint="eastAsia"/>
                <w:szCs w:val="21"/>
              </w:rPr>
              <w:t>耐磨性</w:t>
            </w:r>
            <w:r>
              <w:rPr>
                <w:szCs w:val="21"/>
              </w:rPr>
              <w:t>、</w:t>
            </w:r>
            <w:r>
              <w:rPr>
                <w:rFonts w:hint="eastAsia"/>
                <w:szCs w:val="21"/>
              </w:rPr>
              <w:t>强度</w:t>
            </w:r>
            <w:r>
              <w:rPr>
                <w:szCs w:val="21"/>
              </w:rPr>
              <w:t>、</w:t>
            </w:r>
            <w:r>
              <w:rPr>
                <w:rFonts w:hint="eastAsia"/>
                <w:szCs w:val="21"/>
              </w:rPr>
              <w:t>比表面积</w:t>
            </w:r>
            <w:r>
              <w:rPr>
                <w:szCs w:val="21"/>
              </w:rPr>
              <w:t>、</w:t>
            </w:r>
            <w:r>
              <w:rPr>
                <w:rFonts w:hint="eastAsia"/>
                <w:szCs w:val="21"/>
              </w:rPr>
              <w:t>氯离子含量</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8</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31289-2014 海工硅酸盐水泥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烧失量</w:t>
            </w:r>
            <w:r>
              <w:rPr>
                <w:szCs w:val="21"/>
              </w:rPr>
              <w:t>、</w:t>
            </w:r>
            <w:r>
              <w:rPr>
                <w:rFonts w:hint="eastAsia"/>
                <w:szCs w:val="21"/>
              </w:rPr>
              <w:t>三氧化硫</w:t>
            </w:r>
            <w:r>
              <w:rPr>
                <w:szCs w:val="21"/>
              </w:rPr>
              <w:t>、</w:t>
            </w:r>
            <w:r>
              <w:rPr>
                <w:rFonts w:hint="eastAsia"/>
                <w:szCs w:val="21"/>
              </w:rPr>
              <w:t>氯离子</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细度</w:t>
            </w:r>
            <w:r>
              <w:rPr>
                <w:szCs w:val="21"/>
              </w:rPr>
              <w:t>、</w:t>
            </w:r>
            <w:r>
              <w:rPr>
                <w:rFonts w:hint="eastAsia"/>
                <w:szCs w:val="21"/>
              </w:rPr>
              <w:t>强度</w:t>
            </w:r>
            <w:r>
              <w:rPr>
                <w:szCs w:val="21"/>
              </w:rPr>
              <w:t>、</w:t>
            </w:r>
            <w:r>
              <w:rPr>
                <w:rFonts w:hint="eastAsia"/>
                <w:szCs w:val="21"/>
              </w:rPr>
              <w:t>抗氯离子渗透性</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9</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31545-2015 核电工程用硅酸盐水泥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氧化镁</w:t>
            </w:r>
            <w:r>
              <w:rPr>
                <w:szCs w:val="21"/>
              </w:rPr>
              <w:t>、</w:t>
            </w:r>
            <w:r>
              <w:rPr>
                <w:rFonts w:hint="eastAsia"/>
                <w:szCs w:val="21"/>
              </w:rPr>
              <w:t>不溶物</w:t>
            </w:r>
            <w:r>
              <w:rPr>
                <w:szCs w:val="21"/>
              </w:rPr>
              <w:t>、</w:t>
            </w:r>
            <w:r>
              <w:rPr>
                <w:rFonts w:hint="eastAsia"/>
                <w:szCs w:val="21"/>
              </w:rPr>
              <w:t>三氧化硫</w:t>
            </w:r>
            <w:r>
              <w:rPr>
                <w:szCs w:val="21"/>
              </w:rPr>
              <w:t>、</w:t>
            </w:r>
            <w:r>
              <w:rPr>
                <w:rFonts w:hint="eastAsia"/>
                <w:szCs w:val="21"/>
              </w:rPr>
              <w:t>烧失量</w:t>
            </w:r>
            <w:r>
              <w:rPr>
                <w:szCs w:val="21"/>
              </w:rPr>
              <w:t>、</w:t>
            </w:r>
            <w:r>
              <w:rPr>
                <w:rFonts w:hint="eastAsia"/>
                <w:szCs w:val="21"/>
              </w:rPr>
              <w:t>氯离子</w:t>
            </w:r>
            <w:r>
              <w:rPr>
                <w:szCs w:val="21"/>
              </w:rPr>
              <w:t>、</w:t>
            </w:r>
            <w:r>
              <w:rPr>
                <w:rFonts w:hint="eastAsia"/>
                <w:szCs w:val="21"/>
              </w:rPr>
              <w:t>碱含量</w:t>
            </w:r>
            <w:r>
              <w:rPr>
                <w:szCs w:val="21"/>
              </w:rPr>
              <w:t>、</w:t>
            </w:r>
            <w:r>
              <w:rPr>
                <w:rFonts w:hint="eastAsia"/>
                <w:szCs w:val="21"/>
              </w:rPr>
              <w:t>比表面积</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强度</w:t>
            </w:r>
            <w:r>
              <w:rPr>
                <w:szCs w:val="21"/>
              </w:rPr>
              <w:t>、</w:t>
            </w:r>
            <w:r>
              <w:rPr>
                <w:rFonts w:hint="eastAsia"/>
                <w:szCs w:val="21"/>
              </w:rPr>
              <w:t>水化热</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0</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34189-2017 免压蒸管桩硅酸盐水泥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三氧化硫</w:t>
            </w:r>
            <w:r>
              <w:rPr>
                <w:szCs w:val="21"/>
              </w:rPr>
              <w:t>、</w:t>
            </w:r>
            <w:r>
              <w:rPr>
                <w:rFonts w:hint="eastAsia"/>
                <w:szCs w:val="21"/>
              </w:rPr>
              <w:t>氯离子</w:t>
            </w:r>
            <w:r>
              <w:rPr>
                <w:szCs w:val="21"/>
              </w:rPr>
              <w:t>、</w:t>
            </w:r>
            <w:r>
              <w:rPr>
                <w:rFonts w:hint="eastAsia"/>
                <w:szCs w:val="21"/>
              </w:rPr>
              <w:t>凝结时间</w:t>
            </w:r>
            <w:r>
              <w:rPr>
                <w:szCs w:val="21"/>
              </w:rPr>
              <w:t>、</w:t>
            </w:r>
            <w:r>
              <w:rPr>
                <w:rFonts w:hint="eastAsia"/>
                <w:szCs w:val="21"/>
              </w:rPr>
              <w:t>沸煮法安定性</w:t>
            </w:r>
            <w:r>
              <w:rPr>
                <w:szCs w:val="21"/>
              </w:rPr>
              <w:t>、</w:t>
            </w:r>
            <w:r>
              <w:rPr>
                <w:rFonts w:hint="eastAsia"/>
                <w:szCs w:val="21"/>
              </w:rPr>
              <w:t>细度</w:t>
            </w:r>
            <w:r>
              <w:rPr>
                <w:szCs w:val="21"/>
              </w:rPr>
              <w:t>、</w:t>
            </w:r>
            <w:r>
              <w:rPr>
                <w:rFonts w:hint="eastAsia"/>
                <w:szCs w:val="21"/>
              </w:rPr>
              <w:t>蒸养强度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1</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35161-2017 超细硅酸盐水泥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氧化镁</w:t>
            </w:r>
            <w:r>
              <w:rPr>
                <w:szCs w:val="21"/>
              </w:rPr>
              <w:t>、</w:t>
            </w:r>
            <w:r>
              <w:rPr>
                <w:rFonts w:hint="eastAsia"/>
                <w:szCs w:val="21"/>
              </w:rPr>
              <w:t>三氧化硫</w:t>
            </w:r>
            <w:r>
              <w:rPr>
                <w:szCs w:val="21"/>
              </w:rPr>
              <w:t>、</w:t>
            </w:r>
            <w:r>
              <w:rPr>
                <w:rFonts w:hint="eastAsia"/>
                <w:szCs w:val="21"/>
              </w:rPr>
              <w:t>烧失量</w:t>
            </w:r>
            <w:r>
              <w:rPr>
                <w:szCs w:val="21"/>
              </w:rPr>
              <w:t>、</w:t>
            </w:r>
            <w:r>
              <w:rPr>
                <w:rFonts w:hint="eastAsia"/>
                <w:szCs w:val="21"/>
              </w:rPr>
              <w:t>氯离子</w:t>
            </w:r>
            <w:r>
              <w:rPr>
                <w:szCs w:val="21"/>
              </w:rPr>
              <w:t>、</w:t>
            </w:r>
            <w:r>
              <w:rPr>
                <w:rFonts w:hint="eastAsia"/>
                <w:szCs w:val="21"/>
              </w:rPr>
              <w:t>凝结时间</w:t>
            </w:r>
            <w:r>
              <w:rPr>
                <w:szCs w:val="21"/>
              </w:rPr>
              <w:t>、</w:t>
            </w:r>
            <w:r>
              <w:rPr>
                <w:rFonts w:hint="eastAsia"/>
                <w:szCs w:val="21"/>
              </w:rPr>
              <w:t>沸煮法安定性</w:t>
            </w:r>
            <w:r>
              <w:rPr>
                <w:szCs w:val="21"/>
              </w:rPr>
              <w:t>、</w:t>
            </w:r>
            <w:r>
              <w:rPr>
                <w:rFonts w:hint="eastAsia"/>
                <w:szCs w:val="21"/>
              </w:rPr>
              <w:t>粒径</w:t>
            </w:r>
            <w:r>
              <w:rPr>
                <w:szCs w:val="21"/>
              </w:rPr>
              <w:t>、</w:t>
            </w:r>
            <w:r>
              <w:rPr>
                <w:rFonts w:hint="eastAsia"/>
                <w:szCs w:val="21"/>
              </w:rPr>
              <w:t>强度</w:t>
            </w:r>
            <w:r>
              <w:rPr>
                <w:szCs w:val="21"/>
              </w:rPr>
              <w:t>、</w:t>
            </w:r>
            <w:r>
              <w:rPr>
                <w:rFonts w:hint="eastAsia"/>
                <w:szCs w:val="21"/>
              </w:rPr>
              <w:t>水溶性铬（VI）</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2</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GB/T 35162-2017 道路基层用缓凝硅酸盐水泥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游离氧化钙</w:t>
            </w:r>
            <w:r>
              <w:rPr>
                <w:szCs w:val="21"/>
              </w:rPr>
              <w:t>、</w:t>
            </w:r>
            <w:r>
              <w:rPr>
                <w:rFonts w:hint="eastAsia"/>
                <w:szCs w:val="21"/>
              </w:rPr>
              <w:t>三氧化硫</w:t>
            </w:r>
            <w:r>
              <w:rPr>
                <w:szCs w:val="21"/>
              </w:rPr>
              <w:t>、</w:t>
            </w:r>
            <w:r>
              <w:rPr>
                <w:rFonts w:hint="eastAsia"/>
                <w:szCs w:val="21"/>
              </w:rPr>
              <w:t>氧化镁</w:t>
            </w:r>
            <w:r>
              <w:rPr>
                <w:szCs w:val="21"/>
              </w:rPr>
              <w:t>、</w:t>
            </w:r>
            <w:r>
              <w:rPr>
                <w:rFonts w:hint="eastAsia"/>
                <w:szCs w:val="21"/>
              </w:rPr>
              <w:t>细度</w:t>
            </w:r>
            <w:r>
              <w:rPr>
                <w:szCs w:val="21"/>
              </w:rPr>
              <w:t>、</w:t>
            </w:r>
            <w:r>
              <w:rPr>
                <w:rFonts w:hint="eastAsia"/>
                <w:szCs w:val="21"/>
              </w:rPr>
              <w:t>凝结时间</w:t>
            </w:r>
            <w:r>
              <w:rPr>
                <w:szCs w:val="21"/>
              </w:rPr>
              <w:t>、</w:t>
            </w:r>
            <w:r>
              <w:rPr>
                <w:rFonts w:hint="eastAsia"/>
                <w:szCs w:val="21"/>
              </w:rPr>
              <w:t>安定性</w:t>
            </w:r>
            <w:r>
              <w:rPr>
                <w:szCs w:val="21"/>
              </w:rPr>
              <w:t>、</w:t>
            </w:r>
            <w:r>
              <w:rPr>
                <w:rFonts w:hint="eastAsia"/>
                <w:szCs w:val="21"/>
              </w:rPr>
              <w:t>线膨胀率</w:t>
            </w:r>
            <w:r>
              <w:rPr>
                <w:szCs w:val="21"/>
              </w:rPr>
              <w:t>、</w:t>
            </w:r>
            <w:r>
              <w:rPr>
                <w:rFonts w:hint="eastAsia"/>
                <w:szCs w:val="21"/>
              </w:rPr>
              <w:t>强度</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3</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JC/T 311-2004 明矾石膨胀水泥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三氧化硫</w:t>
            </w:r>
            <w:r>
              <w:rPr>
                <w:szCs w:val="21"/>
              </w:rPr>
              <w:t>、</w:t>
            </w:r>
            <w:r>
              <w:rPr>
                <w:rFonts w:hint="eastAsia"/>
                <w:szCs w:val="21"/>
              </w:rPr>
              <w:t>比表面积</w:t>
            </w:r>
            <w:r>
              <w:rPr>
                <w:szCs w:val="21"/>
              </w:rPr>
              <w:t>、</w:t>
            </w:r>
            <w:r>
              <w:rPr>
                <w:rFonts w:hint="eastAsia"/>
                <w:szCs w:val="21"/>
              </w:rPr>
              <w:t>凝结时间</w:t>
            </w:r>
            <w:r>
              <w:rPr>
                <w:szCs w:val="21"/>
              </w:rPr>
              <w:t>、</w:t>
            </w:r>
            <w:r>
              <w:rPr>
                <w:rFonts w:hint="eastAsia"/>
                <w:szCs w:val="21"/>
              </w:rPr>
              <w:t>强度</w:t>
            </w:r>
            <w:r>
              <w:rPr>
                <w:szCs w:val="21"/>
              </w:rPr>
              <w:t>、</w:t>
            </w:r>
            <w:r>
              <w:rPr>
                <w:rFonts w:hint="eastAsia"/>
                <w:szCs w:val="21"/>
              </w:rPr>
              <w:t>限制膨胀率</w:t>
            </w:r>
            <w:r>
              <w:rPr>
                <w:szCs w:val="21"/>
              </w:rPr>
              <w:t>、</w:t>
            </w:r>
            <w:r>
              <w:rPr>
                <w:rFonts w:hint="eastAsia"/>
                <w:szCs w:val="21"/>
              </w:rPr>
              <w:t>不透水性</w:t>
            </w:r>
            <w:r>
              <w:rPr>
                <w:szCs w:val="21"/>
              </w:rPr>
              <w:t>、</w:t>
            </w:r>
            <w:r>
              <w:rPr>
                <w:rFonts w:hint="eastAsia"/>
                <w:szCs w:val="21"/>
              </w:rPr>
              <w:t>碱含量</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4</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JC/T 437-2010 自应力铁铝酸盐水泥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szCs w:val="21"/>
              </w:rPr>
              <w:t>比表面积</w:t>
            </w:r>
            <w:r>
              <w:rPr>
                <w:szCs w:val="21"/>
              </w:rPr>
              <w:t>、</w:t>
            </w:r>
            <w:r>
              <w:rPr>
                <w:rFonts w:hint="eastAsia"/>
                <w:szCs w:val="21"/>
              </w:rPr>
              <w:t>凝结时间</w:t>
            </w:r>
            <w:r>
              <w:rPr>
                <w:szCs w:val="21"/>
              </w:rPr>
              <w:t>、</w:t>
            </w:r>
            <w:r>
              <w:rPr>
                <w:rFonts w:hint="eastAsia"/>
                <w:szCs w:val="21"/>
              </w:rPr>
              <w:t>自由膨胀率</w:t>
            </w:r>
            <w:r>
              <w:rPr>
                <w:szCs w:val="21"/>
              </w:rPr>
              <w:t>、</w:t>
            </w:r>
            <w:r>
              <w:rPr>
                <w:rFonts w:hint="eastAsia"/>
                <w:szCs w:val="21"/>
              </w:rPr>
              <w:t>抗压强度</w:t>
            </w:r>
            <w:r>
              <w:rPr>
                <w:szCs w:val="21"/>
              </w:rPr>
              <w:t>、</w:t>
            </w:r>
            <w:r>
              <w:rPr>
                <w:rFonts w:hint="eastAsia"/>
                <w:szCs w:val="21"/>
              </w:rPr>
              <w:t>28d自应力增进率</w:t>
            </w:r>
            <w:r>
              <w:rPr>
                <w:szCs w:val="21"/>
              </w:rPr>
              <w:t>、</w:t>
            </w:r>
            <w:r>
              <w:rPr>
                <w:rFonts w:hint="eastAsia"/>
                <w:szCs w:val="21"/>
              </w:rPr>
              <w:t>自应力值</w:t>
            </w:r>
            <w:r>
              <w:rPr>
                <w:szCs w:val="21"/>
              </w:rPr>
              <w:t>、</w:t>
            </w:r>
            <w:r>
              <w:rPr>
                <w:rFonts w:hint="eastAsia"/>
                <w:szCs w:val="21"/>
              </w:rPr>
              <w:t>碱含量</w:t>
            </w:r>
            <w:r>
              <w:rPr>
                <w:szCs w:val="21"/>
              </w:rPr>
              <w:t>、</w:t>
            </w:r>
            <w:r>
              <w:rPr>
                <w:rFonts w:hint="eastAsia"/>
                <w:szCs w:val="21"/>
              </w:rPr>
              <w:t>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5</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JC/T 870-2012 彩色硅酸盐水泥</w:t>
            </w:r>
          </w:p>
        </w:tc>
        <w:tc>
          <w:tcPr>
            <w:tcW w:w="5985" w:type="dxa"/>
            <w:tcBorders>
              <w:tl2br w:val="nil"/>
              <w:tr2bl w:val="nil"/>
            </w:tcBorders>
            <w:vAlign w:val="center"/>
          </w:tcPr>
          <w:p>
            <w:pPr>
              <w:snapToGrid w:val="0"/>
              <w:spacing w:line="270" w:lineRule="exact"/>
              <w:jc w:val="left"/>
              <w:rPr>
                <w:szCs w:val="21"/>
              </w:rPr>
            </w:pPr>
            <w:r>
              <w:rPr>
                <w:rFonts w:hint="eastAsia"/>
                <w:szCs w:val="21"/>
              </w:rPr>
              <w:t>三氧化硫、细度、凝结时间、安定性、强度、色差、放射性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6</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JC/T 1082-2008 低热钢渣硅酸盐水泥</w:t>
            </w:r>
          </w:p>
        </w:tc>
        <w:tc>
          <w:tcPr>
            <w:tcW w:w="5985" w:type="dxa"/>
            <w:tcBorders>
              <w:tl2br w:val="nil"/>
              <w:tr2bl w:val="nil"/>
            </w:tcBorders>
            <w:vAlign w:val="center"/>
          </w:tcPr>
          <w:p>
            <w:pPr>
              <w:snapToGrid w:val="0"/>
              <w:jc w:val="left"/>
              <w:rPr>
                <w:szCs w:val="21"/>
              </w:rPr>
            </w:pPr>
            <w:r>
              <w:rPr>
                <w:rFonts w:hint="eastAsia"/>
                <w:szCs w:val="21"/>
              </w:rPr>
              <w:t>三氧化硫、比表面积、凝结时间、安定性、碱含量、强度、水化热、放射性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7</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JC/T 1099-2009 硫铝酸钙改性硅酸盐水泥</w:t>
            </w:r>
          </w:p>
        </w:tc>
        <w:tc>
          <w:tcPr>
            <w:tcW w:w="5985" w:type="dxa"/>
            <w:tcBorders>
              <w:tl2br w:val="nil"/>
              <w:tr2bl w:val="nil"/>
            </w:tcBorders>
            <w:vAlign w:val="center"/>
          </w:tcPr>
          <w:p>
            <w:pPr>
              <w:snapToGrid w:val="0"/>
              <w:jc w:val="left"/>
              <w:rPr>
                <w:szCs w:val="21"/>
              </w:rPr>
            </w:pPr>
            <w:r>
              <w:rPr>
                <w:rFonts w:hint="eastAsia"/>
                <w:szCs w:val="21"/>
              </w:rPr>
              <w:t>三氧化硫、氧化镁、氯离子、凝结时间、安定性、强度、线膨胀率、放射性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8</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JC/T 2152-2012 复合硫铝酸盐水泥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ascii="宋体" w:hAnsi="宋体"/>
              </w:rPr>
              <w:t>凝结时间、强度、细度、放射性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r>
              <w:rPr>
                <w:rFonts w:ascii="宋体" w:hAnsi="宋体"/>
              </w:rPr>
              <w:t>9</w:t>
            </w: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4115" w:type="dxa"/>
            <w:tcBorders>
              <w:tl2br w:val="nil"/>
              <w:tr2bl w:val="nil"/>
            </w:tcBorders>
            <w:vAlign w:val="center"/>
          </w:tcPr>
          <w:p>
            <w:pPr>
              <w:snapToGrid w:val="0"/>
              <w:jc w:val="center"/>
              <w:rPr>
                <w:rFonts w:cs="宋体"/>
              </w:rPr>
            </w:pPr>
            <w:r>
              <w:rPr>
                <w:rFonts w:hint="eastAsia" w:cs="宋体"/>
              </w:rPr>
              <w:t>JC/T 2282-2014 快凝快硬硫铝酸盐水泥</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ascii="宋体" w:hAnsi="宋体"/>
              </w:rPr>
              <w:t>比表面积、凝结时间、强度、放射性</w:t>
            </w:r>
          </w:p>
        </w:tc>
      </w:tr>
    </w:tbl>
    <w:p>
      <w:pPr>
        <w:spacing w:line="360" w:lineRule="auto"/>
        <w:ind w:firstLine="420" w:firstLineChars="200"/>
        <w:jc w:val="left"/>
        <w:rPr>
          <w:rFonts w:asciiTheme="minorEastAsia" w:hAnsiTheme="minorEastAsia" w:eastAsiaTheme="minorEastAsia"/>
          <w:szCs w:val="24"/>
        </w:rPr>
      </w:pPr>
      <w:r>
        <w:rPr>
          <w:rFonts w:asciiTheme="minorEastAsia" w:hAnsiTheme="minorEastAsia" w:eastAsiaTheme="minorEastAsia"/>
          <w:szCs w:val="24"/>
        </w:rPr>
        <w:t>注</w:t>
      </w:r>
      <w:r>
        <w:rPr>
          <w:rFonts w:hint="eastAsia" w:asciiTheme="minorEastAsia" w:hAnsiTheme="minorEastAsia" w:eastAsiaTheme="minorEastAsia"/>
          <w:szCs w:val="24"/>
        </w:rPr>
        <w:t>：企业在申请取证时应按照产品单元提供产品检验报告；其中，委托检验报告和型式试验报告应当覆盖本表所列的检验项目；申请</w:t>
      </w:r>
      <w:r>
        <w:rPr>
          <w:rFonts w:hint="eastAsia" w:cs="宋体"/>
        </w:rPr>
        <w:t>通用水泥32.5、通用水泥42.5、通用水泥52.5、通用水泥62.5产品单元的，应提交本单元内最高等级任一产品的检验报告</w:t>
      </w:r>
      <w:r>
        <w:rPr>
          <w:rFonts w:hint="eastAsia" w:asciiTheme="minorEastAsia" w:hAnsiTheme="minorEastAsia" w:eastAsiaTheme="minorEastAsia"/>
          <w:szCs w:val="24"/>
        </w:rPr>
        <w:t>；申请特种水泥产品的，可提交任一特种水泥产品的检验报告。</w:t>
      </w:r>
    </w:p>
    <w:p>
      <w:pPr>
        <w:pStyle w:val="80"/>
        <w:spacing w:line="400" w:lineRule="exact"/>
        <w:ind w:firstLine="0" w:firstLineChars="0"/>
        <w:jc w:val="center"/>
        <w:rPr>
          <w:rFonts w:asciiTheme="minorEastAsia" w:hAnsiTheme="minorEastAsia" w:eastAsiaTheme="minorEastAsia"/>
          <w:szCs w:val="24"/>
        </w:rPr>
      </w:pPr>
    </w:p>
    <w:sectPr>
      <w:pgSz w:w="16838" w:h="11906" w:orient="landscape"/>
      <w:pgMar w:top="1418" w:right="1644" w:bottom="1418" w:left="1417"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altName w:val="宋体"/>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MS+Sans+Serif">
    <w:altName w:val="黑体"/>
    <w:panose1 w:val="00000000000000000000"/>
    <w:charset w:val="86"/>
    <w:family w:val="auto"/>
    <w:pitch w:val="default"/>
    <w:sig w:usb0="00000000" w:usb1="00000000" w:usb2="0000001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9437721"/>
      <w:docPartObj>
        <w:docPartGallery w:val="autotext"/>
      </w:docPartObj>
    </w:sdtPr>
    <w:sdtContent>
      <w:p>
        <w:pPr>
          <w:pStyle w:val="28"/>
          <w:jc w:val="center"/>
        </w:pPr>
        <w:r>
          <w:fldChar w:fldCharType="begin"/>
        </w:r>
        <w:r>
          <w:instrText xml:space="preserve">PAGE   \* MERGEFORMAT</w:instrText>
        </w:r>
        <w:r>
          <w:fldChar w:fldCharType="separate"/>
        </w:r>
        <w:r>
          <w:rPr>
            <w:lang w:val="zh-CN"/>
          </w:rPr>
          <w:t>10</w:t>
        </w:r>
        <w:r>
          <w:rPr>
            <w:lang w:val="zh-CN"/>
          </w:rPr>
          <w:fldChar w:fldCharType="end"/>
        </w:r>
      </w:p>
    </w:sdtContent>
  </w:sdt>
  <w:p>
    <w:pPr>
      <w:pStyle w:val="28"/>
      <w:jc w:val="center"/>
      <w:rPr>
        <w:sz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E95"/>
    <w:rsid w:val="00000026"/>
    <w:rsid w:val="0000009A"/>
    <w:rsid w:val="0000065C"/>
    <w:rsid w:val="000008D4"/>
    <w:rsid w:val="00001735"/>
    <w:rsid w:val="000018B9"/>
    <w:rsid w:val="000026B8"/>
    <w:rsid w:val="00002898"/>
    <w:rsid w:val="00002937"/>
    <w:rsid w:val="000031AC"/>
    <w:rsid w:val="00003A0C"/>
    <w:rsid w:val="00003FE9"/>
    <w:rsid w:val="00004812"/>
    <w:rsid w:val="000048B9"/>
    <w:rsid w:val="00004A66"/>
    <w:rsid w:val="00004BED"/>
    <w:rsid w:val="000057DA"/>
    <w:rsid w:val="00005D69"/>
    <w:rsid w:val="0000614B"/>
    <w:rsid w:val="00007515"/>
    <w:rsid w:val="000077BA"/>
    <w:rsid w:val="00007B03"/>
    <w:rsid w:val="00007F8C"/>
    <w:rsid w:val="00010864"/>
    <w:rsid w:val="00010EA7"/>
    <w:rsid w:val="00010FC4"/>
    <w:rsid w:val="00010FF6"/>
    <w:rsid w:val="000119F2"/>
    <w:rsid w:val="0001220C"/>
    <w:rsid w:val="00012606"/>
    <w:rsid w:val="000126A7"/>
    <w:rsid w:val="000136D8"/>
    <w:rsid w:val="00013840"/>
    <w:rsid w:val="00013AE0"/>
    <w:rsid w:val="00013B70"/>
    <w:rsid w:val="000141E7"/>
    <w:rsid w:val="00014535"/>
    <w:rsid w:val="000146D8"/>
    <w:rsid w:val="00014D1F"/>
    <w:rsid w:val="00014E6A"/>
    <w:rsid w:val="00015D2F"/>
    <w:rsid w:val="0001639D"/>
    <w:rsid w:val="00016781"/>
    <w:rsid w:val="00016B63"/>
    <w:rsid w:val="00017912"/>
    <w:rsid w:val="0002040C"/>
    <w:rsid w:val="00020BDA"/>
    <w:rsid w:val="000217FB"/>
    <w:rsid w:val="000221B4"/>
    <w:rsid w:val="00022417"/>
    <w:rsid w:val="00022463"/>
    <w:rsid w:val="000228C6"/>
    <w:rsid w:val="00023B37"/>
    <w:rsid w:val="00023C57"/>
    <w:rsid w:val="00023CA6"/>
    <w:rsid w:val="00023E09"/>
    <w:rsid w:val="0002416D"/>
    <w:rsid w:val="00025608"/>
    <w:rsid w:val="00025BE3"/>
    <w:rsid w:val="00025EE9"/>
    <w:rsid w:val="000261D9"/>
    <w:rsid w:val="000262E6"/>
    <w:rsid w:val="00026C78"/>
    <w:rsid w:val="00027268"/>
    <w:rsid w:val="00027630"/>
    <w:rsid w:val="0003044D"/>
    <w:rsid w:val="00030799"/>
    <w:rsid w:val="00030B88"/>
    <w:rsid w:val="00030E40"/>
    <w:rsid w:val="00031137"/>
    <w:rsid w:val="0003184E"/>
    <w:rsid w:val="00031D13"/>
    <w:rsid w:val="000322B6"/>
    <w:rsid w:val="000328AD"/>
    <w:rsid w:val="00032D2C"/>
    <w:rsid w:val="00032E16"/>
    <w:rsid w:val="000338D1"/>
    <w:rsid w:val="00033A56"/>
    <w:rsid w:val="00033BAD"/>
    <w:rsid w:val="00034A8E"/>
    <w:rsid w:val="00034FF3"/>
    <w:rsid w:val="000360A2"/>
    <w:rsid w:val="0003633A"/>
    <w:rsid w:val="000363A8"/>
    <w:rsid w:val="0003646C"/>
    <w:rsid w:val="00036720"/>
    <w:rsid w:val="000367BE"/>
    <w:rsid w:val="00036DF7"/>
    <w:rsid w:val="00037261"/>
    <w:rsid w:val="00037371"/>
    <w:rsid w:val="000373C5"/>
    <w:rsid w:val="000376C8"/>
    <w:rsid w:val="00037BFB"/>
    <w:rsid w:val="00037FF1"/>
    <w:rsid w:val="00037FFB"/>
    <w:rsid w:val="00040EC6"/>
    <w:rsid w:val="00041027"/>
    <w:rsid w:val="00041EC7"/>
    <w:rsid w:val="00041EFC"/>
    <w:rsid w:val="00042040"/>
    <w:rsid w:val="000425F9"/>
    <w:rsid w:val="00042933"/>
    <w:rsid w:val="00042C0A"/>
    <w:rsid w:val="0004359A"/>
    <w:rsid w:val="000435CE"/>
    <w:rsid w:val="000435EF"/>
    <w:rsid w:val="00043C93"/>
    <w:rsid w:val="0004423C"/>
    <w:rsid w:val="0004431E"/>
    <w:rsid w:val="00044590"/>
    <w:rsid w:val="000445B0"/>
    <w:rsid w:val="00045306"/>
    <w:rsid w:val="000455F5"/>
    <w:rsid w:val="000456B0"/>
    <w:rsid w:val="00045761"/>
    <w:rsid w:val="000458C4"/>
    <w:rsid w:val="00045D36"/>
    <w:rsid w:val="000460EF"/>
    <w:rsid w:val="00046427"/>
    <w:rsid w:val="0004642E"/>
    <w:rsid w:val="000469CC"/>
    <w:rsid w:val="00046EBB"/>
    <w:rsid w:val="0004787C"/>
    <w:rsid w:val="00047BC5"/>
    <w:rsid w:val="00047BDE"/>
    <w:rsid w:val="000501D5"/>
    <w:rsid w:val="000506C9"/>
    <w:rsid w:val="00051257"/>
    <w:rsid w:val="000512C6"/>
    <w:rsid w:val="00051715"/>
    <w:rsid w:val="000518B1"/>
    <w:rsid w:val="00051904"/>
    <w:rsid w:val="00051F78"/>
    <w:rsid w:val="000521FC"/>
    <w:rsid w:val="000526C2"/>
    <w:rsid w:val="0005274A"/>
    <w:rsid w:val="00052755"/>
    <w:rsid w:val="000527B9"/>
    <w:rsid w:val="00052C9F"/>
    <w:rsid w:val="000547C2"/>
    <w:rsid w:val="0005493A"/>
    <w:rsid w:val="0005498A"/>
    <w:rsid w:val="00054C34"/>
    <w:rsid w:val="000552AB"/>
    <w:rsid w:val="0005579D"/>
    <w:rsid w:val="00056520"/>
    <w:rsid w:val="00056A1F"/>
    <w:rsid w:val="00057B9E"/>
    <w:rsid w:val="0006057E"/>
    <w:rsid w:val="0006064A"/>
    <w:rsid w:val="0006113E"/>
    <w:rsid w:val="000614AE"/>
    <w:rsid w:val="00061CF1"/>
    <w:rsid w:val="0006298F"/>
    <w:rsid w:val="00062B23"/>
    <w:rsid w:val="00062BA8"/>
    <w:rsid w:val="00062C85"/>
    <w:rsid w:val="000634AD"/>
    <w:rsid w:val="0006359C"/>
    <w:rsid w:val="00064088"/>
    <w:rsid w:val="00064218"/>
    <w:rsid w:val="000642FB"/>
    <w:rsid w:val="0006487C"/>
    <w:rsid w:val="000649F7"/>
    <w:rsid w:val="000655B6"/>
    <w:rsid w:val="00065C65"/>
    <w:rsid w:val="000666AA"/>
    <w:rsid w:val="00066705"/>
    <w:rsid w:val="0006688D"/>
    <w:rsid w:val="00066ACE"/>
    <w:rsid w:val="00066BA3"/>
    <w:rsid w:val="00067BD5"/>
    <w:rsid w:val="00071568"/>
    <w:rsid w:val="000719B7"/>
    <w:rsid w:val="00071F16"/>
    <w:rsid w:val="000721C1"/>
    <w:rsid w:val="00072891"/>
    <w:rsid w:val="00072D9E"/>
    <w:rsid w:val="000730DB"/>
    <w:rsid w:val="000738BF"/>
    <w:rsid w:val="000739A1"/>
    <w:rsid w:val="00073E6A"/>
    <w:rsid w:val="000744C3"/>
    <w:rsid w:val="00074FBD"/>
    <w:rsid w:val="00075520"/>
    <w:rsid w:val="00075970"/>
    <w:rsid w:val="000759D3"/>
    <w:rsid w:val="0007649E"/>
    <w:rsid w:val="00076974"/>
    <w:rsid w:val="00076C10"/>
    <w:rsid w:val="00077245"/>
    <w:rsid w:val="00077681"/>
    <w:rsid w:val="00077BE6"/>
    <w:rsid w:val="00077F43"/>
    <w:rsid w:val="00080BD4"/>
    <w:rsid w:val="00081131"/>
    <w:rsid w:val="0008114C"/>
    <w:rsid w:val="0008152D"/>
    <w:rsid w:val="0008254E"/>
    <w:rsid w:val="00082957"/>
    <w:rsid w:val="000836DC"/>
    <w:rsid w:val="000837D2"/>
    <w:rsid w:val="00083824"/>
    <w:rsid w:val="000843BC"/>
    <w:rsid w:val="000846CA"/>
    <w:rsid w:val="000846D6"/>
    <w:rsid w:val="000848D3"/>
    <w:rsid w:val="000848D6"/>
    <w:rsid w:val="00085434"/>
    <w:rsid w:val="00085781"/>
    <w:rsid w:val="00085C00"/>
    <w:rsid w:val="0008687E"/>
    <w:rsid w:val="00086AFA"/>
    <w:rsid w:val="00087535"/>
    <w:rsid w:val="00087624"/>
    <w:rsid w:val="0009112B"/>
    <w:rsid w:val="00092F8F"/>
    <w:rsid w:val="00092FE8"/>
    <w:rsid w:val="000930A9"/>
    <w:rsid w:val="000931C6"/>
    <w:rsid w:val="00093EA1"/>
    <w:rsid w:val="000941B0"/>
    <w:rsid w:val="00094B3B"/>
    <w:rsid w:val="00095C4B"/>
    <w:rsid w:val="000964D0"/>
    <w:rsid w:val="000965D9"/>
    <w:rsid w:val="00096E0F"/>
    <w:rsid w:val="000975EE"/>
    <w:rsid w:val="00097735"/>
    <w:rsid w:val="00097874"/>
    <w:rsid w:val="00097890"/>
    <w:rsid w:val="000A009E"/>
    <w:rsid w:val="000A049E"/>
    <w:rsid w:val="000A084E"/>
    <w:rsid w:val="000A0CB7"/>
    <w:rsid w:val="000A11C1"/>
    <w:rsid w:val="000A1292"/>
    <w:rsid w:val="000A1802"/>
    <w:rsid w:val="000A1D31"/>
    <w:rsid w:val="000A1F55"/>
    <w:rsid w:val="000A3B04"/>
    <w:rsid w:val="000A3E13"/>
    <w:rsid w:val="000A410E"/>
    <w:rsid w:val="000A4F9D"/>
    <w:rsid w:val="000A56CC"/>
    <w:rsid w:val="000A6D07"/>
    <w:rsid w:val="000A6D2F"/>
    <w:rsid w:val="000A6E3B"/>
    <w:rsid w:val="000A7E1E"/>
    <w:rsid w:val="000B0269"/>
    <w:rsid w:val="000B0874"/>
    <w:rsid w:val="000B08D3"/>
    <w:rsid w:val="000B0D29"/>
    <w:rsid w:val="000B100F"/>
    <w:rsid w:val="000B1367"/>
    <w:rsid w:val="000B141C"/>
    <w:rsid w:val="000B1A91"/>
    <w:rsid w:val="000B1CD2"/>
    <w:rsid w:val="000B1FD8"/>
    <w:rsid w:val="000B22E5"/>
    <w:rsid w:val="000B2B00"/>
    <w:rsid w:val="000B323D"/>
    <w:rsid w:val="000B3AB4"/>
    <w:rsid w:val="000B410B"/>
    <w:rsid w:val="000B4263"/>
    <w:rsid w:val="000B451B"/>
    <w:rsid w:val="000B4B6A"/>
    <w:rsid w:val="000B4E2B"/>
    <w:rsid w:val="000B4E3F"/>
    <w:rsid w:val="000B51B4"/>
    <w:rsid w:val="000B551C"/>
    <w:rsid w:val="000B59FF"/>
    <w:rsid w:val="000B5E27"/>
    <w:rsid w:val="000B7DAD"/>
    <w:rsid w:val="000C05C2"/>
    <w:rsid w:val="000C08BF"/>
    <w:rsid w:val="000C0DAE"/>
    <w:rsid w:val="000C1036"/>
    <w:rsid w:val="000C10F3"/>
    <w:rsid w:val="000C1367"/>
    <w:rsid w:val="000C13F5"/>
    <w:rsid w:val="000C17F2"/>
    <w:rsid w:val="000C19F2"/>
    <w:rsid w:val="000C1AD6"/>
    <w:rsid w:val="000C25A1"/>
    <w:rsid w:val="000C280E"/>
    <w:rsid w:val="000C2C3F"/>
    <w:rsid w:val="000C31A5"/>
    <w:rsid w:val="000C38C8"/>
    <w:rsid w:val="000C3E64"/>
    <w:rsid w:val="000C4A41"/>
    <w:rsid w:val="000C4A90"/>
    <w:rsid w:val="000C5D13"/>
    <w:rsid w:val="000C601E"/>
    <w:rsid w:val="000C66D6"/>
    <w:rsid w:val="000C712E"/>
    <w:rsid w:val="000C7332"/>
    <w:rsid w:val="000D067E"/>
    <w:rsid w:val="000D0773"/>
    <w:rsid w:val="000D108F"/>
    <w:rsid w:val="000D2268"/>
    <w:rsid w:val="000D2650"/>
    <w:rsid w:val="000D2C68"/>
    <w:rsid w:val="000D2E07"/>
    <w:rsid w:val="000D31C3"/>
    <w:rsid w:val="000D3940"/>
    <w:rsid w:val="000D3F3F"/>
    <w:rsid w:val="000D4392"/>
    <w:rsid w:val="000D4AC4"/>
    <w:rsid w:val="000D540E"/>
    <w:rsid w:val="000D543D"/>
    <w:rsid w:val="000D7278"/>
    <w:rsid w:val="000D77A4"/>
    <w:rsid w:val="000D7933"/>
    <w:rsid w:val="000D79C5"/>
    <w:rsid w:val="000D79D2"/>
    <w:rsid w:val="000D7A94"/>
    <w:rsid w:val="000E03E9"/>
    <w:rsid w:val="000E0469"/>
    <w:rsid w:val="000E0742"/>
    <w:rsid w:val="000E09F4"/>
    <w:rsid w:val="000E0BAC"/>
    <w:rsid w:val="000E0EB8"/>
    <w:rsid w:val="000E0ED2"/>
    <w:rsid w:val="000E10F6"/>
    <w:rsid w:val="000E12C8"/>
    <w:rsid w:val="000E1433"/>
    <w:rsid w:val="000E15BE"/>
    <w:rsid w:val="000E2174"/>
    <w:rsid w:val="000E2330"/>
    <w:rsid w:val="000E24EF"/>
    <w:rsid w:val="000E24F3"/>
    <w:rsid w:val="000E3053"/>
    <w:rsid w:val="000E4057"/>
    <w:rsid w:val="000E4B05"/>
    <w:rsid w:val="000E59DD"/>
    <w:rsid w:val="000E5F18"/>
    <w:rsid w:val="000E72FF"/>
    <w:rsid w:val="000E77F9"/>
    <w:rsid w:val="000E7AFF"/>
    <w:rsid w:val="000E7C42"/>
    <w:rsid w:val="000F0329"/>
    <w:rsid w:val="000F0648"/>
    <w:rsid w:val="000F07FC"/>
    <w:rsid w:val="000F0A81"/>
    <w:rsid w:val="000F0EF2"/>
    <w:rsid w:val="000F1189"/>
    <w:rsid w:val="000F15C8"/>
    <w:rsid w:val="000F1A67"/>
    <w:rsid w:val="000F2767"/>
    <w:rsid w:val="000F2FFC"/>
    <w:rsid w:val="000F35FA"/>
    <w:rsid w:val="000F36B7"/>
    <w:rsid w:val="000F37AC"/>
    <w:rsid w:val="000F3B91"/>
    <w:rsid w:val="000F3F33"/>
    <w:rsid w:val="000F498D"/>
    <w:rsid w:val="000F4E42"/>
    <w:rsid w:val="000F4E90"/>
    <w:rsid w:val="000F51CB"/>
    <w:rsid w:val="000F5346"/>
    <w:rsid w:val="000F54FE"/>
    <w:rsid w:val="000F5773"/>
    <w:rsid w:val="000F60D5"/>
    <w:rsid w:val="000F63F8"/>
    <w:rsid w:val="000F69D3"/>
    <w:rsid w:val="000F7B43"/>
    <w:rsid w:val="00100185"/>
    <w:rsid w:val="00100551"/>
    <w:rsid w:val="00100E66"/>
    <w:rsid w:val="00101342"/>
    <w:rsid w:val="001018D9"/>
    <w:rsid w:val="00102C5B"/>
    <w:rsid w:val="00102D24"/>
    <w:rsid w:val="00103180"/>
    <w:rsid w:val="0010361F"/>
    <w:rsid w:val="00103670"/>
    <w:rsid w:val="001041ED"/>
    <w:rsid w:val="00104C6E"/>
    <w:rsid w:val="00104ED0"/>
    <w:rsid w:val="001050F9"/>
    <w:rsid w:val="0010580D"/>
    <w:rsid w:val="0010584D"/>
    <w:rsid w:val="00105877"/>
    <w:rsid w:val="001058D3"/>
    <w:rsid w:val="00105BAE"/>
    <w:rsid w:val="00106620"/>
    <w:rsid w:val="00106F43"/>
    <w:rsid w:val="0011024C"/>
    <w:rsid w:val="00110620"/>
    <w:rsid w:val="0011091F"/>
    <w:rsid w:val="001109AE"/>
    <w:rsid w:val="00110A02"/>
    <w:rsid w:val="00110B32"/>
    <w:rsid w:val="00111CE5"/>
    <w:rsid w:val="00112A51"/>
    <w:rsid w:val="00112E91"/>
    <w:rsid w:val="00112ECB"/>
    <w:rsid w:val="001134CF"/>
    <w:rsid w:val="0011382C"/>
    <w:rsid w:val="0011391A"/>
    <w:rsid w:val="00113C21"/>
    <w:rsid w:val="0011450F"/>
    <w:rsid w:val="0011455B"/>
    <w:rsid w:val="001146C4"/>
    <w:rsid w:val="001146EA"/>
    <w:rsid w:val="00114C4F"/>
    <w:rsid w:val="00115277"/>
    <w:rsid w:val="001154D5"/>
    <w:rsid w:val="001168E4"/>
    <w:rsid w:val="00116AA0"/>
    <w:rsid w:val="00117538"/>
    <w:rsid w:val="00120054"/>
    <w:rsid w:val="001207E7"/>
    <w:rsid w:val="00120AB0"/>
    <w:rsid w:val="00120D9D"/>
    <w:rsid w:val="00120E59"/>
    <w:rsid w:val="0012129B"/>
    <w:rsid w:val="00121F73"/>
    <w:rsid w:val="00122054"/>
    <w:rsid w:val="00122747"/>
    <w:rsid w:val="001229FD"/>
    <w:rsid w:val="001235C3"/>
    <w:rsid w:val="001243B4"/>
    <w:rsid w:val="00125023"/>
    <w:rsid w:val="001253E8"/>
    <w:rsid w:val="00125DE3"/>
    <w:rsid w:val="00126549"/>
    <w:rsid w:val="001266CE"/>
    <w:rsid w:val="00127519"/>
    <w:rsid w:val="0012761C"/>
    <w:rsid w:val="00127801"/>
    <w:rsid w:val="001303D8"/>
    <w:rsid w:val="00130869"/>
    <w:rsid w:val="00130885"/>
    <w:rsid w:val="001316CF"/>
    <w:rsid w:val="00131A40"/>
    <w:rsid w:val="00131C50"/>
    <w:rsid w:val="00131EDB"/>
    <w:rsid w:val="001322B0"/>
    <w:rsid w:val="001322D0"/>
    <w:rsid w:val="00132E54"/>
    <w:rsid w:val="00133132"/>
    <w:rsid w:val="001333E5"/>
    <w:rsid w:val="0013423F"/>
    <w:rsid w:val="00135AD9"/>
    <w:rsid w:val="00135BB4"/>
    <w:rsid w:val="00135F57"/>
    <w:rsid w:val="001361E2"/>
    <w:rsid w:val="001362F7"/>
    <w:rsid w:val="0013642F"/>
    <w:rsid w:val="001364FE"/>
    <w:rsid w:val="0013693F"/>
    <w:rsid w:val="00136F0E"/>
    <w:rsid w:val="00140F1E"/>
    <w:rsid w:val="0014142D"/>
    <w:rsid w:val="00142079"/>
    <w:rsid w:val="001421F3"/>
    <w:rsid w:val="0014371B"/>
    <w:rsid w:val="00143AFC"/>
    <w:rsid w:val="00143BB3"/>
    <w:rsid w:val="001440A3"/>
    <w:rsid w:val="0014422B"/>
    <w:rsid w:val="0014490F"/>
    <w:rsid w:val="00144A0F"/>
    <w:rsid w:val="00144FF3"/>
    <w:rsid w:val="00145356"/>
    <w:rsid w:val="00146188"/>
    <w:rsid w:val="00146AB7"/>
    <w:rsid w:val="00147C2A"/>
    <w:rsid w:val="00147CA0"/>
    <w:rsid w:val="0015005C"/>
    <w:rsid w:val="00150580"/>
    <w:rsid w:val="0015066C"/>
    <w:rsid w:val="00150BEA"/>
    <w:rsid w:val="001511E1"/>
    <w:rsid w:val="001515C6"/>
    <w:rsid w:val="00151F88"/>
    <w:rsid w:val="001524AC"/>
    <w:rsid w:val="001528A6"/>
    <w:rsid w:val="001529F1"/>
    <w:rsid w:val="00152E0E"/>
    <w:rsid w:val="001535BA"/>
    <w:rsid w:val="00153606"/>
    <w:rsid w:val="00153854"/>
    <w:rsid w:val="00153966"/>
    <w:rsid w:val="00153AAC"/>
    <w:rsid w:val="00153EF1"/>
    <w:rsid w:val="00154BD2"/>
    <w:rsid w:val="00154C61"/>
    <w:rsid w:val="001550CA"/>
    <w:rsid w:val="00155200"/>
    <w:rsid w:val="001559FD"/>
    <w:rsid w:val="00155D54"/>
    <w:rsid w:val="00155F95"/>
    <w:rsid w:val="001563AC"/>
    <w:rsid w:val="00156645"/>
    <w:rsid w:val="0015693D"/>
    <w:rsid w:val="001569DC"/>
    <w:rsid w:val="00156F16"/>
    <w:rsid w:val="00157324"/>
    <w:rsid w:val="00157A8E"/>
    <w:rsid w:val="00160C17"/>
    <w:rsid w:val="001610C5"/>
    <w:rsid w:val="00162193"/>
    <w:rsid w:val="00162291"/>
    <w:rsid w:val="00163467"/>
    <w:rsid w:val="001634F7"/>
    <w:rsid w:val="001637F9"/>
    <w:rsid w:val="00163EB9"/>
    <w:rsid w:val="0016411B"/>
    <w:rsid w:val="00164CD5"/>
    <w:rsid w:val="00164D2B"/>
    <w:rsid w:val="00164E5C"/>
    <w:rsid w:val="00165749"/>
    <w:rsid w:val="00165BDA"/>
    <w:rsid w:val="00166BC3"/>
    <w:rsid w:val="001672F2"/>
    <w:rsid w:val="001678DB"/>
    <w:rsid w:val="00167AD4"/>
    <w:rsid w:val="00167D52"/>
    <w:rsid w:val="001705A4"/>
    <w:rsid w:val="00170862"/>
    <w:rsid w:val="001717D9"/>
    <w:rsid w:val="0017181D"/>
    <w:rsid w:val="0017182A"/>
    <w:rsid w:val="00171986"/>
    <w:rsid w:val="00171F86"/>
    <w:rsid w:val="001722B3"/>
    <w:rsid w:val="00172505"/>
    <w:rsid w:val="00172964"/>
    <w:rsid w:val="00172CEF"/>
    <w:rsid w:val="00173A01"/>
    <w:rsid w:val="00174746"/>
    <w:rsid w:val="0017476B"/>
    <w:rsid w:val="001747BE"/>
    <w:rsid w:val="0017535D"/>
    <w:rsid w:val="001756D3"/>
    <w:rsid w:val="00175847"/>
    <w:rsid w:val="00176357"/>
    <w:rsid w:val="001764A1"/>
    <w:rsid w:val="001768AE"/>
    <w:rsid w:val="001768B7"/>
    <w:rsid w:val="001768C0"/>
    <w:rsid w:val="00177FF4"/>
    <w:rsid w:val="00180143"/>
    <w:rsid w:val="001804D3"/>
    <w:rsid w:val="00180502"/>
    <w:rsid w:val="00180E43"/>
    <w:rsid w:val="00181CDA"/>
    <w:rsid w:val="00182560"/>
    <w:rsid w:val="00182974"/>
    <w:rsid w:val="00182A9B"/>
    <w:rsid w:val="00182D1D"/>
    <w:rsid w:val="001837B9"/>
    <w:rsid w:val="001840C5"/>
    <w:rsid w:val="0018452D"/>
    <w:rsid w:val="0018533D"/>
    <w:rsid w:val="0018539C"/>
    <w:rsid w:val="00185CC4"/>
    <w:rsid w:val="00186081"/>
    <w:rsid w:val="00186361"/>
    <w:rsid w:val="00186786"/>
    <w:rsid w:val="00187340"/>
    <w:rsid w:val="00187609"/>
    <w:rsid w:val="00187CC2"/>
    <w:rsid w:val="00187EFC"/>
    <w:rsid w:val="0019003C"/>
    <w:rsid w:val="001900F1"/>
    <w:rsid w:val="00190C5F"/>
    <w:rsid w:val="001910AC"/>
    <w:rsid w:val="00192554"/>
    <w:rsid w:val="001925B0"/>
    <w:rsid w:val="001928DB"/>
    <w:rsid w:val="00192C37"/>
    <w:rsid w:val="00193432"/>
    <w:rsid w:val="001935C7"/>
    <w:rsid w:val="00194405"/>
    <w:rsid w:val="00194754"/>
    <w:rsid w:val="001948CA"/>
    <w:rsid w:val="0019497A"/>
    <w:rsid w:val="00194B63"/>
    <w:rsid w:val="00195189"/>
    <w:rsid w:val="0019707F"/>
    <w:rsid w:val="00197534"/>
    <w:rsid w:val="00197F34"/>
    <w:rsid w:val="001A0695"/>
    <w:rsid w:val="001A077E"/>
    <w:rsid w:val="001A0E9A"/>
    <w:rsid w:val="001A1235"/>
    <w:rsid w:val="001A1B7D"/>
    <w:rsid w:val="001A1C5F"/>
    <w:rsid w:val="001A1F0C"/>
    <w:rsid w:val="001A2832"/>
    <w:rsid w:val="001A337F"/>
    <w:rsid w:val="001A3B04"/>
    <w:rsid w:val="001A3CA9"/>
    <w:rsid w:val="001A467F"/>
    <w:rsid w:val="001A48D0"/>
    <w:rsid w:val="001A4BD3"/>
    <w:rsid w:val="001A4DE6"/>
    <w:rsid w:val="001A5338"/>
    <w:rsid w:val="001A57B9"/>
    <w:rsid w:val="001A5B75"/>
    <w:rsid w:val="001A5BC1"/>
    <w:rsid w:val="001A5E74"/>
    <w:rsid w:val="001A7064"/>
    <w:rsid w:val="001A7224"/>
    <w:rsid w:val="001A78DC"/>
    <w:rsid w:val="001B04AB"/>
    <w:rsid w:val="001B06A5"/>
    <w:rsid w:val="001B0822"/>
    <w:rsid w:val="001B136B"/>
    <w:rsid w:val="001B246F"/>
    <w:rsid w:val="001B2767"/>
    <w:rsid w:val="001B2FE1"/>
    <w:rsid w:val="001B2FEE"/>
    <w:rsid w:val="001B30D7"/>
    <w:rsid w:val="001B3781"/>
    <w:rsid w:val="001B3916"/>
    <w:rsid w:val="001B3DE7"/>
    <w:rsid w:val="001B3FB4"/>
    <w:rsid w:val="001B5036"/>
    <w:rsid w:val="001B527F"/>
    <w:rsid w:val="001B54B4"/>
    <w:rsid w:val="001B5F8E"/>
    <w:rsid w:val="001B602C"/>
    <w:rsid w:val="001B6309"/>
    <w:rsid w:val="001B693A"/>
    <w:rsid w:val="001B6BB4"/>
    <w:rsid w:val="001B6FF8"/>
    <w:rsid w:val="001B74CC"/>
    <w:rsid w:val="001C016A"/>
    <w:rsid w:val="001C0226"/>
    <w:rsid w:val="001C056A"/>
    <w:rsid w:val="001C0E12"/>
    <w:rsid w:val="001C13EA"/>
    <w:rsid w:val="001C178A"/>
    <w:rsid w:val="001C1CA0"/>
    <w:rsid w:val="001C1DF5"/>
    <w:rsid w:val="001C2C12"/>
    <w:rsid w:val="001C3769"/>
    <w:rsid w:val="001C37D7"/>
    <w:rsid w:val="001C3B44"/>
    <w:rsid w:val="001C3C28"/>
    <w:rsid w:val="001C3DF8"/>
    <w:rsid w:val="001C452A"/>
    <w:rsid w:val="001C5508"/>
    <w:rsid w:val="001C56BF"/>
    <w:rsid w:val="001C56E8"/>
    <w:rsid w:val="001C5DA7"/>
    <w:rsid w:val="001C5FD0"/>
    <w:rsid w:val="001C6079"/>
    <w:rsid w:val="001C737B"/>
    <w:rsid w:val="001C77A6"/>
    <w:rsid w:val="001C7E01"/>
    <w:rsid w:val="001C7F49"/>
    <w:rsid w:val="001D0154"/>
    <w:rsid w:val="001D0537"/>
    <w:rsid w:val="001D11DD"/>
    <w:rsid w:val="001D1547"/>
    <w:rsid w:val="001D26A0"/>
    <w:rsid w:val="001D2CAA"/>
    <w:rsid w:val="001D3B66"/>
    <w:rsid w:val="001D4CCB"/>
    <w:rsid w:val="001D58B4"/>
    <w:rsid w:val="001D6247"/>
    <w:rsid w:val="001D6373"/>
    <w:rsid w:val="001D64C5"/>
    <w:rsid w:val="001D6742"/>
    <w:rsid w:val="001D6BB3"/>
    <w:rsid w:val="001D6C0C"/>
    <w:rsid w:val="001D6D5A"/>
    <w:rsid w:val="001D71D3"/>
    <w:rsid w:val="001D792F"/>
    <w:rsid w:val="001D7A68"/>
    <w:rsid w:val="001D7C03"/>
    <w:rsid w:val="001D7C73"/>
    <w:rsid w:val="001E0EA1"/>
    <w:rsid w:val="001E12AB"/>
    <w:rsid w:val="001E16FD"/>
    <w:rsid w:val="001E2360"/>
    <w:rsid w:val="001E23B3"/>
    <w:rsid w:val="001E2489"/>
    <w:rsid w:val="001E2BCC"/>
    <w:rsid w:val="001E2CF1"/>
    <w:rsid w:val="001E3148"/>
    <w:rsid w:val="001E339B"/>
    <w:rsid w:val="001E3528"/>
    <w:rsid w:val="001E37C3"/>
    <w:rsid w:val="001E4324"/>
    <w:rsid w:val="001E4B8A"/>
    <w:rsid w:val="001E4BAF"/>
    <w:rsid w:val="001E4F55"/>
    <w:rsid w:val="001E4F9A"/>
    <w:rsid w:val="001E67CE"/>
    <w:rsid w:val="001E6A54"/>
    <w:rsid w:val="001E6B1B"/>
    <w:rsid w:val="001E6BC6"/>
    <w:rsid w:val="001E6E81"/>
    <w:rsid w:val="001E7579"/>
    <w:rsid w:val="001E7EEB"/>
    <w:rsid w:val="001F0610"/>
    <w:rsid w:val="001F0E62"/>
    <w:rsid w:val="001F1B51"/>
    <w:rsid w:val="001F1E73"/>
    <w:rsid w:val="001F2568"/>
    <w:rsid w:val="001F2978"/>
    <w:rsid w:val="001F2F64"/>
    <w:rsid w:val="001F36E0"/>
    <w:rsid w:val="001F4F57"/>
    <w:rsid w:val="001F51A9"/>
    <w:rsid w:val="001F6246"/>
    <w:rsid w:val="001F6294"/>
    <w:rsid w:val="001F6496"/>
    <w:rsid w:val="001F6A08"/>
    <w:rsid w:val="001F7D46"/>
    <w:rsid w:val="001F7EF6"/>
    <w:rsid w:val="002011E6"/>
    <w:rsid w:val="0020162C"/>
    <w:rsid w:val="00201BEB"/>
    <w:rsid w:val="00202CB1"/>
    <w:rsid w:val="00202E93"/>
    <w:rsid w:val="0020327E"/>
    <w:rsid w:val="00203559"/>
    <w:rsid w:val="002035A4"/>
    <w:rsid w:val="00203CE7"/>
    <w:rsid w:val="00203D5D"/>
    <w:rsid w:val="00204056"/>
    <w:rsid w:val="0020409B"/>
    <w:rsid w:val="0020440E"/>
    <w:rsid w:val="00204B04"/>
    <w:rsid w:val="00204EAD"/>
    <w:rsid w:val="00204F35"/>
    <w:rsid w:val="0020541F"/>
    <w:rsid w:val="00205A8F"/>
    <w:rsid w:val="00205C3D"/>
    <w:rsid w:val="0020730E"/>
    <w:rsid w:val="00207365"/>
    <w:rsid w:val="00207501"/>
    <w:rsid w:val="00207961"/>
    <w:rsid w:val="0021010F"/>
    <w:rsid w:val="0021088E"/>
    <w:rsid w:val="00210AF6"/>
    <w:rsid w:val="00210BB5"/>
    <w:rsid w:val="00210C20"/>
    <w:rsid w:val="00211347"/>
    <w:rsid w:val="0021151F"/>
    <w:rsid w:val="00211C61"/>
    <w:rsid w:val="002122EF"/>
    <w:rsid w:val="00212A60"/>
    <w:rsid w:val="00213022"/>
    <w:rsid w:val="00213A64"/>
    <w:rsid w:val="00213F22"/>
    <w:rsid w:val="00214EB6"/>
    <w:rsid w:val="00215024"/>
    <w:rsid w:val="00215680"/>
    <w:rsid w:val="00215BF2"/>
    <w:rsid w:val="00215C13"/>
    <w:rsid w:val="00216072"/>
    <w:rsid w:val="00216A67"/>
    <w:rsid w:val="002173C2"/>
    <w:rsid w:val="00217567"/>
    <w:rsid w:val="002202DC"/>
    <w:rsid w:val="0022089C"/>
    <w:rsid w:val="00220B64"/>
    <w:rsid w:val="00220D1B"/>
    <w:rsid w:val="00221B2E"/>
    <w:rsid w:val="0022243A"/>
    <w:rsid w:val="00222E3A"/>
    <w:rsid w:val="00222E4A"/>
    <w:rsid w:val="00223137"/>
    <w:rsid w:val="0022328E"/>
    <w:rsid w:val="00223928"/>
    <w:rsid w:val="00223E87"/>
    <w:rsid w:val="00224327"/>
    <w:rsid w:val="002249CC"/>
    <w:rsid w:val="002254C8"/>
    <w:rsid w:val="0022560F"/>
    <w:rsid w:val="00225A26"/>
    <w:rsid w:val="00225FED"/>
    <w:rsid w:val="002271A0"/>
    <w:rsid w:val="0022725B"/>
    <w:rsid w:val="00227516"/>
    <w:rsid w:val="00227922"/>
    <w:rsid w:val="00230195"/>
    <w:rsid w:val="0023063B"/>
    <w:rsid w:val="00230E9B"/>
    <w:rsid w:val="002319FE"/>
    <w:rsid w:val="00231EB6"/>
    <w:rsid w:val="00231F16"/>
    <w:rsid w:val="00232213"/>
    <w:rsid w:val="002328CE"/>
    <w:rsid w:val="00232ABE"/>
    <w:rsid w:val="00233917"/>
    <w:rsid w:val="00233FA0"/>
    <w:rsid w:val="0023478E"/>
    <w:rsid w:val="00234A1C"/>
    <w:rsid w:val="00234A65"/>
    <w:rsid w:val="00234BCE"/>
    <w:rsid w:val="00235374"/>
    <w:rsid w:val="002356B2"/>
    <w:rsid w:val="002358F8"/>
    <w:rsid w:val="00235992"/>
    <w:rsid w:val="002364B9"/>
    <w:rsid w:val="002368C7"/>
    <w:rsid w:val="00236B7E"/>
    <w:rsid w:val="00236CE5"/>
    <w:rsid w:val="0023732C"/>
    <w:rsid w:val="0024032F"/>
    <w:rsid w:val="00240F7C"/>
    <w:rsid w:val="0024103B"/>
    <w:rsid w:val="00241043"/>
    <w:rsid w:val="00241526"/>
    <w:rsid w:val="00241647"/>
    <w:rsid w:val="0024326B"/>
    <w:rsid w:val="002437A1"/>
    <w:rsid w:val="002439AA"/>
    <w:rsid w:val="00244205"/>
    <w:rsid w:val="00244F18"/>
    <w:rsid w:val="00244F5B"/>
    <w:rsid w:val="002454C2"/>
    <w:rsid w:val="0024565F"/>
    <w:rsid w:val="00245951"/>
    <w:rsid w:val="00245955"/>
    <w:rsid w:val="00245961"/>
    <w:rsid w:val="0024629F"/>
    <w:rsid w:val="00246588"/>
    <w:rsid w:val="00246A78"/>
    <w:rsid w:val="00246BAA"/>
    <w:rsid w:val="00246D5F"/>
    <w:rsid w:val="00247E69"/>
    <w:rsid w:val="00250512"/>
    <w:rsid w:val="00250553"/>
    <w:rsid w:val="0025067D"/>
    <w:rsid w:val="00250ADD"/>
    <w:rsid w:val="00250DE4"/>
    <w:rsid w:val="00251376"/>
    <w:rsid w:val="00251E32"/>
    <w:rsid w:val="00252A0F"/>
    <w:rsid w:val="00252A2F"/>
    <w:rsid w:val="00252A82"/>
    <w:rsid w:val="00252C3B"/>
    <w:rsid w:val="00252E2F"/>
    <w:rsid w:val="002535CD"/>
    <w:rsid w:val="002536BF"/>
    <w:rsid w:val="002538EC"/>
    <w:rsid w:val="00253A62"/>
    <w:rsid w:val="002543C5"/>
    <w:rsid w:val="00254E4A"/>
    <w:rsid w:val="00254E60"/>
    <w:rsid w:val="00254EF8"/>
    <w:rsid w:val="002554C1"/>
    <w:rsid w:val="00255E75"/>
    <w:rsid w:val="002566A7"/>
    <w:rsid w:val="002567B0"/>
    <w:rsid w:val="00256A75"/>
    <w:rsid w:val="00257172"/>
    <w:rsid w:val="00257ADB"/>
    <w:rsid w:val="00257F10"/>
    <w:rsid w:val="00260558"/>
    <w:rsid w:val="00260D9F"/>
    <w:rsid w:val="00262DEE"/>
    <w:rsid w:val="00263D18"/>
    <w:rsid w:val="002646BF"/>
    <w:rsid w:val="00265F0C"/>
    <w:rsid w:val="0026608F"/>
    <w:rsid w:val="002667EA"/>
    <w:rsid w:val="00266986"/>
    <w:rsid w:val="00266B66"/>
    <w:rsid w:val="00270DCF"/>
    <w:rsid w:val="00271284"/>
    <w:rsid w:val="0027187E"/>
    <w:rsid w:val="00272E82"/>
    <w:rsid w:val="002736E1"/>
    <w:rsid w:val="0027381A"/>
    <w:rsid w:val="00274B9F"/>
    <w:rsid w:val="00274BCB"/>
    <w:rsid w:val="002751CD"/>
    <w:rsid w:val="00275583"/>
    <w:rsid w:val="0027605B"/>
    <w:rsid w:val="002767B5"/>
    <w:rsid w:val="00276842"/>
    <w:rsid w:val="00277188"/>
    <w:rsid w:val="0027731F"/>
    <w:rsid w:val="002773AA"/>
    <w:rsid w:val="00277665"/>
    <w:rsid w:val="00277EBC"/>
    <w:rsid w:val="00277F64"/>
    <w:rsid w:val="0028023E"/>
    <w:rsid w:val="0028038F"/>
    <w:rsid w:val="00280594"/>
    <w:rsid w:val="002806C4"/>
    <w:rsid w:val="00280F22"/>
    <w:rsid w:val="002812D1"/>
    <w:rsid w:val="00281BBF"/>
    <w:rsid w:val="0028215A"/>
    <w:rsid w:val="00282EDB"/>
    <w:rsid w:val="00283F1B"/>
    <w:rsid w:val="00284AAA"/>
    <w:rsid w:val="002852C5"/>
    <w:rsid w:val="00285432"/>
    <w:rsid w:val="0028576D"/>
    <w:rsid w:val="002857B7"/>
    <w:rsid w:val="002865C5"/>
    <w:rsid w:val="00286EF0"/>
    <w:rsid w:val="0028724F"/>
    <w:rsid w:val="0028792A"/>
    <w:rsid w:val="0029047E"/>
    <w:rsid w:val="0029094F"/>
    <w:rsid w:val="00290E48"/>
    <w:rsid w:val="00290FD0"/>
    <w:rsid w:val="00291E5A"/>
    <w:rsid w:val="00291EBA"/>
    <w:rsid w:val="002920D7"/>
    <w:rsid w:val="002924AC"/>
    <w:rsid w:val="002925A5"/>
    <w:rsid w:val="002925A6"/>
    <w:rsid w:val="00292786"/>
    <w:rsid w:val="00293095"/>
    <w:rsid w:val="00293325"/>
    <w:rsid w:val="00293A48"/>
    <w:rsid w:val="00293D83"/>
    <w:rsid w:val="00293EA2"/>
    <w:rsid w:val="00294270"/>
    <w:rsid w:val="0029454E"/>
    <w:rsid w:val="00294757"/>
    <w:rsid w:val="00294792"/>
    <w:rsid w:val="00294AE8"/>
    <w:rsid w:val="00294DF8"/>
    <w:rsid w:val="00294EC0"/>
    <w:rsid w:val="00295A9F"/>
    <w:rsid w:val="00295D9D"/>
    <w:rsid w:val="00297353"/>
    <w:rsid w:val="002A03AD"/>
    <w:rsid w:val="002A0EF9"/>
    <w:rsid w:val="002A161F"/>
    <w:rsid w:val="002A1D51"/>
    <w:rsid w:val="002A1F5B"/>
    <w:rsid w:val="002A2402"/>
    <w:rsid w:val="002A2D7A"/>
    <w:rsid w:val="002A30A9"/>
    <w:rsid w:val="002A3237"/>
    <w:rsid w:val="002A3273"/>
    <w:rsid w:val="002A39F0"/>
    <w:rsid w:val="002A3A6E"/>
    <w:rsid w:val="002A3F37"/>
    <w:rsid w:val="002A40C5"/>
    <w:rsid w:val="002A4C16"/>
    <w:rsid w:val="002A4EA6"/>
    <w:rsid w:val="002A512A"/>
    <w:rsid w:val="002A5982"/>
    <w:rsid w:val="002A605E"/>
    <w:rsid w:val="002A6361"/>
    <w:rsid w:val="002A6C8B"/>
    <w:rsid w:val="002A7224"/>
    <w:rsid w:val="002A764C"/>
    <w:rsid w:val="002B0467"/>
    <w:rsid w:val="002B0FB2"/>
    <w:rsid w:val="002B131E"/>
    <w:rsid w:val="002B1E10"/>
    <w:rsid w:val="002B1F13"/>
    <w:rsid w:val="002B2C13"/>
    <w:rsid w:val="002B2DED"/>
    <w:rsid w:val="002B3096"/>
    <w:rsid w:val="002B30A4"/>
    <w:rsid w:val="002B3260"/>
    <w:rsid w:val="002B32D6"/>
    <w:rsid w:val="002B3443"/>
    <w:rsid w:val="002B43F8"/>
    <w:rsid w:val="002B46A5"/>
    <w:rsid w:val="002B4933"/>
    <w:rsid w:val="002B5022"/>
    <w:rsid w:val="002B51CD"/>
    <w:rsid w:val="002B540C"/>
    <w:rsid w:val="002B552B"/>
    <w:rsid w:val="002B5654"/>
    <w:rsid w:val="002B5B13"/>
    <w:rsid w:val="002B6067"/>
    <w:rsid w:val="002B6306"/>
    <w:rsid w:val="002B6324"/>
    <w:rsid w:val="002B691F"/>
    <w:rsid w:val="002B6922"/>
    <w:rsid w:val="002B6A9B"/>
    <w:rsid w:val="002B6C17"/>
    <w:rsid w:val="002B6D55"/>
    <w:rsid w:val="002B7096"/>
    <w:rsid w:val="002B7099"/>
    <w:rsid w:val="002B718B"/>
    <w:rsid w:val="002B71DB"/>
    <w:rsid w:val="002B7407"/>
    <w:rsid w:val="002B7E52"/>
    <w:rsid w:val="002C0355"/>
    <w:rsid w:val="002C09D3"/>
    <w:rsid w:val="002C0D6A"/>
    <w:rsid w:val="002C1288"/>
    <w:rsid w:val="002C1290"/>
    <w:rsid w:val="002C1B45"/>
    <w:rsid w:val="002C1C1B"/>
    <w:rsid w:val="002C1D33"/>
    <w:rsid w:val="002C29F9"/>
    <w:rsid w:val="002C30B5"/>
    <w:rsid w:val="002C3481"/>
    <w:rsid w:val="002C38FD"/>
    <w:rsid w:val="002C424E"/>
    <w:rsid w:val="002C4A67"/>
    <w:rsid w:val="002C4B53"/>
    <w:rsid w:val="002C4E80"/>
    <w:rsid w:val="002C5088"/>
    <w:rsid w:val="002C51F3"/>
    <w:rsid w:val="002C5B42"/>
    <w:rsid w:val="002C5F07"/>
    <w:rsid w:val="002C613F"/>
    <w:rsid w:val="002C61D2"/>
    <w:rsid w:val="002C6CDA"/>
    <w:rsid w:val="002C6D1E"/>
    <w:rsid w:val="002C6F17"/>
    <w:rsid w:val="002C7E67"/>
    <w:rsid w:val="002D07AB"/>
    <w:rsid w:val="002D0906"/>
    <w:rsid w:val="002D0AE7"/>
    <w:rsid w:val="002D0F63"/>
    <w:rsid w:val="002D15A9"/>
    <w:rsid w:val="002D181E"/>
    <w:rsid w:val="002D1BA0"/>
    <w:rsid w:val="002D1DEA"/>
    <w:rsid w:val="002D1DED"/>
    <w:rsid w:val="002D1E68"/>
    <w:rsid w:val="002D2267"/>
    <w:rsid w:val="002D22AE"/>
    <w:rsid w:val="002D2F1F"/>
    <w:rsid w:val="002D2F98"/>
    <w:rsid w:val="002D39CA"/>
    <w:rsid w:val="002D3FB0"/>
    <w:rsid w:val="002D413D"/>
    <w:rsid w:val="002D47C5"/>
    <w:rsid w:val="002D48E5"/>
    <w:rsid w:val="002D5590"/>
    <w:rsid w:val="002D564D"/>
    <w:rsid w:val="002D620B"/>
    <w:rsid w:val="002D74F5"/>
    <w:rsid w:val="002D799D"/>
    <w:rsid w:val="002D7B30"/>
    <w:rsid w:val="002D7B45"/>
    <w:rsid w:val="002D7CA0"/>
    <w:rsid w:val="002E0889"/>
    <w:rsid w:val="002E0C9C"/>
    <w:rsid w:val="002E12FA"/>
    <w:rsid w:val="002E1A74"/>
    <w:rsid w:val="002E1D4D"/>
    <w:rsid w:val="002E1DD5"/>
    <w:rsid w:val="002E1E38"/>
    <w:rsid w:val="002E256D"/>
    <w:rsid w:val="002E2C62"/>
    <w:rsid w:val="002E2C8F"/>
    <w:rsid w:val="002E2DC2"/>
    <w:rsid w:val="002E31F6"/>
    <w:rsid w:val="002E38C6"/>
    <w:rsid w:val="002E402D"/>
    <w:rsid w:val="002E40BA"/>
    <w:rsid w:val="002E4455"/>
    <w:rsid w:val="002E6228"/>
    <w:rsid w:val="002E65D7"/>
    <w:rsid w:val="002E72FF"/>
    <w:rsid w:val="002E76D3"/>
    <w:rsid w:val="002F084E"/>
    <w:rsid w:val="002F2B4D"/>
    <w:rsid w:val="002F3219"/>
    <w:rsid w:val="002F3EF0"/>
    <w:rsid w:val="002F4138"/>
    <w:rsid w:val="002F4D34"/>
    <w:rsid w:val="002F583B"/>
    <w:rsid w:val="002F6766"/>
    <w:rsid w:val="002F762B"/>
    <w:rsid w:val="00300096"/>
    <w:rsid w:val="003003EC"/>
    <w:rsid w:val="00300BCF"/>
    <w:rsid w:val="00300FFA"/>
    <w:rsid w:val="0030105A"/>
    <w:rsid w:val="0030108C"/>
    <w:rsid w:val="00301288"/>
    <w:rsid w:val="003015F6"/>
    <w:rsid w:val="00301EE6"/>
    <w:rsid w:val="00302DFF"/>
    <w:rsid w:val="00303EDF"/>
    <w:rsid w:val="00304243"/>
    <w:rsid w:val="0030465E"/>
    <w:rsid w:val="003049BD"/>
    <w:rsid w:val="00304F5B"/>
    <w:rsid w:val="00304FF3"/>
    <w:rsid w:val="003054F6"/>
    <w:rsid w:val="00305D22"/>
    <w:rsid w:val="00307598"/>
    <w:rsid w:val="00310247"/>
    <w:rsid w:val="003104E6"/>
    <w:rsid w:val="00310B48"/>
    <w:rsid w:val="0031197B"/>
    <w:rsid w:val="00311C98"/>
    <w:rsid w:val="003129F6"/>
    <w:rsid w:val="00312EB2"/>
    <w:rsid w:val="00313C10"/>
    <w:rsid w:val="0031455A"/>
    <w:rsid w:val="003145E4"/>
    <w:rsid w:val="003148BE"/>
    <w:rsid w:val="00314E64"/>
    <w:rsid w:val="0031510B"/>
    <w:rsid w:val="003154EF"/>
    <w:rsid w:val="003156AB"/>
    <w:rsid w:val="00315B62"/>
    <w:rsid w:val="0031615A"/>
    <w:rsid w:val="0031620C"/>
    <w:rsid w:val="0031656D"/>
    <w:rsid w:val="003173F3"/>
    <w:rsid w:val="00317445"/>
    <w:rsid w:val="003174A1"/>
    <w:rsid w:val="00320719"/>
    <w:rsid w:val="00320833"/>
    <w:rsid w:val="00321301"/>
    <w:rsid w:val="00321B15"/>
    <w:rsid w:val="00322147"/>
    <w:rsid w:val="0032251D"/>
    <w:rsid w:val="00322721"/>
    <w:rsid w:val="00323CF4"/>
    <w:rsid w:val="00323DF2"/>
    <w:rsid w:val="0032417E"/>
    <w:rsid w:val="0032452F"/>
    <w:rsid w:val="0032496C"/>
    <w:rsid w:val="00324EA8"/>
    <w:rsid w:val="00324F31"/>
    <w:rsid w:val="0032568A"/>
    <w:rsid w:val="00325806"/>
    <w:rsid w:val="0032595F"/>
    <w:rsid w:val="00325968"/>
    <w:rsid w:val="00325CB6"/>
    <w:rsid w:val="00325E27"/>
    <w:rsid w:val="00325FCF"/>
    <w:rsid w:val="00326106"/>
    <w:rsid w:val="00326285"/>
    <w:rsid w:val="00326643"/>
    <w:rsid w:val="00326EA9"/>
    <w:rsid w:val="003303B3"/>
    <w:rsid w:val="0033083D"/>
    <w:rsid w:val="00330A84"/>
    <w:rsid w:val="00330C0B"/>
    <w:rsid w:val="00331ADB"/>
    <w:rsid w:val="00331E63"/>
    <w:rsid w:val="00331E9B"/>
    <w:rsid w:val="00332C9C"/>
    <w:rsid w:val="00333C2A"/>
    <w:rsid w:val="0033456E"/>
    <w:rsid w:val="003347D7"/>
    <w:rsid w:val="00334894"/>
    <w:rsid w:val="00334A25"/>
    <w:rsid w:val="00334E95"/>
    <w:rsid w:val="003351BF"/>
    <w:rsid w:val="003353DA"/>
    <w:rsid w:val="003356EC"/>
    <w:rsid w:val="00335818"/>
    <w:rsid w:val="00335D0C"/>
    <w:rsid w:val="00335EE7"/>
    <w:rsid w:val="003362F9"/>
    <w:rsid w:val="00337421"/>
    <w:rsid w:val="003401F6"/>
    <w:rsid w:val="00340633"/>
    <w:rsid w:val="00340C90"/>
    <w:rsid w:val="00341579"/>
    <w:rsid w:val="00342892"/>
    <w:rsid w:val="00342A0C"/>
    <w:rsid w:val="00343591"/>
    <w:rsid w:val="00343F3D"/>
    <w:rsid w:val="00344139"/>
    <w:rsid w:val="003454D4"/>
    <w:rsid w:val="003455B9"/>
    <w:rsid w:val="00345BA9"/>
    <w:rsid w:val="00345D7D"/>
    <w:rsid w:val="003465A7"/>
    <w:rsid w:val="00346B08"/>
    <w:rsid w:val="00346FE1"/>
    <w:rsid w:val="00347298"/>
    <w:rsid w:val="003472D3"/>
    <w:rsid w:val="00347526"/>
    <w:rsid w:val="003476FD"/>
    <w:rsid w:val="00347A10"/>
    <w:rsid w:val="00347DA2"/>
    <w:rsid w:val="003500BD"/>
    <w:rsid w:val="0035059D"/>
    <w:rsid w:val="00350625"/>
    <w:rsid w:val="0035068A"/>
    <w:rsid w:val="003511D0"/>
    <w:rsid w:val="0035139A"/>
    <w:rsid w:val="0035199C"/>
    <w:rsid w:val="00353C12"/>
    <w:rsid w:val="00353CDF"/>
    <w:rsid w:val="003542E9"/>
    <w:rsid w:val="00354AC2"/>
    <w:rsid w:val="00354D15"/>
    <w:rsid w:val="00354F89"/>
    <w:rsid w:val="00355481"/>
    <w:rsid w:val="00355C96"/>
    <w:rsid w:val="00355FC5"/>
    <w:rsid w:val="003564C2"/>
    <w:rsid w:val="00356795"/>
    <w:rsid w:val="00357211"/>
    <w:rsid w:val="00357406"/>
    <w:rsid w:val="00357487"/>
    <w:rsid w:val="00357617"/>
    <w:rsid w:val="00357E11"/>
    <w:rsid w:val="00360ABD"/>
    <w:rsid w:val="00360FF0"/>
    <w:rsid w:val="00361B29"/>
    <w:rsid w:val="00361D75"/>
    <w:rsid w:val="00361E7F"/>
    <w:rsid w:val="00361F14"/>
    <w:rsid w:val="00362039"/>
    <w:rsid w:val="003621F9"/>
    <w:rsid w:val="003621FE"/>
    <w:rsid w:val="003625BA"/>
    <w:rsid w:val="00362635"/>
    <w:rsid w:val="0036267E"/>
    <w:rsid w:val="003627DF"/>
    <w:rsid w:val="00362972"/>
    <w:rsid w:val="00362C1B"/>
    <w:rsid w:val="003632D6"/>
    <w:rsid w:val="00363491"/>
    <w:rsid w:val="00363ACA"/>
    <w:rsid w:val="00363AF3"/>
    <w:rsid w:val="00363B42"/>
    <w:rsid w:val="0036452D"/>
    <w:rsid w:val="003647BA"/>
    <w:rsid w:val="00364AB5"/>
    <w:rsid w:val="003654AA"/>
    <w:rsid w:val="00365834"/>
    <w:rsid w:val="00365C15"/>
    <w:rsid w:val="00366A38"/>
    <w:rsid w:val="00366A91"/>
    <w:rsid w:val="003671DE"/>
    <w:rsid w:val="00367F1C"/>
    <w:rsid w:val="00370596"/>
    <w:rsid w:val="003714D4"/>
    <w:rsid w:val="00371587"/>
    <w:rsid w:val="003726B4"/>
    <w:rsid w:val="00373353"/>
    <w:rsid w:val="00373BBF"/>
    <w:rsid w:val="003757CA"/>
    <w:rsid w:val="0037616C"/>
    <w:rsid w:val="00376FB9"/>
    <w:rsid w:val="00377027"/>
    <w:rsid w:val="003770F0"/>
    <w:rsid w:val="00377C3B"/>
    <w:rsid w:val="00380787"/>
    <w:rsid w:val="00380852"/>
    <w:rsid w:val="003812C1"/>
    <w:rsid w:val="003814E2"/>
    <w:rsid w:val="003817FC"/>
    <w:rsid w:val="00381886"/>
    <w:rsid w:val="00381AAE"/>
    <w:rsid w:val="00381C0C"/>
    <w:rsid w:val="00381CE8"/>
    <w:rsid w:val="003822B4"/>
    <w:rsid w:val="0038289B"/>
    <w:rsid w:val="0038297C"/>
    <w:rsid w:val="003830C5"/>
    <w:rsid w:val="00383322"/>
    <w:rsid w:val="003836E1"/>
    <w:rsid w:val="00383B96"/>
    <w:rsid w:val="00383E08"/>
    <w:rsid w:val="0038445C"/>
    <w:rsid w:val="003846A6"/>
    <w:rsid w:val="00384994"/>
    <w:rsid w:val="00384F06"/>
    <w:rsid w:val="00384F20"/>
    <w:rsid w:val="0038538A"/>
    <w:rsid w:val="00386788"/>
    <w:rsid w:val="00387BDF"/>
    <w:rsid w:val="00387DDC"/>
    <w:rsid w:val="00390C1D"/>
    <w:rsid w:val="00390F99"/>
    <w:rsid w:val="00392046"/>
    <w:rsid w:val="00392581"/>
    <w:rsid w:val="00392CE9"/>
    <w:rsid w:val="003937C0"/>
    <w:rsid w:val="00393980"/>
    <w:rsid w:val="003940A9"/>
    <w:rsid w:val="00394D15"/>
    <w:rsid w:val="0039578B"/>
    <w:rsid w:val="00395875"/>
    <w:rsid w:val="00395A2B"/>
    <w:rsid w:val="00395C57"/>
    <w:rsid w:val="00396B60"/>
    <w:rsid w:val="0039761E"/>
    <w:rsid w:val="003A00A5"/>
    <w:rsid w:val="003A10A4"/>
    <w:rsid w:val="003A18BD"/>
    <w:rsid w:val="003A202D"/>
    <w:rsid w:val="003A2308"/>
    <w:rsid w:val="003A2428"/>
    <w:rsid w:val="003A3506"/>
    <w:rsid w:val="003A373F"/>
    <w:rsid w:val="003A3BAB"/>
    <w:rsid w:val="003A3C66"/>
    <w:rsid w:val="003A3F35"/>
    <w:rsid w:val="003A42A6"/>
    <w:rsid w:val="003A5421"/>
    <w:rsid w:val="003A5713"/>
    <w:rsid w:val="003A6396"/>
    <w:rsid w:val="003A6D29"/>
    <w:rsid w:val="003A6DF7"/>
    <w:rsid w:val="003A7425"/>
    <w:rsid w:val="003A7656"/>
    <w:rsid w:val="003A77D4"/>
    <w:rsid w:val="003A7836"/>
    <w:rsid w:val="003B0677"/>
    <w:rsid w:val="003B0A32"/>
    <w:rsid w:val="003B1104"/>
    <w:rsid w:val="003B1929"/>
    <w:rsid w:val="003B2484"/>
    <w:rsid w:val="003B25A7"/>
    <w:rsid w:val="003B29A2"/>
    <w:rsid w:val="003B3285"/>
    <w:rsid w:val="003B3872"/>
    <w:rsid w:val="003B3B30"/>
    <w:rsid w:val="003B3EF6"/>
    <w:rsid w:val="003B3F38"/>
    <w:rsid w:val="003B4D43"/>
    <w:rsid w:val="003B5353"/>
    <w:rsid w:val="003B56CD"/>
    <w:rsid w:val="003B590D"/>
    <w:rsid w:val="003B5BEF"/>
    <w:rsid w:val="003B5F98"/>
    <w:rsid w:val="003B6020"/>
    <w:rsid w:val="003B61BE"/>
    <w:rsid w:val="003B694C"/>
    <w:rsid w:val="003B72C2"/>
    <w:rsid w:val="003B7C3F"/>
    <w:rsid w:val="003C01CB"/>
    <w:rsid w:val="003C03C7"/>
    <w:rsid w:val="003C0BE7"/>
    <w:rsid w:val="003C12CF"/>
    <w:rsid w:val="003C1347"/>
    <w:rsid w:val="003C1EB2"/>
    <w:rsid w:val="003C264F"/>
    <w:rsid w:val="003C31D8"/>
    <w:rsid w:val="003C3242"/>
    <w:rsid w:val="003C3ACD"/>
    <w:rsid w:val="003C3E3A"/>
    <w:rsid w:val="003C42CB"/>
    <w:rsid w:val="003C4954"/>
    <w:rsid w:val="003C4FDC"/>
    <w:rsid w:val="003C5411"/>
    <w:rsid w:val="003C5E03"/>
    <w:rsid w:val="003C5EA6"/>
    <w:rsid w:val="003C6865"/>
    <w:rsid w:val="003C6DAA"/>
    <w:rsid w:val="003C6E84"/>
    <w:rsid w:val="003C756C"/>
    <w:rsid w:val="003C7702"/>
    <w:rsid w:val="003C7C86"/>
    <w:rsid w:val="003D003E"/>
    <w:rsid w:val="003D0737"/>
    <w:rsid w:val="003D0CAF"/>
    <w:rsid w:val="003D0F26"/>
    <w:rsid w:val="003D173D"/>
    <w:rsid w:val="003D1BB3"/>
    <w:rsid w:val="003D1CC1"/>
    <w:rsid w:val="003D2731"/>
    <w:rsid w:val="003D3F1B"/>
    <w:rsid w:val="003D40A2"/>
    <w:rsid w:val="003D5877"/>
    <w:rsid w:val="003D5F3F"/>
    <w:rsid w:val="003D6285"/>
    <w:rsid w:val="003D656F"/>
    <w:rsid w:val="003D7B19"/>
    <w:rsid w:val="003D7E03"/>
    <w:rsid w:val="003E0FBD"/>
    <w:rsid w:val="003E1270"/>
    <w:rsid w:val="003E22B4"/>
    <w:rsid w:val="003E23FA"/>
    <w:rsid w:val="003E2A8E"/>
    <w:rsid w:val="003E335C"/>
    <w:rsid w:val="003E35D9"/>
    <w:rsid w:val="003E3919"/>
    <w:rsid w:val="003E3D42"/>
    <w:rsid w:val="003E3DFF"/>
    <w:rsid w:val="003E3FBA"/>
    <w:rsid w:val="003E492D"/>
    <w:rsid w:val="003E4E72"/>
    <w:rsid w:val="003E5062"/>
    <w:rsid w:val="003E594F"/>
    <w:rsid w:val="003E6446"/>
    <w:rsid w:val="003E67E4"/>
    <w:rsid w:val="003E6913"/>
    <w:rsid w:val="003E6BFF"/>
    <w:rsid w:val="003E7436"/>
    <w:rsid w:val="003E7594"/>
    <w:rsid w:val="003E7FAE"/>
    <w:rsid w:val="003F0261"/>
    <w:rsid w:val="003F06F7"/>
    <w:rsid w:val="003F0AE5"/>
    <w:rsid w:val="003F143F"/>
    <w:rsid w:val="003F1B38"/>
    <w:rsid w:val="003F1D69"/>
    <w:rsid w:val="003F28BE"/>
    <w:rsid w:val="003F296D"/>
    <w:rsid w:val="003F39FD"/>
    <w:rsid w:val="003F3F73"/>
    <w:rsid w:val="003F4665"/>
    <w:rsid w:val="003F4C4D"/>
    <w:rsid w:val="003F4F34"/>
    <w:rsid w:val="003F512A"/>
    <w:rsid w:val="003F5ABE"/>
    <w:rsid w:val="003F5E7D"/>
    <w:rsid w:val="003F6737"/>
    <w:rsid w:val="003F68F8"/>
    <w:rsid w:val="003F6AF5"/>
    <w:rsid w:val="004002AF"/>
    <w:rsid w:val="00400A9C"/>
    <w:rsid w:val="0040195A"/>
    <w:rsid w:val="004020E7"/>
    <w:rsid w:val="004028AB"/>
    <w:rsid w:val="00403A49"/>
    <w:rsid w:val="00403AFE"/>
    <w:rsid w:val="00403CE3"/>
    <w:rsid w:val="00404075"/>
    <w:rsid w:val="00404202"/>
    <w:rsid w:val="00404376"/>
    <w:rsid w:val="004045F8"/>
    <w:rsid w:val="00404936"/>
    <w:rsid w:val="0040499E"/>
    <w:rsid w:val="00404A34"/>
    <w:rsid w:val="00404A94"/>
    <w:rsid w:val="00405AF6"/>
    <w:rsid w:val="0040691E"/>
    <w:rsid w:val="00406926"/>
    <w:rsid w:val="00406BDF"/>
    <w:rsid w:val="0040787C"/>
    <w:rsid w:val="00407F99"/>
    <w:rsid w:val="00410734"/>
    <w:rsid w:val="00410B44"/>
    <w:rsid w:val="0041135A"/>
    <w:rsid w:val="00411CBA"/>
    <w:rsid w:val="00412633"/>
    <w:rsid w:val="004129D8"/>
    <w:rsid w:val="00413EC3"/>
    <w:rsid w:val="00414889"/>
    <w:rsid w:val="004149D2"/>
    <w:rsid w:val="00414D2F"/>
    <w:rsid w:val="00414DF0"/>
    <w:rsid w:val="00415430"/>
    <w:rsid w:val="004158D3"/>
    <w:rsid w:val="00415BFD"/>
    <w:rsid w:val="00415DFF"/>
    <w:rsid w:val="00416184"/>
    <w:rsid w:val="004165E5"/>
    <w:rsid w:val="00416DB5"/>
    <w:rsid w:val="00416DC9"/>
    <w:rsid w:val="00416E5C"/>
    <w:rsid w:val="00417877"/>
    <w:rsid w:val="00417D83"/>
    <w:rsid w:val="004205A0"/>
    <w:rsid w:val="00420705"/>
    <w:rsid w:val="00420B1E"/>
    <w:rsid w:val="00421822"/>
    <w:rsid w:val="00421B96"/>
    <w:rsid w:val="00422743"/>
    <w:rsid w:val="00422C35"/>
    <w:rsid w:val="004230AB"/>
    <w:rsid w:val="00423267"/>
    <w:rsid w:val="00423E04"/>
    <w:rsid w:val="00424475"/>
    <w:rsid w:val="004247CF"/>
    <w:rsid w:val="004252C6"/>
    <w:rsid w:val="00425C7C"/>
    <w:rsid w:val="004272B9"/>
    <w:rsid w:val="00427D65"/>
    <w:rsid w:val="004311A7"/>
    <w:rsid w:val="00431A08"/>
    <w:rsid w:val="00432B09"/>
    <w:rsid w:val="00433E7F"/>
    <w:rsid w:val="004342E6"/>
    <w:rsid w:val="00434BAD"/>
    <w:rsid w:val="00436965"/>
    <w:rsid w:val="0043735F"/>
    <w:rsid w:val="00437ABF"/>
    <w:rsid w:val="0044008B"/>
    <w:rsid w:val="0044188D"/>
    <w:rsid w:val="0044267A"/>
    <w:rsid w:val="00442B4A"/>
    <w:rsid w:val="004436A9"/>
    <w:rsid w:val="0044396D"/>
    <w:rsid w:val="00444573"/>
    <w:rsid w:val="0044673C"/>
    <w:rsid w:val="00446E6D"/>
    <w:rsid w:val="004470D6"/>
    <w:rsid w:val="0044754B"/>
    <w:rsid w:val="00447986"/>
    <w:rsid w:val="0045006B"/>
    <w:rsid w:val="004505AE"/>
    <w:rsid w:val="00450654"/>
    <w:rsid w:val="004506FD"/>
    <w:rsid w:val="00450CF2"/>
    <w:rsid w:val="004513A6"/>
    <w:rsid w:val="00451B3B"/>
    <w:rsid w:val="004532B4"/>
    <w:rsid w:val="00453BB1"/>
    <w:rsid w:val="00453F09"/>
    <w:rsid w:val="00454667"/>
    <w:rsid w:val="00455212"/>
    <w:rsid w:val="00455533"/>
    <w:rsid w:val="00455864"/>
    <w:rsid w:val="00455C8D"/>
    <w:rsid w:val="00455EAE"/>
    <w:rsid w:val="00456A0A"/>
    <w:rsid w:val="00456F43"/>
    <w:rsid w:val="004570BC"/>
    <w:rsid w:val="00457BED"/>
    <w:rsid w:val="00457D19"/>
    <w:rsid w:val="00460794"/>
    <w:rsid w:val="00460E24"/>
    <w:rsid w:val="00460FD4"/>
    <w:rsid w:val="004615B4"/>
    <w:rsid w:val="00461994"/>
    <w:rsid w:val="00461E07"/>
    <w:rsid w:val="00462212"/>
    <w:rsid w:val="0046277A"/>
    <w:rsid w:val="00462DCD"/>
    <w:rsid w:val="00462E01"/>
    <w:rsid w:val="0046313A"/>
    <w:rsid w:val="004640FE"/>
    <w:rsid w:val="004641D5"/>
    <w:rsid w:val="00464AD5"/>
    <w:rsid w:val="00464FF5"/>
    <w:rsid w:val="0046503B"/>
    <w:rsid w:val="004651B7"/>
    <w:rsid w:val="00465220"/>
    <w:rsid w:val="00465337"/>
    <w:rsid w:val="004657D6"/>
    <w:rsid w:val="00465B58"/>
    <w:rsid w:val="00466FA0"/>
    <w:rsid w:val="00467211"/>
    <w:rsid w:val="0046767B"/>
    <w:rsid w:val="00467A05"/>
    <w:rsid w:val="0047043B"/>
    <w:rsid w:val="004705DA"/>
    <w:rsid w:val="00470EA4"/>
    <w:rsid w:val="00471012"/>
    <w:rsid w:val="0047160D"/>
    <w:rsid w:val="004719BB"/>
    <w:rsid w:val="004719EA"/>
    <w:rsid w:val="00471FD6"/>
    <w:rsid w:val="0047252D"/>
    <w:rsid w:val="00472FA5"/>
    <w:rsid w:val="004733FE"/>
    <w:rsid w:val="00473EA1"/>
    <w:rsid w:val="00474AFC"/>
    <w:rsid w:val="004757A1"/>
    <w:rsid w:val="004759F8"/>
    <w:rsid w:val="00475C4A"/>
    <w:rsid w:val="0047721A"/>
    <w:rsid w:val="004772C4"/>
    <w:rsid w:val="004772EA"/>
    <w:rsid w:val="00477708"/>
    <w:rsid w:val="0047794A"/>
    <w:rsid w:val="0047798B"/>
    <w:rsid w:val="00477C19"/>
    <w:rsid w:val="0048062E"/>
    <w:rsid w:val="00481331"/>
    <w:rsid w:val="00481503"/>
    <w:rsid w:val="0048208B"/>
    <w:rsid w:val="004824AD"/>
    <w:rsid w:val="004826F8"/>
    <w:rsid w:val="00482818"/>
    <w:rsid w:val="004835C0"/>
    <w:rsid w:val="0048369D"/>
    <w:rsid w:val="004836BB"/>
    <w:rsid w:val="00483A50"/>
    <w:rsid w:val="00483DE8"/>
    <w:rsid w:val="004855E0"/>
    <w:rsid w:val="00485AB7"/>
    <w:rsid w:val="00486E44"/>
    <w:rsid w:val="0048726B"/>
    <w:rsid w:val="00487416"/>
    <w:rsid w:val="00487575"/>
    <w:rsid w:val="004875FF"/>
    <w:rsid w:val="00487791"/>
    <w:rsid w:val="0049073C"/>
    <w:rsid w:val="00490C79"/>
    <w:rsid w:val="004910EC"/>
    <w:rsid w:val="00491E61"/>
    <w:rsid w:val="004924DC"/>
    <w:rsid w:val="00492D4E"/>
    <w:rsid w:val="00494A54"/>
    <w:rsid w:val="00494F3B"/>
    <w:rsid w:val="00495300"/>
    <w:rsid w:val="00495772"/>
    <w:rsid w:val="00495FE5"/>
    <w:rsid w:val="00496668"/>
    <w:rsid w:val="0049670C"/>
    <w:rsid w:val="00496801"/>
    <w:rsid w:val="00496CC2"/>
    <w:rsid w:val="0049725A"/>
    <w:rsid w:val="004979B0"/>
    <w:rsid w:val="004A0172"/>
    <w:rsid w:val="004A0317"/>
    <w:rsid w:val="004A0323"/>
    <w:rsid w:val="004A03FC"/>
    <w:rsid w:val="004A1BF4"/>
    <w:rsid w:val="004A1C68"/>
    <w:rsid w:val="004A1FC9"/>
    <w:rsid w:val="004A20C2"/>
    <w:rsid w:val="004A27C3"/>
    <w:rsid w:val="004A33E1"/>
    <w:rsid w:val="004A3E35"/>
    <w:rsid w:val="004A4911"/>
    <w:rsid w:val="004A4966"/>
    <w:rsid w:val="004A4E58"/>
    <w:rsid w:val="004A54AC"/>
    <w:rsid w:val="004A5AB9"/>
    <w:rsid w:val="004A5B11"/>
    <w:rsid w:val="004A62D0"/>
    <w:rsid w:val="004A6606"/>
    <w:rsid w:val="004A6691"/>
    <w:rsid w:val="004A6E7C"/>
    <w:rsid w:val="004A739B"/>
    <w:rsid w:val="004A7DB8"/>
    <w:rsid w:val="004B0E37"/>
    <w:rsid w:val="004B163D"/>
    <w:rsid w:val="004B1B23"/>
    <w:rsid w:val="004B1B5C"/>
    <w:rsid w:val="004B1CE2"/>
    <w:rsid w:val="004B2380"/>
    <w:rsid w:val="004B27B1"/>
    <w:rsid w:val="004B2BB1"/>
    <w:rsid w:val="004B2D0B"/>
    <w:rsid w:val="004B2D70"/>
    <w:rsid w:val="004B34EB"/>
    <w:rsid w:val="004B44D8"/>
    <w:rsid w:val="004B4BF4"/>
    <w:rsid w:val="004B4F8D"/>
    <w:rsid w:val="004B5271"/>
    <w:rsid w:val="004B548E"/>
    <w:rsid w:val="004B5744"/>
    <w:rsid w:val="004B6D63"/>
    <w:rsid w:val="004B6FD2"/>
    <w:rsid w:val="004B7277"/>
    <w:rsid w:val="004B7330"/>
    <w:rsid w:val="004B7567"/>
    <w:rsid w:val="004B757B"/>
    <w:rsid w:val="004B7E11"/>
    <w:rsid w:val="004C0074"/>
    <w:rsid w:val="004C0192"/>
    <w:rsid w:val="004C0405"/>
    <w:rsid w:val="004C05CD"/>
    <w:rsid w:val="004C0DC7"/>
    <w:rsid w:val="004C0EEC"/>
    <w:rsid w:val="004C12F6"/>
    <w:rsid w:val="004C175C"/>
    <w:rsid w:val="004C193B"/>
    <w:rsid w:val="004C3162"/>
    <w:rsid w:val="004C3AE8"/>
    <w:rsid w:val="004C5AE8"/>
    <w:rsid w:val="004C6206"/>
    <w:rsid w:val="004C6777"/>
    <w:rsid w:val="004C67B6"/>
    <w:rsid w:val="004C6803"/>
    <w:rsid w:val="004C6D8F"/>
    <w:rsid w:val="004C6E7A"/>
    <w:rsid w:val="004C6FF1"/>
    <w:rsid w:val="004C7B19"/>
    <w:rsid w:val="004C7D59"/>
    <w:rsid w:val="004C7E31"/>
    <w:rsid w:val="004D0100"/>
    <w:rsid w:val="004D0286"/>
    <w:rsid w:val="004D0D78"/>
    <w:rsid w:val="004D257A"/>
    <w:rsid w:val="004D33CA"/>
    <w:rsid w:val="004D3B6F"/>
    <w:rsid w:val="004D4324"/>
    <w:rsid w:val="004D511A"/>
    <w:rsid w:val="004D5124"/>
    <w:rsid w:val="004D544E"/>
    <w:rsid w:val="004D57CF"/>
    <w:rsid w:val="004D5A23"/>
    <w:rsid w:val="004D60A0"/>
    <w:rsid w:val="004D6A21"/>
    <w:rsid w:val="004D6C61"/>
    <w:rsid w:val="004D753C"/>
    <w:rsid w:val="004D78BE"/>
    <w:rsid w:val="004E04EA"/>
    <w:rsid w:val="004E057A"/>
    <w:rsid w:val="004E0FBF"/>
    <w:rsid w:val="004E1A79"/>
    <w:rsid w:val="004E243A"/>
    <w:rsid w:val="004E2BA4"/>
    <w:rsid w:val="004E415E"/>
    <w:rsid w:val="004E4235"/>
    <w:rsid w:val="004E45A3"/>
    <w:rsid w:val="004E496F"/>
    <w:rsid w:val="004E59A8"/>
    <w:rsid w:val="004E633A"/>
    <w:rsid w:val="004E65FB"/>
    <w:rsid w:val="004E686F"/>
    <w:rsid w:val="004E6C6D"/>
    <w:rsid w:val="004E76FF"/>
    <w:rsid w:val="004E7953"/>
    <w:rsid w:val="004E7DD3"/>
    <w:rsid w:val="004E7EB2"/>
    <w:rsid w:val="004E7FF7"/>
    <w:rsid w:val="004F0425"/>
    <w:rsid w:val="004F0532"/>
    <w:rsid w:val="004F0B19"/>
    <w:rsid w:val="004F0C53"/>
    <w:rsid w:val="004F14AF"/>
    <w:rsid w:val="004F14FB"/>
    <w:rsid w:val="004F1769"/>
    <w:rsid w:val="004F1D41"/>
    <w:rsid w:val="004F1E45"/>
    <w:rsid w:val="004F22D4"/>
    <w:rsid w:val="004F29B5"/>
    <w:rsid w:val="004F3705"/>
    <w:rsid w:val="004F39DD"/>
    <w:rsid w:val="004F3A48"/>
    <w:rsid w:val="004F42BB"/>
    <w:rsid w:val="004F4375"/>
    <w:rsid w:val="004F46D8"/>
    <w:rsid w:val="004F4CB0"/>
    <w:rsid w:val="004F54C4"/>
    <w:rsid w:val="004F5B6C"/>
    <w:rsid w:val="004F5D23"/>
    <w:rsid w:val="004F5DE1"/>
    <w:rsid w:val="004F6525"/>
    <w:rsid w:val="004F65FD"/>
    <w:rsid w:val="004F736C"/>
    <w:rsid w:val="004F7695"/>
    <w:rsid w:val="005006B4"/>
    <w:rsid w:val="005007A5"/>
    <w:rsid w:val="00500A1E"/>
    <w:rsid w:val="00500BB8"/>
    <w:rsid w:val="00500CA9"/>
    <w:rsid w:val="00501A1B"/>
    <w:rsid w:val="00501D28"/>
    <w:rsid w:val="00501DF5"/>
    <w:rsid w:val="005023E6"/>
    <w:rsid w:val="00503048"/>
    <w:rsid w:val="00503CDD"/>
    <w:rsid w:val="00504285"/>
    <w:rsid w:val="0050438D"/>
    <w:rsid w:val="00504BE6"/>
    <w:rsid w:val="00505095"/>
    <w:rsid w:val="00505445"/>
    <w:rsid w:val="005057AD"/>
    <w:rsid w:val="005059BE"/>
    <w:rsid w:val="00505EF7"/>
    <w:rsid w:val="0050623E"/>
    <w:rsid w:val="00506376"/>
    <w:rsid w:val="00507051"/>
    <w:rsid w:val="00507455"/>
    <w:rsid w:val="00507890"/>
    <w:rsid w:val="00507EBF"/>
    <w:rsid w:val="00507FDC"/>
    <w:rsid w:val="00510345"/>
    <w:rsid w:val="00511A4B"/>
    <w:rsid w:val="00511B0D"/>
    <w:rsid w:val="00511B20"/>
    <w:rsid w:val="005127FB"/>
    <w:rsid w:val="0051296D"/>
    <w:rsid w:val="00512BC1"/>
    <w:rsid w:val="00512C98"/>
    <w:rsid w:val="005131F8"/>
    <w:rsid w:val="0051398B"/>
    <w:rsid w:val="00513A91"/>
    <w:rsid w:val="00513DEB"/>
    <w:rsid w:val="00514A0F"/>
    <w:rsid w:val="00514B03"/>
    <w:rsid w:val="00514B24"/>
    <w:rsid w:val="00514D12"/>
    <w:rsid w:val="005157D4"/>
    <w:rsid w:val="00516C08"/>
    <w:rsid w:val="0051748A"/>
    <w:rsid w:val="005178AF"/>
    <w:rsid w:val="005201A9"/>
    <w:rsid w:val="005201B6"/>
    <w:rsid w:val="00520842"/>
    <w:rsid w:val="00521CF3"/>
    <w:rsid w:val="00522889"/>
    <w:rsid w:val="005230DE"/>
    <w:rsid w:val="005239F5"/>
    <w:rsid w:val="00523BBE"/>
    <w:rsid w:val="00523C9D"/>
    <w:rsid w:val="005248B1"/>
    <w:rsid w:val="00525193"/>
    <w:rsid w:val="00525876"/>
    <w:rsid w:val="00525DA4"/>
    <w:rsid w:val="005275E8"/>
    <w:rsid w:val="00527CA1"/>
    <w:rsid w:val="00527D91"/>
    <w:rsid w:val="00530251"/>
    <w:rsid w:val="00530454"/>
    <w:rsid w:val="00530867"/>
    <w:rsid w:val="00530C71"/>
    <w:rsid w:val="00530EBD"/>
    <w:rsid w:val="0053158A"/>
    <w:rsid w:val="00531B13"/>
    <w:rsid w:val="00531C60"/>
    <w:rsid w:val="00531CE8"/>
    <w:rsid w:val="005323DD"/>
    <w:rsid w:val="005325A6"/>
    <w:rsid w:val="005326BB"/>
    <w:rsid w:val="00533523"/>
    <w:rsid w:val="00533677"/>
    <w:rsid w:val="0053376D"/>
    <w:rsid w:val="00533B91"/>
    <w:rsid w:val="0053404C"/>
    <w:rsid w:val="00534624"/>
    <w:rsid w:val="00534658"/>
    <w:rsid w:val="00534B97"/>
    <w:rsid w:val="005350C5"/>
    <w:rsid w:val="005350CF"/>
    <w:rsid w:val="00535445"/>
    <w:rsid w:val="005358B2"/>
    <w:rsid w:val="00536536"/>
    <w:rsid w:val="0053775D"/>
    <w:rsid w:val="0053793A"/>
    <w:rsid w:val="00537942"/>
    <w:rsid w:val="0054104C"/>
    <w:rsid w:val="005414B7"/>
    <w:rsid w:val="005417EE"/>
    <w:rsid w:val="0054270B"/>
    <w:rsid w:val="00542A0A"/>
    <w:rsid w:val="00543341"/>
    <w:rsid w:val="00544CDD"/>
    <w:rsid w:val="0054571F"/>
    <w:rsid w:val="005458F1"/>
    <w:rsid w:val="0054776F"/>
    <w:rsid w:val="00547B8B"/>
    <w:rsid w:val="00547BC2"/>
    <w:rsid w:val="00547C7B"/>
    <w:rsid w:val="00547E4C"/>
    <w:rsid w:val="0055012C"/>
    <w:rsid w:val="00550696"/>
    <w:rsid w:val="00550BBC"/>
    <w:rsid w:val="005514CA"/>
    <w:rsid w:val="00551ECA"/>
    <w:rsid w:val="0055206D"/>
    <w:rsid w:val="00552318"/>
    <w:rsid w:val="00552523"/>
    <w:rsid w:val="005526DF"/>
    <w:rsid w:val="005529B6"/>
    <w:rsid w:val="00553609"/>
    <w:rsid w:val="00553753"/>
    <w:rsid w:val="00553AD8"/>
    <w:rsid w:val="00553F68"/>
    <w:rsid w:val="0055426D"/>
    <w:rsid w:val="00554420"/>
    <w:rsid w:val="0055476C"/>
    <w:rsid w:val="00554822"/>
    <w:rsid w:val="0055663C"/>
    <w:rsid w:val="00556A71"/>
    <w:rsid w:val="00556AA2"/>
    <w:rsid w:val="00556EB8"/>
    <w:rsid w:val="00557CA9"/>
    <w:rsid w:val="0056007D"/>
    <w:rsid w:val="00560CE5"/>
    <w:rsid w:val="00560E8C"/>
    <w:rsid w:val="005618AE"/>
    <w:rsid w:val="00561CC5"/>
    <w:rsid w:val="00562FF9"/>
    <w:rsid w:val="00564627"/>
    <w:rsid w:val="0056488B"/>
    <w:rsid w:val="005648D0"/>
    <w:rsid w:val="00564C60"/>
    <w:rsid w:val="00565478"/>
    <w:rsid w:val="005656B8"/>
    <w:rsid w:val="00565719"/>
    <w:rsid w:val="00565E01"/>
    <w:rsid w:val="00565FBE"/>
    <w:rsid w:val="005661D8"/>
    <w:rsid w:val="005673E3"/>
    <w:rsid w:val="005677C7"/>
    <w:rsid w:val="00567BF4"/>
    <w:rsid w:val="00567C17"/>
    <w:rsid w:val="00571690"/>
    <w:rsid w:val="00571EE1"/>
    <w:rsid w:val="00572059"/>
    <w:rsid w:val="005721B6"/>
    <w:rsid w:val="00572B82"/>
    <w:rsid w:val="005735FB"/>
    <w:rsid w:val="005737A4"/>
    <w:rsid w:val="0057382F"/>
    <w:rsid w:val="00573E1E"/>
    <w:rsid w:val="0057434D"/>
    <w:rsid w:val="00574BC4"/>
    <w:rsid w:val="005752B7"/>
    <w:rsid w:val="00576115"/>
    <w:rsid w:val="00576E8B"/>
    <w:rsid w:val="00577283"/>
    <w:rsid w:val="0057758D"/>
    <w:rsid w:val="005777EB"/>
    <w:rsid w:val="00577E20"/>
    <w:rsid w:val="005800D0"/>
    <w:rsid w:val="005803E8"/>
    <w:rsid w:val="00580BB7"/>
    <w:rsid w:val="005810A3"/>
    <w:rsid w:val="005810F3"/>
    <w:rsid w:val="005814D0"/>
    <w:rsid w:val="005821C9"/>
    <w:rsid w:val="005823B0"/>
    <w:rsid w:val="00582D46"/>
    <w:rsid w:val="00583576"/>
    <w:rsid w:val="00583BB0"/>
    <w:rsid w:val="00583BF5"/>
    <w:rsid w:val="00583D1E"/>
    <w:rsid w:val="00583EC2"/>
    <w:rsid w:val="00585373"/>
    <w:rsid w:val="005853DA"/>
    <w:rsid w:val="005855E0"/>
    <w:rsid w:val="00585B42"/>
    <w:rsid w:val="00585C60"/>
    <w:rsid w:val="00585F81"/>
    <w:rsid w:val="005863F6"/>
    <w:rsid w:val="00587BC3"/>
    <w:rsid w:val="00590715"/>
    <w:rsid w:val="00591DC0"/>
    <w:rsid w:val="00591E69"/>
    <w:rsid w:val="005921DC"/>
    <w:rsid w:val="0059262E"/>
    <w:rsid w:val="00592B8E"/>
    <w:rsid w:val="0059339F"/>
    <w:rsid w:val="005939BD"/>
    <w:rsid w:val="00593EDB"/>
    <w:rsid w:val="005940D8"/>
    <w:rsid w:val="00594548"/>
    <w:rsid w:val="005948EE"/>
    <w:rsid w:val="00594D78"/>
    <w:rsid w:val="005953E2"/>
    <w:rsid w:val="00596437"/>
    <w:rsid w:val="005A0309"/>
    <w:rsid w:val="005A0456"/>
    <w:rsid w:val="005A1093"/>
    <w:rsid w:val="005A11C4"/>
    <w:rsid w:val="005A1FAE"/>
    <w:rsid w:val="005A25A0"/>
    <w:rsid w:val="005A2883"/>
    <w:rsid w:val="005A2CCA"/>
    <w:rsid w:val="005A2F16"/>
    <w:rsid w:val="005A3989"/>
    <w:rsid w:val="005A3F75"/>
    <w:rsid w:val="005A518C"/>
    <w:rsid w:val="005A52C6"/>
    <w:rsid w:val="005A53E7"/>
    <w:rsid w:val="005A663C"/>
    <w:rsid w:val="005A73AC"/>
    <w:rsid w:val="005A76B3"/>
    <w:rsid w:val="005A7E37"/>
    <w:rsid w:val="005B09C8"/>
    <w:rsid w:val="005B0EB4"/>
    <w:rsid w:val="005B11D2"/>
    <w:rsid w:val="005B15B3"/>
    <w:rsid w:val="005B21CF"/>
    <w:rsid w:val="005B26DE"/>
    <w:rsid w:val="005B28FC"/>
    <w:rsid w:val="005B2C8A"/>
    <w:rsid w:val="005B338F"/>
    <w:rsid w:val="005B378B"/>
    <w:rsid w:val="005B3AB6"/>
    <w:rsid w:val="005B3B08"/>
    <w:rsid w:val="005B3B5A"/>
    <w:rsid w:val="005B3F1B"/>
    <w:rsid w:val="005B4C64"/>
    <w:rsid w:val="005B52B7"/>
    <w:rsid w:val="005B569A"/>
    <w:rsid w:val="005B59C0"/>
    <w:rsid w:val="005B5E29"/>
    <w:rsid w:val="005B7356"/>
    <w:rsid w:val="005B75BB"/>
    <w:rsid w:val="005B7EE8"/>
    <w:rsid w:val="005C0327"/>
    <w:rsid w:val="005C06F9"/>
    <w:rsid w:val="005C0852"/>
    <w:rsid w:val="005C0AD2"/>
    <w:rsid w:val="005C1DC5"/>
    <w:rsid w:val="005C1EDF"/>
    <w:rsid w:val="005C23D3"/>
    <w:rsid w:val="005C240B"/>
    <w:rsid w:val="005C2A65"/>
    <w:rsid w:val="005C3008"/>
    <w:rsid w:val="005C330F"/>
    <w:rsid w:val="005C38EA"/>
    <w:rsid w:val="005C3B89"/>
    <w:rsid w:val="005C4589"/>
    <w:rsid w:val="005C45FC"/>
    <w:rsid w:val="005C4845"/>
    <w:rsid w:val="005C48A2"/>
    <w:rsid w:val="005C4E35"/>
    <w:rsid w:val="005C53EE"/>
    <w:rsid w:val="005C5813"/>
    <w:rsid w:val="005C5A25"/>
    <w:rsid w:val="005C6507"/>
    <w:rsid w:val="005C6630"/>
    <w:rsid w:val="005C682A"/>
    <w:rsid w:val="005C724B"/>
    <w:rsid w:val="005C74ED"/>
    <w:rsid w:val="005C7B4B"/>
    <w:rsid w:val="005D0232"/>
    <w:rsid w:val="005D065E"/>
    <w:rsid w:val="005D06EE"/>
    <w:rsid w:val="005D0AD5"/>
    <w:rsid w:val="005D0E0A"/>
    <w:rsid w:val="005D10C8"/>
    <w:rsid w:val="005D147F"/>
    <w:rsid w:val="005D1643"/>
    <w:rsid w:val="005D1A66"/>
    <w:rsid w:val="005D1B6B"/>
    <w:rsid w:val="005D1E56"/>
    <w:rsid w:val="005D1FFC"/>
    <w:rsid w:val="005D2043"/>
    <w:rsid w:val="005D25A3"/>
    <w:rsid w:val="005D3A46"/>
    <w:rsid w:val="005D4654"/>
    <w:rsid w:val="005D47B1"/>
    <w:rsid w:val="005D48AA"/>
    <w:rsid w:val="005D52A7"/>
    <w:rsid w:val="005D5C77"/>
    <w:rsid w:val="005D61DA"/>
    <w:rsid w:val="005D635E"/>
    <w:rsid w:val="005D785F"/>
    <w:rsid w:val="005D7F73"/>
    <w:rsid w:val="005E079E"/>
    <w:rsid w:val="005E102B"/>
    <w:rsid w:val="005E13BA"/>
    <w:rsid w:val="005E1CCF"/>
    <w:rsid w:val="005E1ECD"/>
    <w:rsid w:val="005E2662"/>
    <w:rsid w:val="005E2732"/>
    <w:rsid w:val="005E28AA"/>
    <w:rsid w:val="005E2AC9"/>
    <w:rsid w:val="005E3AB8"/>
    <w:rsid w:val="005E423C"/>
    <w:rsid w:val="005E4272"/>
    <w:rsid w:val="005E5987"/>
    <w:rsid w:val="005E5A6C"/>
    <w:rsid w:val="005E5D00"/>
    <w:rsid w:val="005E61D4"/>
    <w:rsid w:val="005E746C"/>
    <w:rsid w:val="005E7939"/>
    <w:rsid w:val="005E7ED2"/>
    <w:rsid w:val="005F08BA"/>
    <w:rsid w:val="005F13C5"/>
    <w:rsid w:val="005F1673"/>
    <w:rsid w:val="005F1975"/>
    <w:rsid w:val="005F1B34"/>
    <w:rsid w:val="005F2199"/>
    <w:rsid w:val="005F2416"/>
    <w:rsid w:val="005F257B"/>
    <w:rsid w:val="005F263C"/>
    <w:rsid w:val="005F3417"/>
    <w:rsid w:val="005F3A28"/>
    <w:rsid w:val="005F4582"/>
    <w:rsid w:val="005F4D7F"/>
    <w:rsid w:val="005F5299"/>
    <w:rsid w:val="005F57B8"/>
    <w:rsid w:val="005F58C4"/>
    <w:rsid w:val="005F5BA3"/>
    <w:rsid w:val="005F6925"/>
    <w:rsid w:val="005F6D8F"/>
    <w:rsid w:val="005F7475"/>
    <w:rsid w:val="005F7B2C"/>
    <w:rsid w:val="005F7D68"/>
    <w:rsid w:val="005F7FA5"/>
    <w:rsid w:val="00600351"/>
    <w:rsid w:val="0060041C"/>
    <w:rsid w:val="006011CD"/>
    <w:rsid w:val="00601740"/>
    <w:rsid w:val="00603678"/>
    <w:rsid w:val="006038A5"/>
    <w:rsid w:val="00603951"/>
    <w:rsid w:val="00604EF3"/>
    <w:rsid w:val="0060521D"/>
    <w:rsid w:val="00605E81"/>
    <w:rsid w:val="006066AB"/>
    <w:rsid w:val="00606C96"/>
    <w:rsid w:val="00606EFD"/>
    <w:rsid w:val="00607157"/>
    <w:rsid w:val="0060783C"/>
    <w:rsid w:val="00607845"/>
    <w:rsid w:val="00607B62"/>
    <w:rsid w:val="006104E3"/>
    <w:rsid w:val="006104FB"/>
    <w:rsid w:val="0061095D"/>
    <w:rsid w:val="006110E3"/>
    <w:rsid w:val="006111F3"/>
    <w:rsid w:val="00611A64"/>
    <w:rsid w:val="00612236"/>
    <w:rsid w:val="0061233F"/>
    <w:rsid w:val="006123D7"/>
    <w:rsid w:val="00612BFB"/>
    <w:rsid w:val="00612FB5"/>
    <w:rsid w:val="00613D19"/>
    <w:rsid w:val="0061448B"/>
    <w:rsid w:val="00614B6F"/>
    <w:rsid w:val="006150A4"/>
    <w:rsid w:val="006152F9"/>
    <w:rsid w:val="00615326"/>
    <w:rsid w:val="0061572C"/>
    <w:rsid w:val="006158A2"/>
    <w:rsid w:val="00615B04"/>
    <w:rsid w:val="00615BAD"/>
    <w:rsid w:val="006160C9"/>
    <w:rsid w:val="00616322"/>
    <w:rsid w:val="00616F94"/>
    <w:rsid w:val="00617225"/>
    <w:rsid w:val="006178B9"/>
    <w:rsid w:val="0062044B"/>
    <w:rsid w:val="00620575"/>
    <w:rsid w:val="00620835"/>
    <w:rsid w:val="006208BF"/>
    <w:rsid w:val="00620C10"/>
    <w:rsid w:val="006213A6"/>
    <w:rsid w:val="006213E3"/>
    <w:rsid w:val="00621DAF"/>
    <w:rsid w:val="00622A20"/>
    <w:rsid w:val="006232F0"/>
    <w:rsid w:val="006234D0"/>
    <w:rsid w:val="006234E6"/>
    <w:rsid w:val="0062386F"/>
    <w:rsid w:val="00623A3D"/>
    <w:rsid w:val="00623C2B"/>
    <w:rsid w:val="006245C7"/>
    <w:rsid w:val="00624FCD"/>
    <w:rsid w:val="0062556E"/>
    <w:rsid w:val="0062558C"/>
    <w:rsid w:val="00625DFB"/>
    <w:rsid w:val="0062645A"/>
    <w:rsid w:val="00626638"/>
    <w:rsid w:val="006314E7"/>
    <w:rsid w:val="00631D66"/>
    <w:rsid w:val="00631FE3"/>
    <w:rsid w:val="006320BB"/>
    <w:rsid w:val="00632229"/>
    <w:rsid w:val="006329D9"/>
    <w:rsid w:val="00632A5A"/>
    <w:rsid w:val="00632D3E"/>
    <w:rsid w:val="00632DAB"/>
    <w:rsid w:val="00633FFE"/>
    <w:rsid w:val="0063433E"/>
    <w:rsid w:val="006348D3"/>
    <w:rsid w:val="0063614A"/>
    <w:rsid w:val="006371DB"/>
    <w:rsid w:val="0063763E"/>
    <w:rsid w:val="00640144"/>
    <w:rsid w:val="006403CB"/>
    <w:rsid w:val="006403E4"/>
    <w:rsid w:val="0064062C"/>
    <w:rsid w:val="00640A30"/>
    <w:rsid w:val="00640D91"/>
    <w:rsid w:val="00641210"/>
    <w:rsid w:val="00641363"/>
    <w:rsid w:val="006417D8"/>
    <w:rsid w:val="006418D5"/>
    <w:rsid w:val="00641CDA"/>
    <w:rsid w:val="00642510"/>
    <w:rsid w:val="00642AEF"/>
    <w:rsid w:val="00642B61"/>
    <w:rsid w:val="00643A2B"/>
    <w:rsid w:val="006442E0"/>
    <w:rsid w:val="006451FF"/>
    <w:rsid w:val="006454D7"/>
    <w:rsid w:val="00645616"/>
    <w:rsid w:val="006463D6"/>
    <w:rsid w:val="00646C0D"/>
    <w:rsid w:val="00646D69"/>
    <w:rsid w:val="00647019"/>
    <w:rsid w:val="00647113"/>
    <w:rsid w:val="0064755F"/>
    <w:rsid w:val="00647680"/>
    <w:rsid w:val="00647A83"/>
    <w:rsid w:val="00647DB3"/>
    <w:rsid w:val="00650845"/>
    <w:rsid w:val="00650907"/>
    <w:rsid w:val="00650C43"/>
    <w:rsid w:val="00651462"/>
    <w:rsid w:val="00652410"/>
    <w:rsid w:val="00652689"/>
    <w:rsid w:val="00652986"/>
    <w:rsid w:val="00653F44"/>
    <w:rsid w:val="006540E1"/>
    <w:rsid w:val="006543BC"/>
    <w:rsid w:val="00654641"/>
    <w:rsid w:val="006548C8"/>
    <w:rsid w:val="00654E2F"/>
    <w:rsid w:val="0065504F"/>
    <w:rsid w:val="00655DC9"/>
    <w:rsid w:val="006563E3"/>
    <w:rsid w:val="00657088"/>
    <w:rsid w:val="00657D0A"/>
    <w:rsid w:val="0066100D"/>
    <w:rsid w:val="006611CD"/>
    <w:rsid w:val="00661CAA"/>
    <w:rsid w:val="006627B5"/>
    <w:rsid w:val="00662FCE"/>
    <w:rsid w:val="00663541"/>
    <w:rsid w:val="006635C2"/>
    <w:rsid w:val="00663767"/>
    <w:rsid w:val="0066400A"/>
    <w:rsid w:val="00664921"/>
    <w:rsid w:val="00664AB6"/>
    <w:rsid w:val="00664B94"/>
    <w:rsid w:val="006657E2"/>
    <w:rsid w:val="0066593C"/>
    <w:rsid w:val="0066597E"/>
    <w:rsid w:val="00665E8F"/>
    <w:rsid w:val="00666772"/>
    <w:rsid w:val="006669BB"/>
    <w:rsid w:val="00666ED0"/>
    <w:rsid w:val="00666FA3"/>
    <w:rsid w:val="0066719A"/>
    <w:rsid w:val="00667AFA"/>
    <w:rsid w:val="00667BB0"/>
    <w:rsid w:val="00670785"/>
    <w:rsid w:val="00670ACA"/>
    <w:rsid w:val="00670E68"/>
    <w:rsid w:val="0067187A"/>
    <w:rsid w:val="00671E0B"/>
    <w:rsid w:val="00671E24"/>
    <w:rsid w:val="0067235B"/>
    <w:rsid w:val="00672C26"/>
    <w:rsid w:val="006741E8"/>
    <w:rsid w:val="00674622"/>
    <w:rsid w:val="00674BDB"/>
    <w:rsid w:val="00675323"/>
    <w:rsid w:val="00675DF4"/>
    <w:rsid w:val="0067677B"/>
    <w:rsid w:val="00677002"/>
    <w:rsid w:val="00677357"/>
    <w:rsid w:val="00677B9B"/>
    <w:rsid w:val="0068046F"/>
    <w:rsid w:val="00681954"/>
    <w:rsid w:val="006826BE"/>
    <w:rsid w:val="006833A8"/>
    <w:rsid w:val="006845F1"/>
    <w:rsid w:val="00684921"/>
    <w:rsid w:val="00686428"/>
    <w:rsid w:val="0068649B"/>
    <w:rsid w:val="006869A3"/>
    <w:rsid w:val="006869C7"/>
    <w:rsid w:val="00686F2C"/>
    <w:rsid w:val="00690AF3"/>
    <w:rsid w:val="00690F39"/>
    <w:rsid w:val="00691626"/>
    <w:rsid w:val="006918A3"/>
    <w:rsid w:val="00691B97"/>
    <w:rsid w:val="0069218E"/>
    <w:rsid w:val="00692527"/>
    <w:rsid w:val="006925CD"/>
    <w:rsid w:val="006930B4"/>
    <w:rsid w:val="00693436"/>
    <w:rsid w:val="006935C3"/>
    <w:rsid w:val="00693C5B"/>
    <w:rsid w:val="00693D1D"/>
    <w:rsid w:val="006940EE"/>
    <w:rsid w:val="00694363"/>
    <w:rsid w:val="00694DB5"/>
    <w:rsid w:val="00694FC9"/>
    <w:rsid w:val="00695507"/>
    <w:rsid w:val="00696110"/>
    <w:rsid w:val="00696451"/>
    <w:rsid w:val="00696574"/>
    <w:rsid w:val="00696807"/>
    <w:rsid w:val="00696A26"/>
    <w:rsid w:val="00696B13"/>
    <w:rsid w:val="00696EC1"/>
    <w:rsid w:val="00697176"/>
    <w:rsid w:val="00697462"/>
    <w:rsid w:val="006979CE"/>
    <w:rsid w:val="00697CBD"/>
    <w:rsid w:val="006A0371"/>
    <w:rsid w:val="006A1177"/>
    <w:rsid w:val="006A1307"/>
    <w:rsid w:val="006A172B"/>
    <w:rsid w:val="006A1D58"/>
    <w:rsid w:val="006A2188"/>
    <w:rsid w:val="006A2551"/>
    <w:rsid w:val="006A2635"/>
    <w:rsid w:val="006A2C66"/>
    <w:rsid w:val="006A2CBD"/>
    <w:rsid w:val="006A2E61"/>
    <w:rsid w:val="006A4449"/>
    <w:rsid w:val="006A4A7A"/>
    <w:rsid w:val="006A55CE"/>
    <w:rsid w:val="006A64ED"/>
    <w:rsid w:val="006A65EE"/>
    <w:rsid w:val="006A67E5"/>
    <w:rsid w:val="006A6AEE"/>
    <w:rsid w:val="006A79DD"/>
    <w:rsid w:val="006A7DF7"/>
    <w:rsid w:val="006A7F0F"/>
    <w:rsid w:val="006B01FF"/>
    <w:rsid w:val="006B06BC"/>
    <w:rsid w:val="006B0736"/>
    <w:rsid w:val="006B19EA"/>
    <w:rsid w:val="006B1F84"/>
    <w:rsid w:val="006B21DD"/>
    <w:rsid w:val="006B3F5C"/>
    <w:rsid w:val="006B60CA"/>
    <w:rsid w:val="006B60D9"/>
    <w:rsid w:val="006B6664"/>
    <w:rsid w:val="006B685D"/>
    <w:rsid w:val="006B6DBD"/>
    <w:rsid w:val="006B73C3"/>
    <w:rsid w:val="006B760B"/>
    <w:rsid w:val="006B7A0A"/>
    <w:rsid w:val="006B7B1F"/>
    <w:rsid w:val="006C02BE"/>
    <w:rsid w:val="006C02D1"/>
    <w:rsid w:val="006C08A9"/>
    <w:rsid w:val="006C0CC0"/>
    <w:rsid w:val="006C0E42"/>
    <w:rsid w:val="006C0E4D"/>
    <w:rsid w:val="006C1397"/>
    <w:rsid w:val="006C1A92"/>
    <w:rsid w:val="006C1D4C"/>
    <w:rsid w:val="006C25DA"/>
    <w:rsid w:val="006C2C3C"/>
    <w:rsid w:val="006C34C0"/>
    <w:rsid w:val="006C3505"/>
    <w:rsid w:val="006C39F1"/>
    <w:rsid w:val="006C3A69"/>
    <w:rsid w:val="006C4BBC"/>
    <w:rsid w:val="006C5258"/>
    <w:rsid w:val="006C525B"/>
    <w:rsid w:val="006C5295"/>
    <w:rsid w:val="006C5699"/>
    <w:rsid w:val="006C56D8"/>
    <w:rsid w:val="006C5737"/>
    <w:rsid w:val="006C589D"/>
    <w:rsid w:val="006C6061"/>
    <w:rsid w:val="006C6303"/>
    <w:rsid w:val="006C6339"/>
    <w:rsid w:val="006C6791"/>
    <w:rsid w:val="006C6839"/>
    <w:rsid w:val="006C6AE6"/>
    <w:rsid w:val="006C6F8B"/>
    <w:rsid w:val="006C77B3"/>
    <w:rsid w:val="006D42E8"/>
    <w:rsid w:val="006D4363"/>
    <w:rsid w:val="006D5943"/>
    <w:rsid w:val="006D5A40"/>
    <w:rsid w:val="006D5BB7"/>
    <w:rsid w:val="006D5D75"/>
    <w:rsid w:val="006D5EE2"/>
    <w:rsid w:val="006D6344"/>
    <w:rsid w:val="006D6384"/>
    <w:rsid w:val="006D6A25"/>
    <w:rsid w:val="006D6BF0"/>
    <w:rsid w:val="006D717E"/>
    <w:rsid w:val="006D732C"/>
    <w:rsid w:val="006D769C"/>
    <w:rsid w:val="006D7BC0"/>
    <w:rsid w:val="006D7D07"/>
    <w:rsid w:val="006E0030"/>
    <w:rsid w:val="006E0C9B"/>
    <w:rsid w:val="006E0CD0"/>
    <w:rsid w:val="006E0EC0"/>
    <w:rsid w:val="006E1701"/>
    <w:rsid w:val="006E25CC"/>
    <w:rsid w:val="006E2751"/>
    <w:rsid w:val="006E2A50"/>
    <w:rsid w:val="006E36F6"/>
    <w:rsid w:val="006E374E"/>
    <w:rsid w:val="006E464B"/>
    <w:rsid w:val="006E4E09"/>
    <w:rsid w:val="006E5093"/>
    <w:rsid w:val="006E5487"/>
    <w:rsid w:val="006E5C0A"/>
    <w:rsid w:val="006E6014"/>
    <w:rsid w:val="006E66C7"/>
    <w:rsid w:val="006E6789"/>
    <w:rsid w:val="006E7BFF"/>
    <w:rsid w:val="006F04ED"/>
    <w:rsid w:val="006F0FFC"/>
    <w:rsid w:val="006F15C2"/>
    <w:rsid w:val="006F2343"/>
    <w:rsid w:val="006F279F"/>
    <w:rsid w:val="006F2909"/>
    <w:rsid w:val="006F2B49"/>
    <w:rsid w:val="006F3376"/>
    <w:rsid w:val="006F36C1"/>
    <w:rsid w:val="006F3DF8"/>
    <w:rsid w:val="006F4CF4"/>
    <w:rsid w:val="006F5CCE"/>
    <w:rsid w:val="006F735F"/>
    <w:rsid w:val="006F770B"/>
    <w:rsid w:val="006F7CE7"/>
    <w:rsid w:val="007003C0"/>
    <w:rsid w:val="007003DF"/>
    <w:rsid w:val="007003F0"/>
    <w:rsid w:val="00700671"/>
    <w:rsid w:val="007009D1"/>
    <w:rsid w:val="007013FF"/>
    <w:rsid w:val="007014C5"/>
    <w:rsid w:val="00701888"/>
    <w:rsid w:val="00701D60"/>
    <w:rsid w:val="007020D7"/>
    <w:rsid w:val="007026C7"/>
    <w:rsid w:val="00702EFF"/>
    <w:rsid w:val="0070383A"/>
    <w:rsid w:val="007038E1"/>
    <w:rsid w:val="00704746"/>
    <w:rsid w:val="007053F9"/>
    <w:rsid w:val="007055F8"/>
    <w:rsid w:val="0070674D"/>
    <w:rsid w:val="0070689F"/>
    <w:rsid w:val="007076D0"/>
    <w:rsid w:val="00707CD7"/>
    <w:rsid w:val="0071098F"/>
    <w:rsid w:val="007116D9"/>
    <w:rsid w:val="00711B3D"/>
    <w:rsid w:val="00711BB4"/>
    <w:rsid w:val="00711C62"/>
    <w:rsid w:val="0071209E"/>
    <w:rsid w:val="007126D2"/>
    <w:rsid w:val="00712A2A"/>
    <w:rsid w:val="00712C96"/>
    <w:rsid w:val="00712CCB"/>
    <w:rsid w:val="00713F2A"/>
    <w:rsid w:val="00714830"/>
    <w:rsid w:val="007148C2"/>
    <w:rsid w:val="00714DE3"/>
    <w:rsid w:val="00714F64"/>
    <w:rsid w:val="0071500D"/>
    <w:rsid w:val="0071543D"/>
    <w:rsid w:val="00715729"/>
    <w:rsid w:val="0071574B"/>
    <w:rsid w:val="0071575E"/>
    <w:rsid w:val="00716280"/>
    <w:rsid w:val="00716F71"/>
    <w:rsid w:val="00717A2F"/>
    <w:rsid w:val="00717AC6"/>
    <w:rsid w:val="007201DB"/>
    <w:rsid w:val="00720B61"/>
    <w:rsid w:val="00720DA9"/>
    <w:rsid w:val="00720F66"/>
    <w:rsid w:val="00721107"/>
    <w:rsid w:val="00721556"/>
    <w:rsid w:val="00721A77"/>
    <w:rsid w:val="00722180"/>
    <w:rsid w:val="0072285E"/>
    <w:rsid w:val="00722B56"/>
    <w:rsid w:val="0072433B"/>
    <w:rsid w:val="007251CC"/>
    <w:rsid w:val="00725BC6"/>
    <w:rsid w:val="00726204"/>
    <w:rsid w:val="00726460"/>
    <w:rsid w:val="0072678A"/>
    <w:rsid w:val="00726969"/>
    <w:rsid w:val="00727C93"/>
    <w:rsid w:val="00727D89"/>
    <w:rsid w:val="0073022E"/>
    <w:rsid w:val="007304FC"/>
    <w:rsid w:val="007305B1"/>
    <w:rsid w:val="00730818"/>
    <w:rsid w:val="00730882"/>
    <w:rsid w:val="00731069"/>
    <w:rsid w:val="0073177F"/>
    <w:rsid w:val="007319A0"/>
    <w:rsid w:val="00731FF2"/>
    <w:rsid w:val="00732909"/>
    <w:rsid w:val="00732D81"/>
    <w:rsid w:val="00732FCA"/>
    <w:rsid w:val="007345A9"/>
    <w:rsid w:val="007348E9"/>
    <w:rsid w:val="00734A2B"/>
    <w:rsid w:val="0073572C"/>
    <w:rsid w:val="0073591C"/>
    <w:rsid w:val="00735A93"/>
    <w:rsid w:val="00735DE9"/>
    <w:rsid w:val="00735EBE"/>
    <w:rsid w:val="00735F3F"/>
    <w:rsid w:val="00735F99"/>
    <w:rsid w:val="00736497"/>
    <w:rsid w:val="00736815"/>
    <w:rsid w:val="00737016"/>
    <w:rsid w:val="00737A40"/>
    <w:rsid w:val="00741562"/>
    <w:rsid w:val="00741A43"/>
    <w:rsid w:val="007420E5"/>
    <w:rsid w:val="007427CC"/>
    <w:rsid w:val="00742BF8"/>
    <w:rsid w:val="00742F08"/>
    <w:rsid w:val="00744C90"/>
    <w:rsid w:val="0074575D"/>
    <w:rsid w:val="00745FDD"/>
    <w:rsid w:val="007469EC"/>
    <w:rsid w:val="007470E9"/>
    <w:rsid w:val="007477CB"/>
    <w:rsid w:val="00747AE2"/>
    <w:rsid w:val="00750263"/>
    <w:rsid w:val="007506F1"/>
    <w:rsid w:val="00750C95"/>
    <w:rsid w:val="007519E3"/>
    <w:rsid w:val="00752652"/>
    <w:rsid w:val="00752822"/>
    <w:rsid w:val="00752C6A"/>
    <w:rsid w:val="00752CC9"/>
    <w:rsid w:val="0075361A"/>
    <w:rsid w:val="0075380D"/>
    <w:rsid w:val="00753C4B"/>
    <w:rsid w:val="00754B4F"/>
    <w:rsid w:val="007560E8"/>
    <w:rsid w:val="0075663C"/>
    <w:rsid w:val="007566E0"/>
    <w:rsid w:val="00756EE6"/>
    <w:rsid w:val="007577AA"/>
    <w:rsid w:val="00757AD6"/>
    <w:rsid w:val="00757ED3"/>
    <w:rsid w:val="007609EF"/>
    <w:rsid w:val="007623F1"/>
    <w:rsid w:val="007627EF"/>
    <w:rsid w:val="007628CE"/>
    <w:rsid w:val="00762C3E"/>
    <w:rsid w:val="00763493"/>
    <w:rsid w:val="00763A07"/>
    <w:rsid w:val="00764950"/>
    <w:rsid w:val="00764D8C"/>
    <w:rsid w:val="00765F36"/>
    <w:rsid w:val="0076649A"/>
    <w:rsid w:val="007668A4"/>
    <w:rsid w:val="00766BFB"/>
    <w:rsid w:val="00766D13"/>
    <w:rsid w:val="00767FBD"/>
    <w:rsid w:val="00770170"/>
    <w:rsid w:val="00770359"/>
    <w:rsid w:val="00770422"/>
    <w:rsid w:val="007706FB"/>
    <w:rsid w:val="00770979"/>
    <w:rsid w:val="0077097D"/>
    <w:rsid w:val="00770E53"/>
    <w:rsid w:val="007712AB"/>
    <w:rsid w:val="007718E5"/>
    <w:rsid w:val="007724C3"/>
    <w:rsid w:val="007730DD"/>
    <w:rsid w:val="00773E6F"/>
    <w:rsid w:val="007744F0"/>
    <w:rsid w:val="00774607"/>
    <w:rsid w:val="00774FD7"/>
    <w:rsid w:val="00775288"/>
    <w:rsid w:val="00775AE1"/>
    <w:rsid w:val="007761FA"/>
    <w:rsid w:val="00776518"/>
    <w:rsid w:val="0077651E"/>
    <w:rsid w:val="00776958"/>
    <w:rsid w:val="00776CA8"/>
    <w:rsid w:val="0077741D"/>
    <w:rsid w:val="007774B9"/>
    <w:rsid w:val="00780454"/>
    <w:rsid w:val="00781A4B"/>
    <w:rsid w:val="00781E4A"/>
    <w:rsid w:val="00782146"/>
    <w:rsid w:val="00782E39"/>
    <w:rsid w:val="00782FF7"/>
    <w:rsid w:val="00783F93"/>
    <w:rsid w:val="00784C95"/>
    <w:rsid w:val="00785391"/>
    <w:rsid w:val="00785BFD"/>
    <w:rsid w:val="00786003"/>
    <w:rsid w:val="007863EF"/>
    <w:rsid w:val="007865B4"/>
    <w:rsid w:val="0078790D"/>
    <w:rsid w:val="00790000"/>
    <w:rsid w:val="00790599"/>
    <w:rsid w:val="00791119"/>
    <w:rsid w:val="007917EB"/>
    <w:rsid w:val="007932A8"/>
    <w:rsid w:val="007932EA"/>
    <w:rsid w:val="00793435"/>
    <w:rsid w:val="00793B06"/>
    <w:rsid w:val="007948E9"/>
    <w:rsid w:val="00794992"/>
    <w:rsid w:val="007952C0"/>
    <w:rsid w:val="00795B65"/>
    <w:rsid w:val="00795C6A"/>
    <w:rsid w:val="00795CBE"/>
    <w:rsid w:val="0079629D"/>
    <w:rsid w:val="00796D80"/>
    <w:rsid w:val="00796EFA"/>
    <w:rsid w:val="007973F6"/>
    <w:rsid w:val="007975AA"/>
    <w:rsid w:val="007976C2"/>
    <w:rsid w:val="007A00A3"/>
    <w:rsid w:val="007A09DB"/>
    <w:rsid w:val="007A0D85"/>
    <w:rsid w:val="007A0E85"/>
    <w:rsid w:val="007A0E8E"/>
    <w:rsid w:val="007A1202"/>
    <w:rsid w:val="007A1542"/>
    <w:rsid w:val="007A15D0"/>
    <w:rsid w:val="007A3172"/>
    <w:rsid w:val="007A3AAF"/>
    <w:rsid w:val="007A3B8A"/>
    <w:rsid w:val="007A3E6F"/>
    <w:rsid w:val="007A4082"/>
    <w:rsid w:val="007A4690"/>
    <w:rsid w:val="007A47D7"/>
    <w:rsid w:val="007A55F9"/>
    <w:rsid w:val="007A59E4"/>
    <w:rsid w:val="007A6FA0"/>
    <w:rsid w:val="007A6FD1"/>
    <w:rsid w:val="007A7289"/>
    <w:rsid w:val="007A7324"/>
    <w:rsid w:val="007A7D8F"/>
    <w:rsid w:val="007B009C"/>
    <w:rsid w:val="007B0644"/>
    <w:rsid w:val="007B06D0"/>
    <w:rsid w:val="007B08DE"/>
    <w:rsid w:val="007B0A0A"/>
    <w:rsid w:val="007B0BAE"/>
    <w:rsid w:val="007B129C"/>
    <w:rsid w:val="007B1C9F"/>
    <w:rsid w:val="007B23A1"/>
    <w:rsid w:val="007B449A"/>
    <w:rsid w:val="007B4743"/>
    <w:rsid w:val="007B5C7F"/>
    <w:rsid w:val="007B64AA"/>
    <w:rsid w:val="007B656D"/>
    <w:rsid w:val="007B65EA"/>
    <w:rsid w:val="007B68A7"/>
    <w:rsid w:val="007B78F9"/>
    <w:rsid w:val="007C0471"/>
    <w:rsid w:val="007C1932"/>
    <w:rsid w:val="007C1F86"/>
    <w:rsid w:val="007C25A4"/>
    <w:rsid w:val="007C271E"/>
    <w:rsid w:val="007C27BF"/>
    <w:rsid w:val="007C2C44"/>
    <w:rsid w:val="007C2EE9"/>
    <w:rsid w:val="007C3046"/>
    <w:rsid w:val="007C3C2D"/>
    <w:rsid w:val="007C3DCB"/>
    <w:rsid w:val="007C41FC"/>
    <w:rsid w:val="007C4384"/>
    <w:rsid w:val="007C438D"/>
    <w:rsid w:val="007C44D7"/>
    <w:rsid w:val="007C48E6"/>
    <w:rsid w:val="007C4B9C"/>
    <w:rsid w:val="007C5070"/>
    <w:rsid w:val="007C508E"/>
    <w:rsid w:val="007C5335"/>
    <w:rsid w:val="007C564A"/>
    <w:rsid w:val="007C6753"/>
    <w:rsid w:val="007C7A05"/>
    <w:rsid w:val="007C7AFF"/>
    <w:rsid w:val="007D17A2"/>
    <w:rsid w:val="007D1B07"/>
    <w:rsid w:val="007D2023"/>
    <w:rsid w:val="007D26A1"/>
    <w:rsid w:val="007D2E54"/>
    <w:rsid w:val="007D2FB4"/>
    <w:rsid w:val="007D3011"/>
    <w:rsid w:val="007D3606"/>
    <w:rsid w:val="007D3F95"/>
    <w:rsid w:val="007D43BC"/>
    <w:rsid w:val="007D4F42"/>
    <w:rsid w:val="007D5CBF"/>
    <w:rsid w:val="007D5FD7"/>
    <w:rsid w:val="007D6664"/>
    <w:rsid w:val="007D66DE"/>
    <w:rsid w:val="007D6A17"/>
    <w:rsid w:val="007D6B02"/>
    <w:rsid w:val="007D6D10"/>
    <w:rsid w:val="007D6ECB"/>
    <w:rsid w:val="007D715E"/>
    <w:rsid w:val="007D7819"/>
    <w:rsid w:val="007D796A"/>
    <w:rsid w:val="007E00DE"/>
    <w:rsid w:val="007E0B5E"/>
    <w:rsid w:val="007E0C7C"/>
    <w:rsid w:val="007E0D22"/>
    <w:rsid w:val="007E0D4D"/>
    <w:rsid w:val="007E0E52"/>
    <w:rsid w:val="007E1474"/>
    <w:rsid w:val="007E18EB"/>
    <w:rsid w:val="007E2398"/>
    <w:rsid w:val="007E2904"/>
    <w:rsid w:val="007E2C80"/>
    <w:rsid w:val="007E31BE"/>
    <w:rsid w:val="007E33CA"/>
    <w:rsid w:val="007E38D0"/>
    <w:rsid w:val="007E3E70"/>
    <w:rsid w:val="007E3E89"/>
    <w:rsid w:val="007E4BE0"/>
    <w:rsid w:val="007E4D6F"/>
    <w:rsid w:val="007E5A95"/>
    <w:rsid w:val="007E650B"/>
    <w:rsid w:val="007E67BC"/>
    <w:rsid w:val="007E6CB4"/>
    <w:rsid w:val="007F08A2"/>
    <w:rsid w:val="007F0DC4"/>
    <w:rsid w:val="007F1357"/>
    <w:rsid w:val="007F1411"/>
    <w:rsid w:val="007F16BD"/>
    <w:rsid w:val="007F17A8"/>
    <w:rsid w:val="007F1804"/>
    <w:rsid w:val="007F1E19"/>
    <w:rsid w:val="007F266C"/>
    <w:rsid w:val="007F4522"/>
    <w:rsid w:val="007F4983"/>
    <w:rsid w:val="007F4CB8"/>
    <w:rsid w:val="007F592B"/>
    <w:rsid w:val="007F6045"/>
    <w:rsid w:val="007F62BB"/>
    <w:rsid w:val="007F62BE"/>
    <w:rsid w:val="007F6737"/>
    <w:rsid w:val="007F697F"/>
    <w:rsid w:val="007F727D"/>
    <w:rsid w:val="007F7AC0"/>
    <w:rsid w:val="007F7CF4"/>
    <w:rsid w:val="008003AF"/>
    <w:rsid w:val="00800B99"/>
    <w:rsid w:val="00801C4C"/>
    <w:rsid w:val="00801EBC"/>
    <w:rsid w:val="008025F9"/>
    <w:rsid w:val="00802943"/>
    <w:rsid w:val="00802F8F"/>
    <w:rsid w:val="00803772"/>
    <w:rsid w:val="00803D3F"/>
    <w:rsid w:val="00803FEA"/>
    <w:rsid w:val="00804915"/>
    <w:rsid w:val="00804D05"/>
    <w:rsid w:val="00805A28"/>
    <w:rsid w:val="00805E5C"/>
    <w:rsid w:val="008061D6"/>
    <w:rsid w:val="008067B7"/>
    <w:rsid w:val="00806886"/>
    <w:rsid w:val="00806B85"/>
    <w:rsid w:val="00806E30"/>
    <w:rsid w:val="00807269"/>
    <w:rsid w:val="00807D57"/>
    <w:rsid w:val="00810274"/>
    <w:rsid w:val="00810341"/>
    <w:rsid w:val="00810383"/>
    <w:rsid w:val="0081047B"/>
    <w:rsid w:val="008109AD"/>
    <w:rsid w:val="008112DB"/>
    <w:rsid w:val="00811E40"/>
    <w:rsid w:val="008121BA"/>
    <w:rsid w:val="0081244D"/>
    <w:rsid w:val="0081297B"/>
    <w:rsid w:val="00812DF5"/>
    <w:rsid w:val="0081315C"/>
    <w:rsid w:val="008133EA"/>
    <w:rsid w:val="00813F9B"/>
    <w:rsid w:val="0081471B"/>
    <w:rsid w:val="00814B41"/>
    <w:rsid w:val="00815930"/>
    <w:rsid w:val="00816F5F"/>
    <w:rsid w:val="0081756B"/>
    <w:rsid w:val="0081774E"/>
    <w:rsid w:val="00817823"/>
    <w:rsid w:val="00817AA3"/>
    <w:rsid w:val="00817D59"/>
    <w:rsid w:val="00820089"/>
    <w:rsid w:val="008209DB"/>
    <w:rsid w:val="00820A5F"/>
    <w:rsid w:val="00820B14"/>
    <w:rsid w:val="00820DE4"/>
    <w:rsid w:val="008212F8"/>
    <w:rsid w:val="00821843"/>
    <w:rsid w:val="00821B5E"/>
    <w:rsid w:val="00821E80"/>
    <w:rsid w:val="00821FDF"/>
    <w:rsid w:val="0082265F"/>
    <w:rsid w:val="00822ED4"/>
    <w:rsid w:val="00822FB2"/>
    <w:rsid w:val="00822FF2"/>
    <w:rsid w:val="00823C8B"/>
    <w:rsid w:val="0082428F"/>
    <w:rsid w:val="00824D8F"/>
    <w:rsid w:val="00824EC9"/>
    <w:rsid w:val="00824F4E"/>
    <w:rsid w:val="008250B9"/>
    <w:rsid w:val="008253CF"/>
    <w:rsid w:val="00825432"/>
    <w:rsid w:val="008256E9"/>
    <w:rsid w:val="00825CF1"/>
    <w:rsid w:val="00826597"/>
    <w:rsid w:val="0082660B"/>
    <w:rsid w:val="00826809"/>
    <w:rsid w:val="00826B25"/>
    <w:rsid w:val="00827293"/>
    <w:rsid w:val="00827312"/>
    <w:rsid w:val="008273B9"/>
    <w:rsid w:val="00827A7E"/>
    <w:rsid w:val="0083006B"/>
    <w:rsid w:val="0083079C"/>
    <w:rsid w:val="00830B8F"/>
    <w:rsid w:val="00830D01"/>
    <w:rsid w:val="008318B5"/>
    <w:rsid w:val="00831BCC"/>
    <w:rsid w:val="00831D81"/>
    <w:rsid w:val="008326AB"/>
    <w:rsid w:val="00832844"/>
    <w:rsid w:val="00832EE5"/>
    <w:rsid w:val="00832FA8"/>
    <w:rsid w:val="008333C8"/>
    <w:rsid w:val="008337AC"/>
    <w:rsid w:val="00833A25"/>
    <w:rsid w:val="00833C3C"/>
    <w:rsid w:val="00833C77"/>
    <w:rsid w:val="00834117"/>
    <w:rsid w:val="00834463"/>
    <w:rsid w:val="00834DD6"/>
    <w:rsid w:val="00834DDE"/>
    <w:rsid w:val="00834E97"/>
    <w:rsid w:val="0083502A"/>
    <w:rsid w:val="008358CD"/>
    <w:rsid w:val="00836136"/>
    <w:rsid w:val="00836344"/>
    <w:rsid w:val="00836FF6"/>
    <w:rsid w:val="00837346"/>
    <w:rsid w:val="0083768C"/>
    <w:rsid w:val="008376E7"/>
    <w:rsid w:val="008406CE"/>
    <w:rsid w:val="00841259"/>
    <w:rsid w:val="00842CB4"/>
    <w:rsid w:val="008433BC"/>
    <w:rsid w:val="00843AE5"/>
    <w:rsid w:val="00843C7E"/>
    <w:rsid w:val="00843EB2"/>
    <w:rsid w:val="00844BD7"/>
    <w:rsid w:val="0084673B"/>
    <w:rsid w:val="00846D4A"/>
    <w:rsid w:val="0084754A"/>
    <w:rsid w:val="008475FD"/>
    <w:rsid w:val="008500BA"/>
    <w:rsid w:val="008502B7"/>
    <w:rsid w:val="00850679"/>
    <w:rsid w:val="00850CBA"/>
    <w:rsid w:val="00850DCB"/>
    <w:rsid w:val="00850E46"/>
    <w:rsid w:val="008513B0"/>
    <w:rsid w:val="00851418"/>
    <w:rsid w:val="00851445"/>
    <w:rsid w:val="00851A2C"/>
    <w:rsid w:val="00851E91"/>
    <w:rsid w:val="0085266E"/>
    <w:rsid w:val="00852742"/>
    <w:rsid w:val="00852B0B"/>
    <w:rsid w:val="0085334B"/>
    <w:rsid w:val="0085348A"/>
    <w:rsid w:val="00853B6B"/>
    <w:rsid w:val="00854487"/>
    <w:rsid w:val="00854ED5"/>
    <w:rsid w:val="008550F5"/>
    <w:rsid w:val="00855301"/>
    <w:rsid w:val="008553E7"/>
    <w:rsid w:val="00855557"/>
    <w:rsid w:val="008555DB"/>
    <w:rsid w:val="00857126"/>
    <w:rsid w:val="00857480"/>
    <w:rsid w:val="008576D3"/>
    <w:rsid w:val="0086026C"/>
    <w:rsid w:val="00860925"/>
    <w:rsid w:val="00860958"/>
    <w:rsid w:val="00861033"/>
    <w:rsid w:val="008613C1"/>
    <w:rsid w:val="008613EC"/>
    <w:rsid w:val="00862527"/>
    <w:rsid w:val="00862C80"/>
    <w:rsid w:val="00862E73"/>
    <w:rsid w:val="00863267"/>
    <w:rsid w:val="00863F5D"/>
    <w:rsid w:val="0086415C"/>
    <w:rsid w:val="008641C0"/>
    <w:rsid w:val="00864578"/>
    <w:rsid w:val="00864BFA"/>
    <w:rsid w:val="00865548"/>
    <w:rsid w:val="0086654B"/>
    <w:rsid w:val="00867305"/>
    <w:rsid w:val="008673AC"/>
    <w:rsid w:val="00867AF2"/>
    <w:rsid w:val="008702DB"/>
    <w:rsid w:val="00870487"/>
    <w:rsid w:val="008708D1"/>
    <w:rsid w:val="00870CDB"/>
    <w:rsid w:val="0087101A"/>
    <w:rsid w:val="008710E1"/>
    <w:rsid w:val="00871156"/>
    <w:rsid w:val="008715E2"/>
    <w:rsid w:val="00871D65"/>
    <w:rsid w:val="0087226E"/>
    <w:rsid w:val="008727F0"/>
    <w:rsid w:val="0087360A"/>
    <w:rsid w:val="00873E0D"/>
    <w:rsid w:val="00874410"/>
    <w:rsid w:val="00875041"/>
    <w:rsid w:val="00875493"/>
    <w:rsid w:val="008757A0"/>
    <w:rsid w:val="00876197"/>
    <w:rsid w:val="00876238"/>
    <w:rsid w:val="00876E72"/>
    <w:rsid w:val="00877A5B"/>
    <w:rsid w:val="00880185"/>
    <w:rsid w:val="00880266"/>
    <w:rsid w:val="00880F76"/>
    <w:rsid w:val="0088105F"/>
    <w:rsid w:val="0088147A"/>
    <w:rsid w:val="00881565"/>
    <w:rsid w:val="008816AB"/>
    <w:rsid w:val="008823C3"/>
    <w:rsid w:val="008828BA"/>
    <w:rsid w:val="0088368C"/>
    <w:rsid w:val="0088373E"/>
    <w:rsid w:val="0088375F"/>
    <w:rsid w:val="00883E0A"/>
    <w:rsid w:val="00884346"/>
    <w:rsid w:val="0088520C"/>
    <w:rsid w:val="0088546A"/>
    <w:rsid w:val="00885915"/>
    <w:rsid w:val="008859F6"/>
    <w:rsid w:val="00885BA7"/>
    <w:rsid w:val="00885EAD"/>
    <w:rsid w:val="0088623A"/>
    <w:rsid w:val="008867EB"/>
    <w:rsid w:val="00886BB8"/>
    <w:rsid w:val="00887F6C"/>
    <w:rsid w:val="00890785"/>
    <w:rsid w:val="00891333"/>
    <w:rsid w:val="00891BC2"/>
    <w:rsid w:val="00892068"/>
    <w:rsid w:val="00892239"/>
    <w:rsid w:val="00892895"/>
    <w:rsid w:val="00892C98"/>
    <w:rsid w:val="00892CF0"/>
    <w:rsid w:val="00892D9C"/>
    <w:rsid w:val="008935E3"/>
    <w:rsid w:val="00893700"/>
    <w:rsid w:val="00894061"/>
    <w:rsid w:val="00894F97"/>
    <w:rsid w:val="008958A0"/>
    <w:rsid w:val="008960B1"/>
    <w:rsid w:val="008961F7"/>
    <w:rsid w:val="0089628E"/>
    <w:rsid w:val="008970EE"/>
    <w:rsid w:val="0089718F"/>
    <w:rsid w:val="00897828"/>
    <w:rsid w:val="00897A06"/>
    <w:rsid w:val="00897A94"/>
    <w:rsid w:val="00897AE4"/>
    <w:rsid w:val="008A07C7"/>
    <w:rsid w:val="008A0A4F"/>
    <w:rsid w:val="008A0E2D"/>
    <w:rsid w:val="008A14E6"/>
    <w:rsid w:val="008A249A"/>
    <w:rsid w:val="008A2554"/>
    <w:rsid w:val="008A28FE"/>
    <w:rsid w:val="008A2C86"/>
    <w:rsid w:val="008A32C3"/>
    <w:rsid w:val="008A33F3"/>
    <w:rsid w:val="008A372E"/>
    <w:rsid w:val="008A3D8C"/>
    <w:rsid w:val="008A5390"/>
    <w:rsid w:val="008A53D0"/>
    <w:rsid w:val="008A554D"/>
    <w:rsid w:val="008A55E5"/>
    <w:rsid w:val="008A5B1C"/>
    <w:rsid w:val="008A5E7D"/>
    <w:rsid w:val="008A64CA"/>
    <w:rsid w:val="008A6587"/>
    <w:rsid w:val="008A65EC"/>
    <w:rsid w:val="008A6916"/>
    <w:rsid w:val="008A6C4F"/>
    <w:rsid w:val="008A73B2"/>
    <w:rsid w:val="008A73BE"/>
    <w:rsid w:val="008A7BF3"/>
    <w:rsid w:val="008B000A"/>
    <w:rsid w:val="008B06A3"/>
    <w:rsid w:val="008B06FA"/>
    <w:rsid w:val="008B0DBF"/>
    <w:rsid w:val="008B1005"/>
    <w:rsid w:val="008B1A2D"/>
    <w:rsid w:val="008B1D3A"/>
    <w:rsid w:val="008B23E0"/>
    <w:rsid w:val="008B272D"/>
    <w:rsid w:val="008B2764"/>
    <w:rsid w:val="008B321F"/>
    <w:rsid w:val="008B34C7"/>
    <w:rsid w:val="008B4115"/>
    <w:rsid w:val="008B4859"/>
    <w:rsid w:val="008B505A"/>
    <w:rsid w:val="008B5293"/>
    <w:rsid w:val="008B5298"/>
    <w:rsid w:val="008B67DF"/>
    <w:rsid w:val="008B6B46"/>
    <w:rsid w:val="008B6E9E"/>
    <w:rsid w:val="008B7032"/>
    <w:rsid w:val="008B77D7"/>
    <w:rsid w:val="008B7898"/>
    <w:rsid w:val="008B7B74"/>
    <w:rsid w:val="008B7E60"/>
    <w:rsid w:val="008C08F8"/>
    <w:rsid w:val="008C1805"/>
    <w:rsid w:val="008C185D"/>
    <w:rsid w:val="008C1FC9"/>
    <w:rsid w:val="008C20DD"/>
    <w:rsid w:val="008C2433"/>
    <w:rsid w:val="008C395D"/>
    <w:rsid w:val="008C3D40"/>
    <w:rsid w:val="008C4D1A"/>
    <w:rsid w:val="008C4E18"/>
    <w:rsid w:val="008C5ED1"/>
    <w:rsid w:val="008C6253"/>
    <w:rsid w:val="008C658B"/>
    <w:rsid w:val="008C6814"/>
    <w:rsid w:val="008C7008"/>
    <w:rsid w:val="008C7499"/>
    <w:rsid w:val="008D0734"/>
    <w:rsid w:val="008D11D4"/>
    <w:rsid w:val="008D15E8"/>
    <w:rsid w:val="008D1681"/>
    <w:rsid w:val="008D1764"/>
    <w:rsid w:val="008D1F62"/>
    <w:rsid w:val="008D2018"/>
    <w:rsid w:val="008D2400"/>
    <w:rsid w:val="008D3232"/>
    <w:rsid w:val="008D4D6F"/>
    <w:rsid w:val="008D4D97"/>
    <w:rsid w:val="008D4FBD"/>
    <w:rsid w:val="008D52B8"/>
    <w:rsid w:val="008D60DF"/>
    <w:rsid w:val="008D677E"/>
    <w:rsid w:val="008D67DB"/>
    <w:rsid w:val="008D6AF9"/>
    <w:rsid w:val="008D6DCD"/>
    <w:rsid w:val="008E0356"/>
    <w:rsid w:val="008E0725"/>
    <w:rsid w:val="008E074E"/>
    <w:rsid w:val="008E1858"/>
    <w:rsid w:val="008E191B"/>
    <w:rsid w:val="008E1A21"/>
    <w:rsid w:val="008E1E56"/>
    <w:rsid w:val="008E1FE4"/>
    <w:rsid w:val="008E2371"/>
    <w:rsid w:val="008E2486"/>
    <w:rsid w:val="008E30B0"/>
    <w:rsid w:val="008E381D"/>
    <w:rsid w:val="008E492B"/>
    <w:rsid w:val="008E4A7A"/>
    <w:rsid w:val="008E4CCA"/>
    <w:rsid w:val="008E5124"/>
    <w:rsid w:val="008E5C6E"/>
    <w:rsid w:val="008E630C"/>
    <w:rsid w:val="008E6E3D"/>
    <w:rsid w:val="008E7169"/>
    <w:rsid w:val="008E723B"/>
    <w:rsid w:val="008E77A1"/>
    <w:rsid w:val="008E79DA"/>
    <w:rsid w:val="008F044C"/>
    <w:rsid w:val="008F072A"/>
    <w:rsid w:val="008F0E33"/>
    <w:rsid w:val="008F1312"/>
    <w:rsid w:val="008F1B56"/>
    <w:rsid w:val="008F1CC5"/>
    <w:rsid w:val="008F22A6"/>
    <w:rsid w:val="008F247F"/>
    <w:rsid w:val="008F26D3"/>
    <w:rsid w:val="008F36BC"/>
    <w:rsid w:val="008F37A8"/>
    <w:rsid w:val="008F3D60"/>
    <w:rsid w:val="008F4236"/>
    <w:rsid w:val="008F47B7"/>
    <w:rsid w:val="008F54E2"/>
    <w:rsid w:val="008F6047"/>
    <w:rsid w:val="008F6590"/>
    <w:rsid w:val="008F6B90"/>
    <w:rsid w:val="008F6BAF"/>
    <w:rsid w:val="009003DD"/>
    <w:rsid w:val="00900A34"/>
    <w:rsid w:val="00900CDA"/>
    <w:rsid w:val="00900D7D"/>
    <w:rsid w:val="00901971"/>
    <w:rsid w:val="0090289D"/>
    <w:rsid w:val="0090311D"/>
    <w:rsid w:val="0090325A"/>
    <w:rsid w:val="009032DE"/>
    <w:rsid w:val="00903351"/>
    <w:rsid w:val="0090357E"/>
    <w:rsid w:val="00903C9F"/>
    <w:rsid w:val="00904449"/>
    <w:rsid w:val="0090445B"/>
    <w:rsid w:val="0090493D"/>
    <w:rsid w:val="00904B20"/>
    <w:rsid w:val="00905024"/>
    <w:rsid w:val="0090536C"/>
    <w:rsid w:val="0090555C"/>
    <w:rsid w:val="00905E1A"/>
    <w:rsid w:val="00905F9A"/>
    <w:rsid w:val="009063AE"/>
    <w:rsid w:val="00906ACD"/>
    <w:rsid w:val="009079B6"/>
    <w:rsid w:val="00910F12"/>
    <w:rsid w:val="0091103F"/>
    <w:rsid w:val="00911542"/>
    <w:rsid w:val="00911659"/>
    <w:rsid w:val="009117B2"/>
    <w:rsid w:val="00912296"/>
    <w:rsid w:val="009124AB"/>
    <w:rsid w:val="009124FA"/>
    <w:rsid w:val="00913F70"/>
    <w:rsid w:val="00914A27"/>
    <w:rsid w:val="009152AB"/>
    <w:rsid w:val="0091599D"/>
    <w:rsid w:val="00915A9B"/>
    <w:rsid w:val="00916894"/>
    <w:rsid w:val="00916DB2"/>
    <w:rsid w:val="00917640"/>
    <w:rsid w:val="00917848"/>
    <w:rsid w:val="009200CB"/>
    <w:rsid w:val="009200FA"/>
    <w:rsid w:val="00920962"/>
    <w:rsid w:val="00921236"/>
    <w:rsid w:val="0092198C"/>
    <w:rsid w:val="00921F2D"/>
    <w:rsid w:val="00921F9E"/>
    <w:rsid w:val="009233DF"/>
    <w:rsid w:val="00924605"/>
    <w:rsid w:val="0092463E"/>
    <w:rsid w:val="00924C3C"/>
    <w:rsid w:val="00924EC9"/>
    <w:rsid w:val="00925B0B"/>
    <w:rsid w:val="00925F69"/>
    <w:rsid w:val="0092608F"/>
    <w:rsid w:val="009260CB"/>
    <w:rsid w:val="009260E7"/>
    <w:rsid w:val="00926141"/>
    <w:rsid w:val="00926D3E"/>
    <w:rsid w:val="0092725B"/>
    <w:rsid w:val="009301B7"/>
    <w:rsid w:val="009306F1"/>
    <w:rsid w:val="00930745"/>
    <w:rsid w:val="00930988"/>
    <w:rsid w:val="00930B49"/>
    <w:rsid w:val="00931417"/>
    <w:rsid w:val="00932104"/>
    <w:rsid w:val="009325C4"/>
    <w:rsid w:val="00932BD5"/>
    <w:rsid w:val="00932C64"/>
    <w:rsid w:val="00932F4E"/>
    <w:rsid w:val="00933748"/>
    <w:rsid w:val="009339A6"/>
    <w:rsid w:val="0093431D"/>
    <w:rsid w:val="009344C0"/>
    <w:rsid w:val="009370A4"/>
    <w:rsid w:val="009371D4"/>
    <w:rsid w:val="009379C4"/>
    <w:rsid w:val="00937C09"/>
    <w:rsid w:val="00940016"/>
    <w:rsid w:val="009403FC"/>
    <w:rsid w:val="009405A2"/>
    <w:rsid w:val="0094072B"/>
    <w:rsid w:val="00940AC6"/>
    <w:rsid w:val="00940C3E"/>
    <w:rsid w:val="00940FA1"/>
    <w:rsid w:val="0094104C"/>
    <w:rsid w:val="0094113B"/>
    <w:rsid w:val="00941665"/>
    <w:rsid w:val="00941A16"/>
    <w:rsid w:val="00941D44"/>
    <w:rsid w:val="009423A6"/>
    <w:rsid w:val="00942ACA"/>
    <w:rsid w:val="00942D8F"/>
    <w:rsid w:val="00943242"/>
    <w:rsid w:val="00943340"/>
    <w:rsid w:val="00943A47"/>
    <w:rsid w:val="00943C80"/>
    <w:rsid w:val="00943FC3"/>
    <w:rsid w:val="00944238"/>
    <w:rsid w:val="00944ABA"/>
    <w:rsid w:val="00945374"/>
    <w:rsid w:val="00945453"/>
    <w:rsid w:val="0094549D"/>
    <w:rsid w:val="009456AC"/>
    <w:rsid w:val="00945DD1"/>
    <w:rsid w:val="00945EF7"/>
    <w:rsid w:val="009460C8"/>
    <w:rsid w:val="00946730"/>
    <w:rsid w:val="009468FF"/>
    <w:rsid w:val="00947437"/>
    <w:rsid w:val="009474D9"/>
    <w:rsid w:val="00947596"/>
    <w:rsid w:val="00950E14"/>
    <w:rsid w:val="00950FA0"/>
    <w:rsid w:val="0095185B"/>
    <w:rsid w:val="00952301"/>
    <w:rsid w:val="0095293E"/>
    <w:rsid w:val="00952D38"/>
    <w:rsid w:val="00952DA2"/>
    <w:rsid w:val="0095392C"/>
    <w:rsid w:val="00953FAB"/>
    <w:rsid w:val="00955C31"/>
    <w:rsid w:val="009564F8"/>
    <w:rsid w:val="0096062E"/>
    <w:rsid w:val="0096070D"/>
    <w:rsid w:val="00960A02"/>
    <w:rsid w:val="00960ABC"/>
    <w:rsid w:val="00960BC7"/>
    <w:rsid w:val="00960DC7"/>
    <w:rsid w:val="00960F2F"/>
    <w:rsid w:val="00961B50"/>
    <w:rsid w:val="00961F71"/>
    <w:rsid w:val="00962350"/>
    <w:rsid w:val="00962DAB"/>
    <w:rsid w:val="009633D4"/>
    <w:rsid w:val="0096340A"/>
    <w:rsid w:val="00963486"/>
    <w:rsid w:val="0096377D"/>
    <w:rsid w:val="00963A48"/>
    <w:rsid w:val="00964405"/>
    <w:rsid w:val="009645F8"/>
    <w:rsid w:val="00964706"/>
    <w:rsid w:val="0096478B"/>
    <w:rsid w:val="00964BDD"/>
    <w:rsid w:val="00965F2F"/>
    <w:rsid w:val="00966216"/>
    <w:rsid w:val="00966243"/>
    <w:rsid w:val="0096649D"/>
    <w:rsid w:val="00966E30"/>
    <w:rsid w:val="0096746F"/>
    <w:rsid w:val="00967736"/>
    <w:rsid w:val="0096786B"/>
    <w:rsid w:val="00967AD9"/>
    <w:rsid w:val="00967C93"/>
    <w:rsid w:val="00967FD3"/>
    <w:rsid w:val="00971116"/>
    <w:rsid w:val="0097132D"/>
    <w:rsid w:val="00971357"/>
    <w:rsid w:val="009717E0"/>
    <w:rsid w:val="009718E8"/>
    <w:rsid w:val="00971A05"/>
    <w:rsid w:val="00971EAC"/>
    <w:rsid w:val="009721E2"/>
    <w:rsid w:val="0097244F"/>
    <w:rsid w:val="00972A08"/>
    <w:rsid w:val="00973098"/>
    <w:rsid w:val="009730F2"/>
    <w:rsid w:val="0097341E"/>
    <w:rsid w:val="00973FC4"/>
    <w:rsid w:val="00974708"/>
    <w:rsid w:val="00974C05"/>
    <w:rsid w:val="00974E41"/>
    <w:rsid w:val="009750ED"/>
    <w:rsid w:val="009752D4"/>
    <w:rsid w:val="00975F30"/>
    <w:rsid w:val="00976652"/>
    <w:rsid w:val="009767D1"/>
    <w:rsid w:val="00976B20"/>
    <w:rsid w:val="00976C23"/>
    <w:rsid w:val="009772C3"/>
    <w:rsid w:val="00977698"/>
    <w:rsid w:val="00977AB1"/>
    <w:rsid w:val="009806D3"/>
    <w:rsid w:val="00980A38"/>
    <w:rsid w:val="009816D8"/>
    <w:rsid w:val="00981ADF"/>
    <w:rsid w:val="00981D9C"/>
    <w:rsid w:val="0098265E"/>
    <w:rsid w:val="00983036"/>
    <w:rsid w:val="00983117"/>
    <w:rsid w:val="00983D98"/>
    <w:rsid w:val="00984325"/>
    <w:rsid w:val="00984898"/>
    <w:rsid w:val="009849BC"/>
    <w:rsid w:val="00984CC8"/>
    <w:rsid w:val="00984D0B"/>
    <w:rsid w:val="00984E7E"/>
    <w:rsid w:val="0098595E"/>
    <w:rsid w:val="009859F6"/>
    <w:rsid w:val="00985BE7"/>
    <w:rsid w:val="009869DE"/>
    <w:rsid w:val="00986B95"/>
    <w:rsid w:val="00986ED6"/>
    <w:rsid w:val="00986F3E"/>
    <w:rsid w:val="00987622"/>
    <w:rsid w:val="009877AC"/>
    <w:rsid w:val="00990FDE"/>
    <w:rsid w:val="00991763"/>
    <w:rsid w:val="00991CBF"/>
    <w:rsid w:val="00991CE8"/>
    <w:rsid w:val="00991D0C"/>
    <w:rsid w:val="00992510"/>
    <w:rsid w:val="00992B21"/>
    <w:rsid w:val="00993308"/>
    <w:rsid w:val="009933E1"/>
    <w:rsid w:val="00993433"/>
    <w:rsid w:val="00993CD0"/>
    <w:rsid w:val="009946DB"/>
    <w:rsid w:val="00994778"/>
    <w:rsid w:val="00994C3C"/>
    <w:rsid w:val="0099553F"/>
    <w:rsid w:val="00995CBC"/>
    <w:rsid w:val="0099602B"/>
    <w:rsid w:val="00996425"/>
    <w:rsid w:val="00996AAA"/>
    <w:rsid w:val="00997988"/>
    <w:rsid w:val="00997ACE"/>
    <w:rsid w:val="009A0441"/>
    <w:rsid w:val="009A05D5"/>
    <w:rsid w:val="009A069E"/>
    <w:rsid w:val="009A0A05"/>
    <w:rsid w:val="009A0ADF"/>
    <w:rsid w:val="009A0F76"/>
    <w:rsid w:val="009A11CD"/>
    <w:rsid w:val="009A1867"/>
    <w:rsid w:val="009A1A82"/>
    <w:rsid w:val="009A2258"/>
    <w:rsid w:val="009A2336"/>
    <w:rsid w:val="009A2745"/>
    <w:rsid w:val="009A275B"/>
    <w:rsid w:val="009A39DA"/>
    <w:rsid w:val="009A3A61"/>
    <w:rsid w:val="009A41E2"/>
    <w:rsid w:val="009A457D"/>
    <w:rsid w:val="009A5029"/>
    <w:rsid w:val="009A5ED0"/>
    <w:rsid w:val="009A661A"/>
    <w:rsid w:val="009A6BA0"/>
    <w:rsid w:val="009A6EEE"/>
    <w:rsid w:val="009A6F3A"/>
    <w:rsid w:val="009A7481"/>
    <w:rsid w:val="009A7592"/>
    <w:rsid w:val="009A77F9"/>
    <w:rsid w:val="009A7F0D"/>
    <w:rsid w:val="009B08A5"/>
    <w:rsid w:val="009B09FA"/>
    <w:rsid w:val="009B0CA5"/>
    <w:rsid w:val="009B0FB4"/>
    <w:rsid w:val="009B164E"/>
    <w:rsid w:val="009B164F"/>
    <w:rsid w:val="009B193B"/>
    <w:rsid w:val="009B2860"/>
    <w:rsid w:val="009B2AEE"/>
    <w:rsid w:val="009B2C88"/>
    <w:rsid w:val="009B2D65"/>
    <w:rsid w:val="009B2E02"/>
    <w:rsid w:val="009B40D9"/>
    <w:rsid w:val="009B42D2"/>
    <w:rsid w:val="009B42DC"/>
    <w:rsid w:val="009B4569"/>
    <w:rsid w:val="009B4E2E"/>
    <w:rsid w:val="009B5321"/>
    <w:rsid w:val="009B59B8"/>
    <w:rsid w:val="009B5ADC"/>
    <w:rsid w:val="009B682B"/>
    <w:rsid w:val="009B6CB9"/>
    <w:rsid w:val="009C0DA1"/>
    <w:rsid w:val="009C0FFA"/>
    <w:rsid w:val="009C1462"/>
    <w:rsid w:val="009C186C"/>
    <w:rsid w:val="009C23C0"/>
    <w:rsid w:val="009C24C0"/>
    <w:rsid w:val="009C26D9"/>
    <w:rsid w:val="009C3EB5"/>
    <w:rsid w:val="009C46F8"/>
    <w:rsid w:val="009C485A"/>
    <w:rsid w:val="009C50EC"/>
    <w:rsid w:val="009C50F9"/>
    <w:rsid w:val="009C52E1"/>
    <w:rsid w:val="009C5641"/>
    <w:rsid w:val="009C5752"/>
    <w:rsid w:val="009C5F9D"/>
    <w:rsid w:val="009C6627"/>
    <w:rsid w:val="009C682D"/>
    <w:rsid w:val="009C71B1"/>
    <w:rsid w:val="009C71BA"/>
    <w:rsid w:val="009C76F3"/>
    <w:rsid w:val="009C7A54"/>
    <w:rsid w:val="009C7DB5"/>
    <w:rsid w:val="009D03B6"/>
    <w:rsid w:val="009D0AC6"/>
    <w:rsid w:val="009D0B8D"/>
    <w:rsid w:val="009D0BCC"/>
    <w:rsid w:val="009D0ECF"/>
    <w:rsid w:val="009D0F9D"/>
    <w:rsid w:val="009D14D0"/>
    <w:rsid w:val="009D1834"/>
    <w:rsid w:val="009D194B"/>
    <w:rsid w:val="009D19E0"/>
    <w:rsid w:val="009D1A74"/>
    <w:rsid w:val="009D3DD8"/>
    <w:rsid w:val="009D40BB"/>
    <w:rsid w:val="009D549A"/>
    <w:rsid w:val="009D560D"/>
    <w:rsid w:val="009D5825"/>
    <w:rsid w:val="009D6F23"/>
    <w:rsid w:val="009D719A"/>
    <w:rsid w:val="009D7362"/>
    <w:rsid w:val="009D74D5"/>
    <w:rsid w:val="009D78D2"/>
    <w:rsid w:val="009E00A9"/>
    <w:rsid w:val="009E044D"/>
    <w:rsid w:val="009E09AB"/>
    <w:rsid w:val="009E1776"/>
    <w:rsid w:val="009E1B2A"/>
    <w:rsid w:val="009E24E0"/>
    <w:rsid w:val="009E2BA9"/>
    <w:rsid w:val="009E2F4B"/>
    <w:rsid w:val="009E328D"/>
    <w:rsid w:val="009E367A"/>
    <w:rsid w:val="009E39EE"/>
    <w:rsid w:val="009E3B55"/>
    <w:rsid w:val="009E3E21"/>
    <w:rsid w:val="009E4106"/>
    <w:rsid w:val="009E4160"/>
    <w:rsid w:val="009E420B"/>
    <w:rsid w:val="009E471A"/>
    <w:rsid w:val="009E4DB7"/>
    <w:rsid w:val="009E5087"/>
    <w:rsid w:val="009E60C1"/>
    <w:rsid w:val="009E61A2"/>
    <w:rsid w:val="009E62A9"/>
    <w:rsid w:val="009E62C6"/>
    <w:rsid w:val="009E6FBB"/>
    <w:rsid w:val="009E7512"/>
    <w:rsid w:val="009E7597"/>
    <w:rsid w:val="009E7D89"/>
    <w:rsid w:val="009E7F7C"/>
    <w:rsid w:val="009F093F"/>
    <w:rsid w:val="009F0CF0"/>
    <w:rsid w:val="009F12A4"/>
    <w:rsid w:val="009F1455"/>
    <w:rsid w:val="009F1628"/>
    <w:rsid w:val="009F180B"/>
    <w:rsid w:val="009F22CD"/>
    <w:rsid w:val="009F286C"/>
    <w:rsid w:val="009F2B5C"/>
    <w:rsid w:val="009F2ECD"/>
    <w:rsid w:val="009F3140"/>
    <w:rsid w:val="009F33E3"/>
    <w:rsid w:val="009F3627"/>
    <w:rsid w:val="009F413E"/>
    <w:rsid w:val="009F4763"/>
    <w:rsid w:val="009F4835"/>
    <w:rsid w:val="009F4861"/>
    <w:rsid w:val="009F4A77"/>
    <w:rsid w:val="009F4BAD"/>
    <w:rsid w:val="009F534E"/>
    <w:rsid w:val="009F5512"/>
    <w:rsid w:val="009F5608"/>
    <w:rsid w:val="009F577A"/>
    <w:rsid w:val="009F5944"/>
    <w:rsid w:val="009F5988"/>
    <w:rsid w:val="009F6255"/>
    <w:rsid w:val="009F6837"/>
    <w:rsid w:val="009F735E"/>
    <w:rsid w:val="009F743B"/>
    <w:rsid w:val="009F7932"/>
    <w:rsid w:val="009F7A88"/>
    <w:rsid w:val="00A001BF"/>
    <w:rsid w:val="00A004D6"/>
    <w:rsid w:val="00A01098"/>
    <w:rsid w:val="00A010BB"/>
    <w:rsid w:val="00A01B1E"/>
    <w:rsid w:val="00A0296E"/>
    <w:rsid w:val="00A02D0A"/>
    <w:rsid w:val="00A02FB1"/>
    <w:rsid w:val="00A03339"/>
    <w:rsid w:val="00A037DB"/>
    <w:rsid w:val="00A04154"/>
    <w:rsid w:val="00A0444A"/>
    <w:rsid w:val="00A04CB9"/>
    <w:rsid w:val="00A04D6C"/>
    <w:rsid w:val="00A055E0"/>
    <w:rsid w:val="00A0570F"/>
    <w:rsid w:val="00A05F6A"/>
    <w:rsid w:val="00A06052"/>
    <w:rsid w:val="00A0748E"/>
    <w:rsid w:val="00A07760"/>
    <w:rsid w:val="00A07967"/>
    <w:rsid w:val="00A07FA2"/>
    <w:rsid w:val="00A10705"/>
    <w:rsid w:val="00A10BE2"/>
    <w:rsid w:val="00A11164"/>
    <w:rsid w:val="00A11290"/>
    <w:rsid w:val="00A11725"/>
    <w:rsid w:val="00A12073"/>
    <w:rsid w:val="00A12893"/>
    <w:rsid w:val="00A12C49"/>
    <w:rsid w:val="00A1380B"/>
    <w:rsid w:val="00A14100"/>
    <w:rsid w:val="00A14126"/>
    <w:rsid w:val="00A14C38"/>
    <w:rsid w:val="00A15954"/>
    <w:rsid w:val="00A15AC6"/>
    <w:rsid w:val="00A15D28"/>
    <w:rsid w:val="00A15D81"/>
    <w:rsid w:val="00A1618B"/>
    <w:rsid w:val="00A16291"/>
    <w:rsid w:val="00A165FD"/>
    <w:rsid w:val="00A1698D"/>
    <w:rsid w:val="00A16D5B"/>
    <w:rsid w:val="00A16EED"/>
    <w:rsid w:val="00A17112"/>
    <w:rsid w:val="00A171D6"/>
    <w:rsid w:val="00A1720E"/>
    <w:rsid w:val="00A176C8"/>
    <w:rsid w:val="00A2120D"/>
    <w:rsid w:val="00A21F57"/>
    <w:rsid w:val="00A22662"/>
    <w:rsid w:val="00A22F3F"/>
    <w:rsid w:val="00A22FC4"/>
    <w:rsid w:val="00A23050"/>
    <w:rsid w:val="00A23094"/>
    <w:rsid w:val="00A231BB"/>
    <w:rsid w:val="00A231EE"/>
    <w:rsid w:val="00A23661"/>
    <w:rsid w:val="00A23D58"/>
    <w:rsid w:val="00A241B8"/>
    <w:rsid w:val="00A24834"/>
    <w:rsid w:val="00A24882"/>
    <w:rsid w:val="00A249FE"/>
    <w:rsid w:val="00A2537C"/>
    <w:rsid w:val="00A25DF3"/>
    <w:rsid w:val="00A261B1"/>
    <w:rsid w:val="00A262B7"/>
    <w:rsid w:val="00A26CFC"/>
    <w:rsid w:val="00A26D13"/>
    <w:rsid w:val="00A272BB"/>
    <w:rsid w:val="00A27522"/>
    <w:rsid w:val="00A27542"/>
    <w:rsid w:val="00A2785E"/>
    <w:rsid w:val="00A27961"/>
    <w:rsid w:val="00A27EB3"/>
    <w:rsid w:val="00A30141"/>
    <w:rsid w:val="00A30759"/>
    <w:rsid w:val="00A30860"/>
    <w:rsid w:val="00A317C8"/>
    <w:rsid w:val="00A31B6D"/>
    <w:rsid w:val="00A31F0F"/>
    <w:rsid w:val="00A3261C"/>
    <w:rsid w:val="00A32A47"/>
    <w:rsid w:val="00A33ADE"/>
    <w:rsid w:val="00A33C46"/>
    <w:rsid w:val="00A35DB4"/>
    <w:rsid w:val="00A36314"/>
    <w:rsid w:val="00A36594"/>
    <w:rsid w:val="00A3667C"/>
    <w:rsid w:val="00A371A1"/>
    <w:rsid w:val="00A40E0C"/>
    <w:rsid w:val="00A40F1C"/>
    <w:rsid w:val="00A43029"/>
    <w:rsid w:val="00A43123"/>
    <w:rsid w:val="00A43305"/>
    <w:rsid w:val="00A43AF3"/>
    <w:rsid w:val="00A43FF6"/>
    <w:rsid w:val="00A4421D"/>
    <w:rsid w:val="00A444AB"/>
    <w:rsid w:val="00A44544"/>
    <w:rsid w:val="00A450E9"/>
    <w:rsid w:val="00A45874"/>
    <w:rsid w:val="00A45A0C"/>
    <w:rsid w:val="00A45B01"/>
    <w:rsid w:val="00A45DC6"/>
    <w:rsid w:val="00A47497"/>
    <w:rsid w:val="00A47A73"/>
    <w:rsid w:val="00A5011B"/>
    <w:rsid w:val="00A5062B"/>
    <w:rsid w:val="00A51E00"/>
    <w:rsid w:val="00A5218C"/>
    <w:rsid w:val="00A5311A"/>
    <w:rsid w:val="00A536C4"/>
    <w:rsid w:val="00A53C9A"/>
    <w:rsid w:val="00A53FC6"/>
    <w:rsid w:val="00A54C9E"/>
    <w:rsid w:val="00A54F52"/>
    <w:rsid w:val="00A5527A"/>
    <w:rsid w:val="00A554E0"/>
    <w:rsid w:val="00A55BF2"/>
    <w:rsid w:val="00A55DE6"/>
    <w:rsid w:val="00A55F4C"/>
    <w:rsid w:val="00A55F5B"/>
    <w:rsid w:val="00A560BB"/>
    <w:rsid w:val="00A56140"/>
    <w:rsid w:val="00A5638B"/>
    <w:rsid w:val="00A56CC4"/>
    <w:rsid w:val="00A56DD5"/>
    <w:rsid w:val="00A574E8"/>
    <w:rsid w:val="00A5798B"/>
    <w:rsid w:val="00A604DC"/>
    <w:rsid w:val="00A60D92"/>
    <w:rsid w:val="00A615EA"/>
    <w:rsid w:val="00A616CE"/>
    <w:rsid w:val="00A61880"/>
    <w:rsid w:val="00A6196F"/>
    <w:rsid w:val="00A62356"/>
    <w:rsid w:val="00A627A3"/>
    <w:rsid w:val="00A628C6"/>
    <w:rsid w:val="00A62912"/>
    <w:rsid w:val="00A62BD5"/>
    <w:rsid w:val="00A63CDC"/>
    <w:rsid w:val="00A64097"/>
    <w:rsid w:val="00A64864"/>
    <w:rsid w:val="00A64B87"/>
    <w:rsid w:val="00A64B9E"/>
    <w:rsid w:val="00A65020"/>
    <w:rsid w:val="00A65EFC"/>
    <w:rsid w:val="00A666E3"/>
    <w:rsid w:val="00A66BD7"/>
    <w:rsid w:val="00A676E9"/>
    <w:rsid w:val="00A701C3"/>
    <w:rsid w:val="00A70574"/>
    <w:rsid w:val="00A706A7"/>
    <w:rsid w:val="00A70B81"/>
    <w:rsid w:val="00A70FB0"/>
    <w:rsid w:val="00A7130A"/>
    <w:rsid w:val="00A714A2"/>
    <w:rsid w:val="00A71559"/>
    <w:rsid w:val="00A71958"/>
    <w:rsid w:val="00A71BB0"/>
    <w:rsid w:val="00A71F1A"/>
    <w:rsid w:val="00A722C9"/>
    <w:rsid w:val="00A72ED1"/>
    <w:rsid w:val="00A7308A"/>
    <w:rsid w:val="00A730A8"/>
    <w:rsid w:val="00A73281"/>
    <w:rsid w:val="00A73E7C"/>
    <w:rsid w:val="00A74414"/>
    <w:rsid w:val="00A74498"/>
    <w:rsid w:val="00A74782"/>
    <w:rsid w:val="00A748CE"/>
    <w:rsid w:val="00A74DA5"/>
    <w:rsid w:val="00A7521B"/>
    <w:rsid w:val="00A75405"/>
    <w:rsid w:val="00A75793"/>
    <w:rsid w:val="00A75D8E"/>
    <w:rsid w:val="00A760A0"/>
    <w:rsid w:val="00A76C57"/>
    <w:rsid w:val="00A76C9E"/>
    <w:rsid w:val="00A77E5C"/>
    <w:rsid w:val="00A80B81"/>
    <w:rsid w:val="00A81144"/>
    <w:rsid w:val="00A823BF"/>
    <w:rsid w:val="00A83097"/>
    <w:rsid w:val="00A83579"/>
    <w:rsid w:val="00A83F3D"/>
    <w:rsid w:val="00A842ED"/>
    <w:rsid w:val="00A8457E"/>
    <w:rsid w:val="00A84C92"/>
    <w:rsid w:val="00A84D40"/>
    <w:rsid w:val="00A865E3"/>
    <w:rsid w:val="00A8674B"/>
    <w:rsid w:val="00A86829"/>
    <w:rsid w:val="00A868B9"/>
    <w:rsid w:val="00A86DF2"/>
    <w:rsid w:val="00A879F1"/>
    <w:rsid w:val="00A87F53"/>
    <w:rsid w:val="00A90188"/>
    <w:rsid w:val="00A90296"/>
    <w:rsid w:val="00A905F8"/>
    <w:rsid w:val="00A9076B"/>
    <w:rsid w:val="00A91139"/>
    <w:rsid w:val="00A914DE"/>
    <w:rsid w:val="00A91AE8"/>
    <w:rsid w:val="00A91D8A"/>
    <w:rsid w:val="00A924A4"/>
    <w:rsid w:val="00A926CC"/>
    <w:rsid w:val="00A92BF9"/>
    <w:rsid w:val="00A944F6"/>
    <w:rsid w:val="00A95186"/>
    <w:rsid w:val="00A95C61"/>
    <w:rsid w:val="00A9632F"/>
    <w:rsid w:val="00A96400"/>
    <w:rsid w:val="00A9685E"/>
    <w:rsid w:val="00AA0661"/>
    <w:rsid w:val="00AA1446"/>
    <w:rsid w:val="00AA19CD"/>
    <w:rsid w:val="00AA1AA1"/>
    <w:rsid w:val="00AA2127"/>
    <w:rsid w:val="00AA2189"/>
    <w:rsid w:val="00AA22B8"/>
    <w:rsid w:val="00AA2400"/>
    <w:rsid w:val="00AA2EBE"/>
    <w:rsid w:val="00AA2F10"/>
    <w:rsid w:val="00AA3B5D"/>
    <w:rsid w:val="00AA3BF4"/>
    <w:rsid w:val="00AA3FBA"/>
    <w:rsid w:val="00AA47D6"/>
    <w:rsid w:val="00AA5391"/>
    <w:rsid w:val="00AA5AB8"/>
    <w:rsid w:val="00AA5CCE"/>
    <w:rsid w:val="00AA5E11"/>
    <w:rsid w:val="00AA674C"/>
    <w:rsid w:val="00AA7076"/>
    <w:rsid w:val="00AA7C14"/>
    <w:rsid w:val="00AB0946"/>
    <w:rsid w:val="00AB0DD5"/>
    <w:rsid w:val="00AB10AD"/>
    <w:rsid w:val="00AB1646"/>
    <w:rsid w:val="00AB16A2"/>
    <w:rsid w:val="00AB1E73"/>
    <w:rsid w:val="00AB1FF5"/>
    <w:rsid w:val="00AB252D"/>
    <w:rsid w:val="00AB2542"/>
    <w:rsid w:val="00AB2A13"/>
    <w:rsid w:val="00AB31BE"/>
    <w:rsid w:val="00AB39A4"/>
    <w:rsid w:val="00AB3BD8"/>
    <w:rsid w:val="00AB432D"/>
    <w:rsid w:val="00AB4493"/>
    <w:rsid w:val="00AB4720"/>
    <w:rsid w:val="00AB5511"/>
    <w:rsid w:val="00AB5512"/>
    <w:rsid w:val="00AB59C9"/>
    <w:rsid w:val="00AB6151"/>
    <w:rsid w:val="00AB6389"/>
    <w:rsid w:val="00AB6741"/>
    <w:rsid w:val="00AB67D1"/>
    <w:rsid w:val="00AB7569"/>
    <w:rsid w:val="00AB7FBC"/>
    <w:rsid w:val="00AC1343"/>
    <w:rsid w:val="00AC197E"/>
    <w:rsid w:val="00AC1C43"/>
    <w:rsid w:val="00AC3BC5"/>
    <w:rsid w:val="00AC3DE3"/>
    <w:rsid w:val="00AC4154"/>
    <w:rsid w:val="00AC4DE3"/>
    <w:rsid w:val="00AC5172"/>
    <w:rsid w:val="00AC57D7"/>
    <w:rsid w:val="00AC657B"/>
    <w:rsid w:val="00AC6C60"/>
    <w:rsid w:val="00AC73E2"/>
    <w:rsid w:val="00AC7FEE"/>
    <w:rsid w:val="00AD03C3"/>
    <w:rsid w:val="00AD145C"/>
    <w:rsid w:val="00AD1501"/>
    <w:rsid w:val="00AD19B7"/>
    <w:rsid w:val="00AD2B9E"/>
    <w:rsid w:val="00AD330F"/>
    <w:rsid w:val="00AD356C"/>
    <w:rsid w:val="00AD36F9"/>
    <w:rsid w:val="00AD3BFD"/>
    <w:rsid w:val="00AD4591"/>
    <w:rsid w:val="00AD47DF"/>
    <w:rsid w:val="00AD4E55"/>
    <w:rsid w:val="00AD50A5"/>
    <w:rsid w:val="00AD5268"/>
    <w:rsid w:val="00AD5BF0"/>
    <w:rsid w:val="00AD6750"/>
    <w:rsid w:val="00AD6846"/>
    <w:rsid w:val="00AD6A30"/>
    <w:rsid w:val="00AD740C"/>
    <w:rsid w:val="00AD74FE"/>
    <w:rsid w:val="00AD76E0"/>
    <w:rsid w:val="00AD77F0"/>
    <w:rsid w:val="00AD7DC4"/>
    <w:rsid w:val="00AD7EAF"/>
    <w:rsid w:val="00AE02A3"/>
    <w:rsid w:val="00AE03D1"/>
    <w:rsid w:val="00AE04D3"/>
    <w:rsid w:val="00AE097C"/>
    <w:rsid w:val="00AE12E0"/>
    <w:rsid w:val="00AE1654"/>
    <w:rsid w:val="00AE197B"/>
    <w:rsid w:val="00AE1B41"/>
    <w:rsid w:val="00AE21B1"/>
    <w:rsid w:val="00AE2F7F"/>
    <w:rsid w:val="00AE45B4"/>
    <w:rsid w:val="00AE4EF6"/>
    <w:rsid w:val="00AE508A"/>
    <w:rsid w:val="00AE524B"/>
    <w:rsid w:val="00AE52AF"/>
    <w:rsid w:val="00AE585C"/>
    <w:rsid w:val="00AE586D"/>
    <w:rsid w:val="00AE5A40"/>
    <w:rsid w:val="00AE6542"/>
    <w:rsid w:val="00AE6D04"/>
    <w:rsid w:val="00AE72F3"/>
    <w:rsid w:val="00AE7910"/>
    <w:rsid w:val="00AE7ECA"/>
    <w:rsid w:val="00AF0EB7"/>
    <w:rsid w:val="00AF175D"/>
    <w:rsid w:val="00AF1A50"/>
    <w:rsid w:val="00AF26DC"/>
    <w:rsid w:val="00AF3562"/>
    <w:rsid w:val="00AF363B"/>
    <w:rsid w:val="00AF4BCA"/>
    <w:rsid w:val="00AF5175"/>
    <w:rsid w:val="00AF51F0"/>
    <w:rsid w:val="00AF55C9"/>
    <w:rsid w:val="00AF5FD6"/>
    <w:rsid w:val="00AF6054"/>
    <w:rsid w:val="00AF69E7"/>
    <w:rsid w:val="00AF7775"/>
    <w:rsid w:val="00AF7801"/>
    <w:rsid w:val="00AF7C4E"/>
    <w:rsid w:val="00B00534"/>
    <w:rsid w:val="00B00970"/>
    <w:rsid w:val="00B034F9"/>
    <w:rsid w:val="00B041B0"/>
    <w:rsid w:val="00B047CA"/>
    <w:rsid w:val="00B04D17"/>
    <w:rsid w:val="00B04FCD"/>
    <w:rsid w:val="00B05701"/>
    <w:rsid w:val="00B05D1E"/>
    <w:rsid w:val="00B06997"/>
    <w:rsid w:val="00B06C4B"/>
    <w:rsid w:val="00B06E85"/>
    <w:rsid w:val="00B07ABE"/>
    <w:rsid w:val="00B1012C"/>
    <w:rsid w:val="00B102C3"/>
    <w:rsid w:val="00B10321"/>
    <w:rsid w:val="00B104F3"/>
    <w:rsid w:val="00B10CD4"/>
    <w:rsid w:val="00B10CDD"/>
    <w:rsid w:val="00B10FBF"/>
    <w:rsid w:val="00B1139D"/>
    <w:rsid w:val="00B11672"/>
    <w:rsid w:val="00B1175F"/>
    <w:rsid w:val="00B11B58"/>
    <w:rsid w:val="00B12276"/>
    <w:rsid w:val="00B123C1"/>
    <w:rsid w:val="00B1356C"/>
    <w:rsid w:val="00B16262"/>
    <w:rsid w:val="00B16399"/>
    <w:rsid w:val="00B16FB0"/>
    <w:rsid w:val="00B1709A"/>
    <w:rsid w:val="00B1757F"/>
    <w:rsid w:val="00B179D1"/>
    <w:rsid w:val="00B17DBA"/>
    <w:rsid w:val="00B20A44"/>
    <w:rsid w:val="00B21147"/>
    <w:rsid w:val="00B21340"/>
    <w:rsid w:val="00B21714"/>
    <w:rsid w:val="00B21B6D"/>
    <w:rsid w:val="00B21E99"/>
    <w:rsid w:val="00B22DE1"/>
    <w:rsid w:val="00B237A5"/>
    <w:rsid w:val="00B2396A"/>
    <w:rsid w:val="00B23E95"/>
    <w:rsid w:val="00B24E69"/>
    <w:rsid w:val="00B2604B"/>
    <w:rsid w:val="00B2610B"/>
    <w:rsid w:val="00B26242"/>
    <w:rsid w:val="00B26552"/>
    <w:rsid w:val="00B26677"/>
    <w:rsid w:val="00B26921"/>
    <w:rsid w:val="00B26B4E"/>
    <w:rsid w:val="00B26E73"/>
    <w:rsid w:val="00B26EDE"/>
    <w:rsid w:val="00B301AA"/>
    <w:rsid w:val="00B307AC"/>
    <w:rsid w:val="00B313E2"/>
    <w:rsid w:val="00B32356"/>
    <w:rsid w:val="00B32E55"/>
    <w:rsid w:val="00B33100"/>
    <w:rsid w:val="00B3344B"/>
    <w:rsid w:val="00B33663"/>
    <w:rsid w:val="00B33FA9"/>
    <w:rsid w:val="00B3477A"/>
    <w:rsid w:val="00B3495E"/>
    <w:rsid w:val="00B34ADD"/>
    <w:rsid w:val="00B34AE8"/>
    <w:rsid w:val="00B34C5B"/>
    <w:rsid w:val="00B34D95"/>
    <w:rsid w:val="00B351AD"/>
    <w:rsid w:val="00B35287"/>
    <w:rsid w:val="00B37346"/>
    <w:rsid w:val="00B37AF1"/>
    <w:rsid w:val="00B40580"/>
    <w:rsid w:val="00B4072B"/>
    <w:rsid w:val="00B408ED"/>
    <w:rsid w:val="00B4101B"/>
    <w:rsid w:val="00B412E5"/>
    <w:rsid w:val="00B422E2"/>
    <w:rsid w:val="00B428B4"/>
    <w:rsid w:val="00B42F70"/>
    <w:rsid w:val="00B43503"/>
    <w:rsid w:val="00B43660"/>
    <w:rsid w:val="00B43665"/>
    <w:rsid w:val="00B43995"/>
    <w:rsid w:val="00B450D6"/>
    <w:rsid w:val="00B45F93"/>
    <w:rsid w:val="00B4630E"/>
    <w:rsid w:val="00B46A81"/>
    <w:rsid w:val="00B4702F"/>
    <w:rsid w:val="00B47161"/>
    <w:rsid w:val="00B476B6"/>
    <w:rsid w:val="00B478FF"/>
    <w:rsid w:val="00B47D95"/>
    <w:rsid w:val="00B507D9"/>
    <w:rsid w:val="00B509F5"/>
    <w:rsid w:val="00B50CB6"/>
    <w:rsid w:val="00B50FD3"/>
    <w:rsid w:val="00B51C01"/>
    <w:rsid w:val="00B525B0"/>
    <w:rsid w:val="00B52E1C"/>
    <w:rsid w:val="00B53080"/>
    <w:rsid w:val="00B53649"/>
    <w:rsid w:val="00B540F0"/>
    <w:rsid w:val="00B54A75"/>
    <w:rsid w:val="00B5535B"/>
    <w:rsid w:val="00B5609F"/>
    <w:rsid w:val="00B56CDC"/>
    <w:rsid w:val="00B571CF"/>
    <w:rsid w:val="00B575AB"/>
    <w:rsid w:val="00B5772F"/>
    <w:rsid w:val="00B604E8"/>
    <w:rsid w:val="00B60889"/>
    <w:rsid w:val="00B610D8"/>
    <w:rsid w:val="00B6116C"/>
    <w:rsid w:val="00B611D9"/>
    <w:rsid w:val="00B61511"/>
    <w:rsid w:val="00B61872"/>
    <w:rsid w:val="00B62206"/>
    <w:rsid w:val="00B625E6"/>
    <w:rsid w:val="00B62B09"/>
    <w:rsid w:val="00B62D3F"/>
    <w:rsid w:val="00B63024"/>
    <w:rsid w:val="00B63113"/>
    <w:rsid w:val="00B63864"/>
    <w:rsid w:val="00B639BB"/>
    <w:rsid w:val="00B6422E"/>
    <w:rsid w:val="00B64BBF"/>
    <w:rsid w:val="00B64E69"/>
    <w:rsid w:val="00B6530A"/>
    <w:rsid w:val="00B65DCF"/>
    <w:rsid w:val="00B66125"/>
    <w:rsid w:val="00B664BE"/>
    <w:rsid w:val="00B70627"/>
    <w:rsid w:val="00B7088F"/>
    <w:rsid w:val="00B70952"/>
    <w:rsid w:val="00B70AD8"/>
    <w:rsid w:val="00B70BFE"/>
    <w:rsid w:val="00B71118"/>
    <w:rsid w:val="00B7112F"/>
    <w:rsid w:val="00B7160B"/>
    <w:rsid w:val="00B7328C"/>
    <w:rsid w:val="00B73526"/>
    <w:rsid w:val="00B74030"/>
    <w:rsid w:val="00B740A8"/>
    <w:rsid w:val="00B742B6"/>
    <w:rsid w:val="00B74D65"/>
    <w:rsid w:val="00B753FF"/>
    <w:rsid w:val="00B75C74"/>
    <w:rsid w:val="00B75ED6"/>
    <w:rsid w:val="00B75FB7"/>
    <w:rsid w:val="00B76574"/>
    <w:rsid w:val="00B7668D"/>
    <w:rsid w:val="00B76FF7"/>
    <w:rsid w:val="00B7752F"/>
    <w:rsid w:val="00B77A9F"/>
    <w:rsid w:val="00B77D00"/>
    <w:rsid w:val="00B806EB"/>
    <w:rsid w:val="00B80A43"/>
    <w:rsid w:val="00B80A61"/>
    <w:rsid w:val="00B80BF7"/>
    <w:rsid w:val="00B80D2F"/>
    <w:rsid w:val="00B81753"/>
    <w:rsid w:val="00B81EC4"/>
    <w:rsid w:val="00B82D22"/>
    <w:rsid w:val="00B830AD"/>
    <w:rsid w:val="00B83A7D"/>
    <w:rsid w:val="00B83B30"/>
    <w:rsid w:val="00B83F78"/>
    <w:rsid w:val="00B84787"/>
    <w:rsid w:val="00B8481D"/>
    <w:rsid w:val="00B851AE"/>
    <w:rsid w:val="00B85EB6"/>
    <w:rsid w:val="00B85F93"/>
    <w:rsid w:val="00B85FDD"/>
    <w:rsid w:val="00B863A0"/>
    <w:rsid w:val="00B87130"/>
    <w:rsid w:val="00B874C0"/>
    <w:rsid w:val="00B87EBB"/>
    <w:rsid w:val="00B900F2"/>
    <w:rsid w:val="00B9080E"/>
    <w:rsid w:val="00B90FC2"/>
    <w:rsid w:val="00B91D82"/>
    <w:rsid w:val="00B91DA2"/>
    <w:rsid w:val="00B91F97"/>
    <w:rsid w:val="00B925F3"/>
    <w:rsid w:val="00B927DA"/>
    <w:rsid w:val="00B92C10"/>
    <w:rsid w:val="00B937A3"/>
    <w:rsid w:val="00B9385F"/>
    <w:rsid w:val="00B93C32"/>
    <w:rsid w:val="00B93C3D"/>
    <w:rsid w:val="00B94534"/>
    <w:rsid w:val="00B94E1B"/>
    <w:rsid w:val="00B94E4E"/>
    <w:rsid w:val="00B955FE"/>
    <w:rsid w:val="00B9588B"/>
    <w:rsid w:val="00B961C1"/>
    <w:rsid w:val="00B966C1"/>
    <w:rsid w:val="00B96B78"/>
    <w:rsid w:val="00B96F8D"/>
    <w:rsid w:val="00B972C3"/>
    <w:rsid w:val="00B97EDB"/>
    <w:rsid w:val="00BA05D0"/>
    <w:rsid w:val="00BA0D9B"/>
    <w:rsid w:val="00BA12DC"/>
    <w:rsid w:val="00BA2F07"/>
    <w:rsid w:val="00BA31F3"/>
    <w:rsid w:val="00BA3DAB"/>
    <w:rsid w:val="00BA43AD"/>
    <w:rsid w:val="00BA517B"/>
    <w:rsid w:val="00BA52EB"/>
    <w:rsid w:val="00BA5979"/>
    <w:rsid w:val="00BA5BDD"/>
    <w:rsid w:val="00BA5F21"/>
    <w:rsid w:val="00BA5F45"/>
    <w:rsid w:val="00BA5FEE"/>
    <w:rsid w:val="00BA60AB"/>
    <w:rsid w:val="00BA63AC"/>
    <w:rsid w:val="00BA63EF"/>
    <w:rsid w:val="00BA64FD"/>
    <w:rsid w:val="00BA67D6"/>
    <w:rsid w:val="00BA704A"/>
    <w:rsid w:val="00BA7071"/>
    <w:rsid w:val="00BA787F"/>
    <w:rsid w:val="00BA794E"/>
    <w:rsid w:val="00BA7E76"/>
    <w:rsid w:val="00BB0BFF"/>
    <w:rsid w:val="00BB118D"/>
    <w:rsid w:val="00BB15C2"/>
    <w:rsid w:val="00BB1B5C"/>
    <w:rsid w:val="00BB1D67"/>
    <w:rsid w:val="00BB1FBF"/>
    <w:rsid w:val="00BB22CD"/>
    <w:rsid w:val="00BB24DA"/>
    <w:rsid w:val="00BB25CC"/>
    <w:rsid w:val="00BB2899"/>
    <w:rsid w:val="00BB3331"/>
    <w:rsid w:val="00BB3A74"/>
    <w:rsid w:val="00BB3B8C"/>
    <w:rsid w:val="00BB402E"/>
    <w:rsid w:val="00BB4482"/>
    <w:rsid w:val="00BB4CCF"/>
    <w:rsid w:val="00BB4F82"/>
    <w:rsid w:val="00BB5280"/>
    <w:rsid w:val="00BB54C9"/>
    <w:rsid w:val="00BB5E4C"/>
    <w:rsid w:val="00BB64FB"/>
    <w:rsid w:val="00BB6690"/>
    <w:rsid w:val="00BB66B1"/>
    <w:rsid w:val="00BB6A96"/>
    <w:rsid w:val="00BB6D09"/>
    <w:rsid w:val="00BB707F"/>
    <w:rsid w:val="00BB759C"/>
    <w:rsid w:val="00BB7678"/>
    <w:rsid w:val="00BB7932"/>
    <w:rsid w:val="00BB7B74"/>
    <w:rsid w:val="00BC0AE3"/>
    <w:rsid w:val="00BC0EB5"/>
    <w:rsid w:val="00BC1B48"/>
    <w:rsid w:val="00BC1BA7"/>
    <w:rsid w:val="00BC1F78"/>
    <w:rsid w:val="00BC20CC"/>
    <w:rsid w:val="00BC270E"/>
    <w:rsid w:val="00BC2EFF"/>
    <w:rsid w:val="00BC3BB4"/>
    <w:rsid w:val="00BC45AE"/>
    <w:rsid w:val="00BC4791"/>
    <w:rsid w:val="00BC4903"/>
    <w:rsid w:val="00BC4B23"/>
    <w:rsid w:val="00BC4D61"/>
    <w:rsid w:val="00BC5120"/>
    <w:rsid w:val="00BC51DF"/>
    <w:rsid w:val="00BC5590"/>
    <w:rsid w:val="00BC5B35"/>
    <w:rsid w:val="00BC6374"/>
    <w:rsid w:val="00BC6DCD"/>
    <w:rsid w:val="00BC7280"/>
    <w:rsid w:val="00BC7480"/>
    <w:rsid w:val="00BD03E4"/>
    <w:rsid w:val="00BD05AE"/>
    <w:rsid w:val="00BD08D1"/>
    <w:rsid w:val="00BD094C"/>
    <w:rsid w:val="00BD0BE2"/>
    <w:rsid w:val="00BD0CE3"/>
    <w:rsid w:val="00BD12DA"/>
    <w:rsid w:val="00BD132B"/>
    <w:rsid w:val="00BD14D8"/>
    <w:rsid w:val="00BD24DD"/>
    <w:rsid w:val="00BD26FF"/>
    <w:rsid w:val="00BD331B"/>
    <w:rsid w:val="00BD3432"/>
    <w:rsid w:val="00BD3676"/>
    <w:rsid w:val="00BD3DE9"/>
    <w:rsid w:val="00BD3E7B"/>
    <w:rsid w:val="00BD44AC"/>
    <w:rsid w:val="00BD4915"/>
    <w:rsid w:val="00BD5273"/>
    <w:rsid w:val="00BD5524"/>
    <w:rsid w:val="00BD6D51"/>
    <w:rsid w:val="00BD7B23"/>
    <w:rsid w:val="00BE0CA8"/>
    <w:rsid w:val="00BE25F9"/>
    <w:rsid w:val="00BE2F14"/>
    <w:rsid w:val="00BE303D"/>
    <w:rsid w:val="00BE3A09"/>
    <w:rsid w:val="00BE3A12"/>
    <w:rsid w:val="00BE3A8F"/>
    <w:rsid w:val="00BE460F"/>
    <w:rsid w:val="00BE4844"/>
    <w:rsid w:val="00BE6447"/>
    <w:rsid w:val="00BE648F"/>
    <w:rsid w:val="00BE65AF"/>
    <w:rsid w:val="00BE65EB"/>
    <w:rsid w:val="00BE663A"/>
    <w:rsid w:val="00BE6794"/>
    <w:rsid w:val="00BE6DCD"/>
    <w:rsid w:val="00BE6FAE"/>
    <w:rsid w:val="00BE738B"/>
    <w:rsid w:val="00BF00BA"/>
    <w:rsid w:val="00BF01BF"/>
    <w:rsid w:val="00BF0874"/>
    <w:rsid w:val="00BF0B9B"/>
    <w:rsid w:val="00BF1063"/>
    <w:rsid w:val="00BF1532"/>
    <w:rsid w:val="00BF223F"/>
    <w:rsid w:val="00BF234C"/>
    <w:rsid w:val="00BF23FB"/>
    <w:rsid w:val="00BF281E"/>
    <w:rsid w:val="00BF2CF6"/>
    <w:rsid w:val="00BF3075"/>
    <w:rsid w:val="00BF35B6"/>
    <w:rsid w:val="00BF3B91"/>
    <w:rsid w:val="00BF3F8E"/>
    <w:rsid w:val="00BF3FB8"/>
    <w:rsid w:val="00BF45A9"/>
    <w:rsid w:val="00BF46E9"/>
    <w:rsid w:val="00BF478A"/>
    <w:rsid w:val="00BF4AB9"/>
    <w:rsid w:val="00BF4D39"/>
    <w:rsid w:val="00BF55AF"/>
    <w:rsid w:val="00BF5627"/>
    <w:rsid w:val="00BF57DA"/>
    <w:rsid w:val="00BF65C1"/>
    <w:rsid w:val="00BF6C44"/>
    <w:rsid w:val="00BF7140"/>
    <w:rsid w:val="00BF73CA"/>
    <w:rsid w:val="00BF7592"/>
    <w:rsid w:val="00BF7E16"/>
    <w:rsid w:val="00C00297"/>
    <w:rsid w:val="00C0153B"/>
    <w:rsid w:val="00C01B78"/>
    <w:rsid w:val="00C025C4"/>
    <w:rsid w:val="00C02984"/>
    <w:rsid w:val="00C02E23"/>
    <w:rsid w:val="00C031C5"/>
    <w:rsid w:val="00C0320A"/>
    <w:rsid w:val="00C033E1"/>
    <w:rsid w:val="00C036E1"/>
    <w:rsid w:val="00C03990"/>
    <w:rsid w:val="00C0412E"/>
    <w:rsid w:val="00C04B29"/>
    <w:rsid w:val="00C059E2"/>
    <w:rsid w:val="00C05B59"/>
    <w:rsid w:val="00C06EA4"/>
    <w:rsid w:val="00C06EEF"/>
    <w:rsid w:val="00C07015"/>
    <w:rsid w:val="00C07788"/>
    <w:rsid w:val="00C07DC5"/>
    <w:rsid w:val="00C07DD4"/>
    <w:rsid w:val="00C10DFF"/>
    <w:rsid w:val="00C11028"/>
    <w:rsid w:val="00C11192"/>
    <w:rsid w:val="00C11293"/>
    <w:rsid w:val="00C127DD"/>
    <w:rsid w:val="00C13D29"/>
    <w:rsid w:val="00C13DDE"/>
    <w:rsid w:val="00C14405"/>
    <w:rsid w:val="00C14D22"/>
    <w:rsid w:val="00C14EDB"/>
    <w:rsid w:val="00C1652E"/>
    <w:rsid w:val="00C165C8"/>
    <w:rsid w:val="00C1660E"/>
    <w:rsid w:val="00C16C4C"/>
    <w:rsid w:val="00C17B96"/>
    <w:rsid w:val="00C201B8"/>
    <w:rsid w:val="00C215C8"/>
    <w:rsid w:val="00C22047"/>
    <w:rsid w:val="00C221FD"/>
    <w:rsid w:val="00C226E2"/>
    <w:rsid w:val="00C228BA"/>
    <w:rsid w:val="00C22E02"/>
    <w:rsid w:val="00C232C0"/>
    <w:rsid w:val="00C25C59"/>
    <w:rsid w:val="00C265A5"/>
    <w:rsid w:val="00C2673B"/>
    <w:rsid w:val="00C26755"/>
    <w:rsid w:val="00C269D1"/>
    <w:rsid w:val="00C26DBF"/>
    <w:rsid w:val="00C27A38"/>
    <w:rsid w:val="00C30F4E"/>
    <w:rsid w:val="00C311E6"/>
    <w:rsid w:val="00C313F6"/>
    <w:rsid w:val="00C3172B"/>
    <w:rsid w:val="00C31DBB"/>
    <w:rsid w:val="00C3259D"/>
    <w:rsid w:val="00C32E1F"/>
    <w:rsid w:val="00C33F24"/>
    <w:rsid w:val="00C33FC2"/>
    <w:rsid w:val="00C34067"/>
    <w:rsid w:val="00C3413D"/>
    <w:rsid w:val="00C34EEE"/>
    <w:rsid w:val="00C35106"/>
    <w:rsid w:val="00C35332"/>
    <w:rsid w:val="00C359DA"/>
    <w:rsid w:val="00C35EC3"/>
    <w:rsid w:val="00C360E3"/>
    <w:rsid w:val="00C364AA"/>
    <w:rsid w:val="00C36547"/>
    <w:rsid w:val="00C36847"/>
    <w:rsid w:val="00C37194"/>
    <w:rsid w:val="00C3730E"/>
    <w:rsid w:val="00C401E5"/>
    <w:rsid w:val="00C403E8"/>
    <w:rsid w:val="00C407AE"/>
    <w:rsid w:val="00C41FB6"/>
    <w:rsid w:val="00C425AD"/>
    <w:rsid w:val="00C42669"/>
    <w:rsid w:val="00C42CE4"/>
    <w:rsid w:val="00C4302D"/>
    <w:rsid w:val="00C43C87"/>
    <w:rsid w:val="00C44051"/>
    <w:rsid w:val="00C44509"/>
    <w:rsid w:val="00C44BB9"/>
    <w:rsid w:val="00C44F0B"/>
    <w:rsid w:val="00C45573"/>
    <w:rsid w:val="00C4558A"/>
    <w:rsid w:val="00C45628"/>
    <w:rsid w:val="00C46130"/>
    <w:rsid w:val="00C46B17"/>
    <w:rsid w:val="00C46FA4"/>
    <w:rsid w:val="00C470DA"/>
    <w:rsid w:val="00C474FB"/>
    <w:rsid w:val="00C477F1"/>
    <w:rsid w:val="00C47B01"/>
    <w:rsid w:val="00C47BCD"/>
    <w:rsid w:val="00C50F65"/>
    <w:rsid w:val="00C5106D"/>
    <w:rsid w:val="00C5160F"/>
    <w:rsid w:val="00C51B65"/>
    <w:rsid w:val="00C527FF"/>
    <w:rsid w:val="00C52ADE"/>
    <w:rsid w:val="00C53640"/>
    <w:rsid w:val="00C543FC"/>
    <w:rsid w:val="00C55575"/>
    <w:rsid w:val="00C55D90"/>
    <w:rsid w:val="00C55DA1"/>
    <w:rsid w:val="00C55DC9"/>
    <w:rsid w:val="00C55EAE"/>
    <w:rsid w:val="00C567EF"/>
    <w:rsid w:val="00C57373"/>
    <w:rsid w:val="00C576F1"/>
    <w:rsid w:val="00C5778D"/>
    <w:rsid w:val="00C57E78"/>
    <w:rsid w:val="00C60F7F"/>
    <w:rsid w:val="00C61621"/>
    <w:rsid w:val="00C61BB7"/>
    <w:rsid w:val="00C61FD8"/>
    <w:rsid w:val="00C61FF2"/>
    <w:rsid w:val="00C6225E"/>
    <w:rsid w:val="00C63DCF"/>
    <w:rsid w:val="00C65488"/>
    <w:rsid w:val="00C657EF"/>
    <w:rsid w:val="00C662FC"/>
    <w:rsid w:val="00C66A19"/>
    <w:rsid w:val="00C66D3F"/>
    <w:rsid w:val="00C67387"/>
    <w:rsid w:val="00C67474"/>
    <w:rsid w:val="00C67678"/>
    <w:rsid w:val="00C67B46"/>
    <w:rsid w:val="00C67D71"/>
    <w:rsid w:val="00C67F00"/>
    <w:rsid w:val="00C70867"/>
    <w:rsid w:val="00C70C6A"/>
    <w:rsid w:val="00C710AE"/>
    <w:rsid w:val="00C71139"/>
    <w:rsid w:val="00C71149"/>
    <w:rsid w:val="00C71E7F"/>
    <w:rsid w:val="00C7218E"/>
    <w:rsid w:val="00C72354"/>
    <w:rsid w:val="00C73A4E"/>
    <w:rsid w:val="00C73AC1"/>
    <w:rsid w:val="00C749F0"/>
    <w:rsid w:val="00C74CFF"/>
    <w:rsid w:val="00C7509B"/>
    <w:rsid w:val="00C750AE"/>
    <w:rsid w:val="00C75670"/>
    <w:rsid w:val="00C756CA"/>
    <w:rsid w:val="00C76126"/>
    <w:rsid w:val="00C76417"/>
    <w:rsid w:val="00C76E0B"/>
    <w:rsid w:val="00C770AE"/>
    <w:rsid w:val="00C7731E"/>
    <w:rsid w:val="00C775AC"/>
    <w:rsid w:val="00C7781B"/>
    <w:rsid w:val="00C77B74"/>
    <w:rsid w:val="00C8042B"/>
    <w:rsid w:val="00C8088B"/>
    <w:rsid w:val="00C80B7B"/>
    <w:rsid w:val="00C811B6"/>
    <w:rsid w:val="00C81493"/>
    <w:rsid w:val="00C8274C"/>
    <w:rsid w:val="00C82ACD"/>
    <w:rsid w:val="00C82DCD"/>
    <w:rsid w:val="00C832EE"/>
    <w:rsid w:val="00C83309"/>
    <w:rsid w:val="00C8344F"/>
    <w:rsid w:val="00C835C7"/>
    <w:rsid w:val="00C836B9"/>
    <w:rsid w:val="00C841B7"/>
    <w:rsid w:val="00C84822"/>
    <w:rsid w:val="00C85D7E"/>
    <w:rsid w:val="00C8727A"/>
    <w:rsid w:val="00C90A0D"/>
    <w:rsid w:val="00C90DF4"/>
    <w:rsid w:val="00C90E63"/>
    <w:rsid w:val="00C919E3"/>
    <w:rsid w:val="00C91AF5"/>
    <w:rsid w:val="00C91D45"/>
    <w:rsid w:val="00C91DC2"/>
    <w:rsid w:val="00C927E1"/>
    <w:rsid w:val="00C9363D"/>
    <w:rsid w:val="00C93770"/>
    <w:rsid w:val="00C93782"/>
    <w:rsid w:val="00C93A4A"/>
    <w:rsid w:val="00C93BB9"/>
    <w:rsid w:val="00C93C8E"/>
    <w:rsid w:val="00C93F72"/>
    <w:rsid w:val="00C94C33"/>
    <w:rsid w:val="00C94F07"/>
    <w:rsid w:val="00C952B8"/>
    <w:rsid w:val="00C95D40"/>
    <w:rsid w:val="00C95EA8"/>
    <w:rsid w:val="00C96A19"/>
    <w:rsid w:val="00C96B20"/>
    <w:rsid w:val="00C96C99"/>
    <w:rsid w:val="00C96CA8"/>
    <w:rsid w:val="00C96E4B"/>
    <w:rsid w:val="00C9738B"/>
    <w:rsid w:val="00CA0625"/>
    <w:rsid w:val="00CA1066"/>
    <w:rsid w:val="00CA1364"/>
    <w:rsid w:val="00CA18C1"/>
    <w:rsid w:val="00CA18C5"/>
    <w:rsid w:val="00CA1C47"/>
    <w:rsid w:val="00CA20DA"/>
    <w:rsid w:val="00CA2115"/>
    <w:rsid w:val="00CA26F4"/>
    <w:rsid w:val="00CA2855"/>
    <w:rsid w:val="00CA28B6"/>
    <w:rsid w:val="00CA2E6A"/>
    <w:rsid w:val="00CA309B"/>
    <w:rsid w:val="00CA32A8"/>
    <w:rsid w:val="00CA32E2"/>
    <w:rsid w:val="00CA3369"/>
    <w:rsid w:val="00CA34E3"/>
    <w:rsid w:val="00CA36C0"/>
    <w:rsid w:val="00CA3CF6"/>
    <w:rsid w:val="00CA3E0B"/>
    <w:rsid w:val="00CA3E4E"/>
    <w:rsid w:val="00CA43E9"/>
    <w:rsid w:val="00CA4DAE"/>
    <w:rsid w:val="00CA5AF2"/>
    <w:rsid w:val="00CA5BD0"/>
    <w:rsid w:val="00CA5C18"/>
    <w:rsid w:val="00CA5CBA"/>
    <w:rsid w:val="00CA5E20"/>
    <w:rsid w:val="00CA67C7"/>
    <w:rsid w:val="00CA68C7"/>
    <w:rsid w:val="00CA6948"/>
    <w:rsid w:val="00CA719C"/>
    <w:rsid w:val="00CA7E4F"/>
    <w:rsid w:val="00CA7EE2"/>
    <w:rsid w:val="00CB06FA"/>
    <w:rsid w:val="00CB0B9C"/>
    <w:rsid w:val="00CB11BF"/>
    <w:rsid w:val="00CB1499"/>
    <w:rsid w:val="00CB15EE"/>
    <w:rsid w:val="00CB1C2B"/>
    <w:rsid w:val="00CB1D2D"/>
    <w:rsid w:val="00CB1D5F"/>
    <w:rsid w:val="00CB2A09"/>
    <w:rsid w:val="00CB3630"/>
    <w:rsid w:val="00CB49F4"/>
    <w:rsid w:val="00CB514D"/>
    <w:rsid w:val="00CB66CA"/>
    <w:rsid w:val="00CB6912"/>
    <w:rsid w:val="00CB6DA4"/>
    <w:rsid w:val="00CB7402"/>
    <w:rsid w:val="00CB7739"/>
    <w:rsid w:val="00CB7BD5"/>
    <w:rsid w:val="00CB7D3B"/>
    <w:rsid w:val="00CC015C"/>
    <w:rsid w:val="00CC0A6C"/>
    <w:rsid w:val="00CC0EB4"/>
    <w:rsid w:val="00CC106F"/>
    <w:rsid w:val="00CC19E7"/>
    <w:rsid w:val="00CC1C99"/>
    <w:rsid w:val="00CC1CDA"/>
    <w:rsid w:val="00CC20FC"/>
    <w:rsid w:val="00CC2645"/>
    <w:rsid w:val="00CC3B16"/>
    <w:rsid w:val="00CC4099"/>
    <w:rsid w:val="00CC466C"/>
    <w:rsid w:val="00CC5011"/>
    <w:rsid w:val="00CC5456"/>
    <w:rsid w:val="00CC603F"/>
    <w:rsid w:val="00CC6B9A"/>
    <w:rsid w:val="00CC715B"/>
    <w:rsid w:val="00CC71B0"/>
    <w:rsid w:val="00CC7A6C"/>
    <w:rsid w:val="00CC7F61"/>
    <w:rsid w:val="00CC7FFA"/>
    <w:rsid w:val="00CD089F"/>
    <w:rsid w:val="00CD0AE2"/>
    <w:rsid w:val="00CD0C31"/>
    <w:rsid w:val="00CD17CB"/>
    <w:rsid w:val="00CD1DC2"/>
    <w:rsid w:val="00CD2369"/>
    <w:rsid w:val="00CD2491"/>
    <w:rsid w:val="00CD3C32"/>
    <w:rsid w:val="00CD3C34"/>
    <w:rsid w:val="00CD49B8"/>
    <w:rsid w:val="00CD50C4"/>
    <w:rsid w:val="00CD5A8D"/>
    <w:rsid w:val="00CD5BAD"/>
    <w:rsid w:val="00CD5BE5"/>
    <w:rsid w:val="00CD61A0"/>
    <w:rsid w:val="00CD65A8"/>
    <w:rsid w:val="00CD6BD2"/>
    <w:rsid w:val="00CD6FB9"/>
    <w:rsid w:val="00CD72CE"/>
    <w:rsid w:val="00CD7F1B"/>
    <w:rsid w:val="00CE0183"/>
    <w:rsid w:val="00CE035C"/>
    <w:rsid w:val="00CE061E"/>
    <w:rsid w:val="00CE0934"/>
    <w:rsid w:val="00CE0BA4"/>
    <w:rsid w:val="00CE0E5F"/>
    <w:rsid w:val="00CE0E7D"/>
    <w:rsid w:val="00CE1450"/>
    <w:rsid w:val="00CE1549"/>
    <w:rsid w:val="00CE1EA7"/>
    <w:rsid w:val="00CE1EFC"/>
    <w:rsid w:val="00CE1F82"/>
    <w:rsid w:val="00CE251A"/>
    <w:rsid w:val="00CE3035"/>
    <w:rsid w:val="00CE3141"/>
    <w:rsid w:val="00CE3367"/>
    <w:rsid w:val="00CE3449"/>
    <w:rsid w:val="00CE397C"/>
    <w:rsid w:val="00CE3AD9"/>
    <w:rsid w:val="00CE3DAC"/>
    <w:rsid w:val="00CE40EA"/>
    <w:rsid w:val="00CE4351"/>
    <w:rsid w:val="00CE4705"/>
    <w:rsid w:val="00CE4D57"/>
    <w:rsid w:val="00CE53EE"/>
    <w:rsid w:val="00CE5D74"/>
    <w:rsid w:val="00CE5F3F"/>
    <w:rsid w:val="00CE611A"/>
    <w:rsid w:val="00CE61E3"/>
    <w:rsid w:val="00CE65A7"/>
    <w:rsid w:val="00CE6CFA"/>
    <w:rsid w:val="00CE6F13"/>
    <w:rsid w:val="00CE7129"/>
    <w:rsid w:val="00CE720A"/>
    <w:rsid w:val="00CE7586"/>
    <w:rsid w:val="00CE76C4"/>
    <w:rsid w:val="00CE7A57"/>
    <w:rsid w:val="00CE7AC1"/>
    <w:rsid w:val="00CF00A0"/>
    <w:rsid w:val="00CF08D1"/>
    <w:rsid w:val="00CF0B3E"/>
    <w:rsid w:val="00CF1017"/>
    <w:rsid w:val="00CF137F"/>
    <w:rsid w:val="00CF18C9"/>
    <w:rsid w:val="00CF1FD2"/>
    <w:rsid w:val="00CF2929"/>
    <w:rsid w:val="00CF2C3E"/>
    <w:rsid w:val="00CF337B"/>
    <w:rsid w:val="00CF337C"/>
    <w:rsid w:val="00CF33D0"/>
    <w:rsid w:val="00CF4FA2"/>
    <w:rsid w:val="00CF5325"/>
    <w:rsid w:val="00CF591E"/>
    <w:rsid w:val="00CF5FAC"/>
    <w:rsid w:val="00CF6154"/>
    <w:rsid w:val="00CF6376"/>
    <w:rsid w:val="00CF67D3"/>
    <w:rsid w:val="00CF6B1D"/>
    <w:rsid w:val="00CF6C1A"/>
    <w:rsid w:val="00CF7520"/>
    <w:rsid w:val="00CF76D4"/>
    <w:rsid w:val="00CF78D9"/>
    <w:rsid w:val="00D00295"/>
    <w:rsid w:val="00D008A5"/>
    <w:rsid w:val="00D009BD"/>
    <w:rsid w:val="00D0116F"/>
    <w:rsid w:val="00D011A2"/>
    <w:rsid w:val="00D0170D"/>
    <w:rsid w:val="00D01A5A"/>
    <w:rsid w:val="00D0214C"/>
    <w:rsid w:val="00D028D6"/>
    <w:rsid w:val="00D02A97"/>
    <w:rsid w:val="00D02CD9"/>
    <w:rsid w:val="00D02DBB"/>
    <w:rsid w:val="00D03401"/>
    <w:rsid w:val="00D040A3"/>
    <w:rsid w:val="00D0475B"/>
    <w:rsid w:val="00D04B79"/>
    <w:rsid w:val="00D04C17"/>
    <w:rsid w:val="00D04C80"/>
    <w:rsid w:val="00D053B1"/>
    <w:rsid w:val="00D053FB"/>
    <w:rsid w:val="00D05FC9"/>
    <w:rsid w:val="00D06447"/>
    <w:rsid w:val="00D06BE9"/>
    <w:rsid w:val="00D070C0"/>
    <w:rsid w:val="00D072C2"/>
    <w:rsid w:val="00D07386"/>
    <w:rsid w:val="00D07DE8"/>
    <w:rsid w:val="00D10B47"/>
    <w:rsid w:val="00D10D40"/>
    <w:rsid w:val="00D10DFF"/>
    <w:rsid w:val="00D10F12"/>
    <w:rsid w:val="00D1233B"/>
    <w:rsid w:val="00D12408"/>
    <w:rsid w:val="00D125E2"/>
    <w:rsid w:val="00D12700"/>
    <w:rsid w:val="00D12E97"/>
    <w:rsid w:val="00D12ECA"/>
    <w:rsid w:val="00D135E3"/>
    <w:rsid w:val="00D13875"/>
    <w:rsid w:val="00D142FA"/>
    <w:rsid w:val="00D14CA7"/>
    <w:rsid w:val="00D14EC4"/>
    <w:rsid w:val="00D14F33"/>
    <w:rsid w:val="00D1560C"/>
    <w:rsid w:val="00D15A58"/>
    <w:rsid w:val="00D15FCA"/>
    <w:rsid w:val="00D16003"/>
    <w:rsid w:val="00D1653A"/>
    <w:rsid w:val="00D17596"/>
    <w:rsid w:val="00D20808"/>
    <w:rsid w:val="00D20B30"/>
    <w:rsid w:val="00D20EC2"/>
    <w:rsid w:val="00D21328"/>
    <w:rsid w:val="00D213C6"/>
    <w:rsid w:val="00D21778"/>
    <w:rsid w:val="00D21CE6"/>
    <w:rsid w:val="00D22772"/>
    <w:rsid w:val="00D23527"/>
    <w:rsid w:val="00D23586"/>
    <w:rsid w:val="00D23A47"/>
    <w:rsid w:val="00D244EF"/>
    <w:rsid w:val="00D248EF"/>
    <w:rsid w:val="00D24A0D"/>
    <w:rsid w:val="00D24BDA"/>
    <w:rsid w:val="00D24E34"/>
    <w:rsid w:val="00D250ED"/>
    <w:rsid w:val="00D251B3"/>
    <w:rsid w:val="00D2581B"/>
    <w:rsid w:val="00D25BEE"/>
    <w:rsid w:val="00D2667D"/>
    <w:rsid w:val="00D2716F"/>
    <w:rsid w:val="00D30DB3"/>
    <w:rsid w:val="00D31F71"/>
    <w:rsid w:val="00D32419"/>
    <w:rsid w:val="00D3285E"/>
    <w:rsid w:val="00D33142"/>
    <w:rsid w:val="00D331F9"/>
    <w:rsid w:val="00D33982"/>
    <w:rsid w:val="00D33D75"/>
    <w:rsid w:val="00D344FD"/>
    <w:rsid w:val="00D34A4B"/>
    <w:rsid w:val="00D34E00"/>
    <w:rsid w:val="00D356A9"/>
    <w:rsid w:val="00D358BD"/>
    <w:rsid w:val="00D35901"/>
    <w:rsid w:val="00D36B39"/>
    <w:rsid w:val="00D375DB"/>
    <w:rsid w:val="00D37D46"/>
    <w:rsid w:val="00D37F47"/>
    <w:rsid w:val="00D403FF"/>
    <w:rsid w:val="00D405E8"/>
    <w:rsid w:val="00D40D8C"/>
    <w:rsid w:val="00D41AA3"/>
    <w:rsid w:val="00D41AA9"/>
    <w:rsid w:val="00D42212"/>
    <w:rsid w:val="00D432A7"/>
    <w:rsid w:val="00D45026"/>
    <w:rsid w:val="00D453EE"/>
    <w:rsid w:val="00D45455"/>
    <w:rsid w:val="00D45C49"/>
    <w:rsid w:val="00D46ACA"/>
    <w:rsid w:val="00D476E4"/>
    <w:rsid w:val="00D5045A"/>
    <w:rsid w:val="00D50CFD"/>
    <w:rsid w:val="00D511E1"/>
    <w:rsid w:val="00D520F8"/>
    <w:rsid w:val="00D5251A"/>
    <w:rsid w:val="00D52CF1"/>
    <w:rsid w:val="00D53420"/>
    <w:rsid w:val="00D53697"/>
    <w:rsid w:val="00D539B6"/>
    <w:rsid w:val="00D53B13"/>
    <w:rsid w:val="00D5415C"/>
    <w:rsid w:val="00D54723"/>
    <w:rsid w:val="00D559EF"/>
    <w:rsid w:val="00D55D10"/>
    <w:rsid w:val="00D56725"/>
    <w:rsid w:val="00D569FE"/>
    <w:rsid w:val="00D56D21"/>
    <w:rsid w:val="00D56E1E"/>
    <w:rsid w:val="00D574F7"/>
    <w:rsid w:val="00D60298"/>
    <w:rsid w:val="00D60412"/>
    <w:rsid w:val="00D604CE"/>
    <w:rsid w:val="00D6071F"/>
    <w:rsid w:val="00D60869"/>
    <w:rsid w:val="00D60959"/>
    <w:rsid w:val="00D60ACA"/>
    <w:rsid w:val="00D61142"/>
    <w:rsid w:val="00D61150"/>
    <w:rsid w:val="00D618A1"/>
    <w:rsid w:val="00D62639"/>
    <w:rsid w:val="00D6275A"/>
    <w:rsid w:val="00D63027"/>
    <w:rsid w:val="00D633EA"/>
    <w:rsid w:val="00D635A3"/>
    <w:rsid w:val="00D641C2"/>
    <w:rsid w:val="00D65333"/>
    <w:rsid w:val="00D65470"/>
    <w:rsid w:val="00D65506"/>
    <w:rsid w:val="00D656BC"/>
    <w:rsid w:val="00D65D88"/>
    <w:rsid w:val="00D65EF3"/>
    <w:rsid w:val="00D66503"/>
    <w:rsid w:val="00D66992"/>
    <w:rsid w:val="00D702F9"/>
    <w:rsid w:val="00D71099"/>
    <w:rsid w:val="00D71168"/>
    <w:rsid w:val="00D718AD"/>
    <w:rsid w:val="00D7192C"/>
    <w:rsid w:val="00D72788"/>
    <w:rsid w:val="00D7372E"/>
    <w:rsid w:val="00D73BC1"/>
    <w:rsid w:val="00D73F22"/>
    <w:rsid w:val="00D743F6"/>
    <w:rsid w:val="00D74418"/>
    <w:rsid w:val="00D75363"/>
    <w:rsid w:val="00D761CD"/>
    <w:rsid w:val="00D76324"/>
    <w:rsid w:val="00D76747"/>
    <w:rsid w:val="00D76EF8"/>
    <w:rsid w:val="00D8050C"/>
    <w:rsid w:val="00D80520"/>
    <w:rsid w:val="00D82799"/>
    <w:rsid w:val="00D8316E"/>
    <w:rsid w:val="00D833D6"/>
    <w:rsid w:val="00D8344D"/>
    <w:rsid w:val="00D8355F"/>
    <w:rsid w:val="00D8368C"/>
    <w:rsid w:val="00D83814"/>
    <w:rsid w:val="00D84C60"/>
    <w:rsid w:val="00D8537A"/>
    <w:rsid w:val="00D85414"/>
    <w:rsid w:val="00D854D6"/>
    <w:rsid w:val="00D859A4"/>
    <w:rsid w:val="00D85B1D"/>
    <w:rsid w:val="00D86091"/>
    <w:rsid w:val="00D867DB"/>
    <w:rsid w:val="00D869E1"/>
    <w:rsid w:val="00D86EFD"/>
    <w:rsid w:val="00D86F90"/>
    <w:rsid w:val="00D8774F"/>
    <w:rsid w:val="00D878B7"/>
    <w:rsid w:val="00D8797F"/>
    <w:rsid w:val="00D87C21"/>
    <w:rsid w:val="00D90360"/>
    <w:rsid w:val="00D91059"/>
    <w:rsid w:val="00D91196"/>
    <w:rsid w:val="00D916FF"/>
    <w:rsid w:val="00D917D7"/>
    <w:rsid w:val="00D933FD"/>
    <w:rsid w:val="00D938AE"/>
    <w:rsid w:val="00D93AB6"/>
    <w:rsid w:val="00D940ED"/>
    <w:rsid w:val="00D949CD"/>
    <w:rsid w:val="00D94A23"/>
    <w:rsid w:val="00D9505A"/>
    <w:rsid w:val="00D9508A"/>
    <w:rsid w:val="00D95299"/>
    <w:rsid w:val="00D95712"/>
    <w:rsid w:val="00D9590D"/>
    <w:rsid w:val="00D959DD"/>
    <w:rsid w:val="00D95ADC"/>
    <w:rsid w:val="00D96307"/>
    <w:rsid w:val="00D9635D"/>
    <w:rsid w:val="00D96C38"/>
    <w:rsid w:val="00D9793C"/>
    <w:rsid w:val="00D97BA7"/>
    <w:rsid w:val="00DA074D"/>
    <w:rsid w:val="00DA091A"/>
    <w:rsid w:val="00DA0D00"/>
    <w:rsid w:val="00DA0E3C"/>
    <w:rsid w:val="00DA1193"/>
    <w:rsid w:val="00DA11EA"/>
    <w:rsid w:val="00DA174D"/>
    <w:rsid w:val="00DA218B"/>
    <w:rsid w:val="00DA26EB"/>
    <w:rsid w:val="00DA29A4"/>
    <w:rsid w:val="00DA2E23"/>
    <w:rsid w:val="00DA336E"/>
    <w:rsid w:val="00DA3593"/>
    <w:rsid w:val="00DA3AC8"/>
    <w:rsid w:val="00DA48C0"/>
    <w:rsid w:val="00DA4B93"/>
    <w:rsid w:val="00DA4EEB"/>
    <w:rsid w:val="00DA56ED"/>
    <w:rsid w:val="00DA5BC1"/>
    <w:rsid w:val="00DA5E97"/>
    <w:rsid w:val="00DA61C4"/>
    <w:rsid w:val="00DA6834"/>
    <w:rsid w:val="00DA7040"/>
    <w:rsid w:val="00DA7A13"/>
    <w:rsid w:val="00DA7F04"/>
    <w:rsid w:val="00DA7FE4"/>
    <w:rsid w:val="00DB014E"/>
    <w:rsid w:val="00DB17CC"/>
    <w:rsid w:val="00DB1B7A"/>
    <w:rsid w:val="00DB20FD"/>
    <w:rsid w:val="00DB266A"/>
    <w:rsid w:val="00DB3123"/>
    <w:rsid w:val="00DB39F0"/>
    <w:rsid w:val="00DB3D19"/>
    <w:rsid w:val="00DB3EE4"/>
    <w:rsid w:val="00DB4CF3"/>
    <w:rsid w:val="00DB4ED8"/>
    <w:rsid w:val="00DB4FC7"/>
    <w:rsid w:val="00DB6331"/>
    <w:rsid w:val="00DB76B1"/>
    <w:rsid w:val="00DB778C"/>
    <w:rsid w:val="00DB7812"/>
    <w:rsid w:val="00DB7919"/>
    <w:rsid w:val="00DB7BD9"/>
    <w:rsid w:val="00DB7CB2"/>
    <w:rsid w:val="00DC04C4"/>
    <w:rsid w:val="00DC1ACA"/>
    <w:rsid w:val="00DC1DD0"/>
    <w:rsid w:val="00DC2645"/>
    <w:rsid w:val="00DC33B9"/>
    <w:rsid w:val="00DC4190"/>
    <w:rsid w:val="00DC43F2"/>
    <w:rsid w:val="00DC5A03"/>
    <w:rsid w:val="00DC6522"/>
    <w:rsid w:val="00DC65B9"/>
    <w:rsid w:val="00DC7399"/>
    <w:rsid w:val="00DC7484"/>
    <w:rsid w:val="00DC7585"/>
    <w:rsid w:val="00DC75E4"/>
    <w:rsid w:val="00DC7C6E"/>
    <w:rsid w:val="00DD0315"/>
    <w:rsid w:val="00DD084C"/>
    <w:rsid w:val="00DD0E25"/>
    <w:rsid w:val="00DD15B8"/>
    <w:rsid w:val="00DD1A0D"/>
    <w:rsid w:val="00DD1A32"/>
    <w:rsid w:val="00DD2642"/>
    <w:rsid w:val="00DD2764"/>
    <w:rsid w:val="00DD2E94"/>
    <w:rsid w:val="00DD569A"/>
    <w:rsid w:val="00DD6660"/>
    <w:rsid w:val="00DD7265"/>
    <w:rsid w:val="00DE05F3"/>
    <w:rsid w:val="00DE0669"/>
    <w:rsid w:val="00DE0805"/>
    <w:rsid w:val="00DE09E6"/>
    <w:rsid w:val="00DE1652"/>
    <w:rsid w:val="00DE2597"/>
    <w:rsid w:val="00DE29CF"/>
    <w:rsid w:val="00DE2A44"/>
    <w:rsid w:val="00DE2CCB"/>
    <w:rsid w:val="00DE2DEE"/>
    <w:rsid w:val="00DE3494"/>
    <w:rsid w:val="00DE38AB"/>
    <w:rsid w:val="00DE4535"/>
    <w:rsid w:val="00DE47CE"/>
    <w:rsid w:val="00DE48C7"/>
    <w:rsid w:val="00DE4F03"/>
    <w:rsid w:val="00DE5643"/>
    <w:rsid w:val="00DE5CD8"/>
    <w:rsid w:val="00DE681D"/>
    <w:rsid w:val="00DE6A21"/>
    <w:rsid w:val="00DE6BB6"/>
    <w:rsid w:val="00DE6C32"/>
    <w:rsid w:val="00DF0336"/>
    <w:rsid w:val="00DF0551"/>
    <w:rsid w:val="00DF0EC4"/>
    <w:rsid w:val="00DF1868"/>
    <w:rsid w:val="00DF20CC"/>
    <w:rsid w:val="00DF2128"/>
    <w:rsid w:val="00DF2649"/>
    <w:rsid w:val="00DF331E"/>
    <w:rsid w:val="00DF358E"/>
    <w:rsid w:val="00DF3C15"/>
    <w:rsid w:val="00DF3DB9"/>
    <w:rsid w:val="00DF3FBD"/>
    <w:rsid w:val="00DF44E3"/>
    <w:rsid w:val="00DF4521"/>
    <w:rsid w:val="00DF474D"/>
    <w:rsid w:val="00DF49B1"/>
    <w:rsid w:val="00DF4E5D"/>
    <w:rsid w:val="00DF6993"/>
    <w:rsid w:val="00DF7D4F"/>
    <w:rsid w:val="00E004D2"/>
    <w:rsid w:val="00E006B1"/>
    <w:rsid w:val="00E00813"/>
    <w:rsid w:val="00E009F5"/>
    <w:rsid w:val="00E012EA"/>
    <w:rsid w:val="00E0156A"/>
    <w:rsid w:val="00E0166C"/>
    <w:rsid w:val="00E016CE"/>
    <w:rsid w:val="00E01E17"/>
    <w:rsid w:val="00E021A1"/>
    <w:rsid w:val="00E02768"/>
    <w:rsid w:val="00E02B0A"/>
    <w:rsid w:val="00E03060"/>
    <w:rsid w:val="00E03180"/>
    <w:rsid w:val="00E0432A"/>
    <w:rsid w:val="00E04391"/>
    <w:rsid w:val="00E04AA4"/>
    <w:rsid w:val="00E04AF8"/>
    <w:rsid w:val="00E04D88"/>
    <w:rsid w:val="00E0529F"/>
    <w:rsid w:val="00E0569A"/>
    <w:rsid w:val="00E05C07"/>
    <w:rsid w:val="00E06AEC"/>
    <w:rsid w:val="00E07050"/>
    <w:rsid w:val="00E071F2"/>
    <w:rsid w:val="00E076C5"/>
    <w:rsid w:val="00E077A0"/>
    <w:rsid w:val="00E07A93"/>
    <w:rsid w:val="00E07E45"/>
    <w:rsid w:val="00E10178"/>
    <w:rsid w:val="00E1021D"/>
    <w:rsid w:val="00E10DC8"/>
    <w:rsid w:val="00E1274C"/>
    <w:rsid w:val="00E13DCE"/>
    <w:rsid w:val="00E14C75"/>
    <w:rsid w:val="00E14CE5"/>
    <w:rsid w:val="00E14F9D"/>
    <w:rsid w:val="00E1535C"/>
    <w:rsid w:val="00E155AF"/>
    <w:rsid w:val="00E15A5B"/>
    <w:rsid w:val="00E15DDC"/>
    <w:rsid w:val="00E161B7"/>
    <w:rsid w:val="00E1649C"/>
    <w:rsid w:val="00E165E3"/>
    <w:rsid w:val="00E1674A"/>
    <w:rsid w:val="00E16B1E"/>
    <w:rsid w:val="00E170A3"/>
    <w:rsid w:val="00E176CF"/>
    <w:rsid w:val="00E176D5"/>
    <w:rsid w:val="00E17928"/>
    <w:rsid w:val="00E17C3C"/>
    <w:rsid w:val="00E17FD6"/>
    <w:rsid w:val="00E17FE1"/>
    <w:rsid w:val="00E206AF"/>
    <w:rsid w:val="00E207C9"/>
    <w:rsid w:val="00E20D50"/>
    <w:rsid w:val="00E20DDA"/>
    <w:rsid w:val="00E21264"/>
    <w:rsid w:val="00E2136A"/>
    <w:rsid w:val="00E21D27"/>
    <w:rsid w:val="00E2232B"/>
    <w:rsid w:val="00E22488"/>
    <w:rsid w:val="00E226CE"/>
    <w:rsid w:val="00E226F9"/>
    <w:rsid w:val="00E22B12"/>
    <w:rsid w:val="00E22C15"/>
    <w:rsid w:val="00E22E94"/>
    <w:rsid w:val="00E23039"/>
    <w:rsid w:val="00E230D0"/>
    <w:rsid w:val="00E23841"/>
    <w:rsid w:val="00E23A29"/>
    <w:rsid w:val="00E248E9"/>
    <w:rsid w:val="00E24D65"/>
    <w:rsid w:val="00E24DB3"/>
    <w:rsid w:val="00E25A3B"/>
    <w:rsid w:val="00E25B8E"/>
    <w:rsid w:val="00E274DC"/>
    <w:rsid w:val="00E27645"/>
    <w:rsid w:val="00E27D5F"/>
    <w:rsid w:val="00E30499"/>
    <w:rsid w:val="00E30BED"/>
    <w:rsid w:val="00E314FB"/>
    <w:rsid w:val="00E31774"/>
    <w:rsid w:val="00E317C9"/>
    <w:rsid w:val="00E322CC"/>
    <w:rsid w:val="00E322F7"/>
    <w:rsid w:val="00E32E13"/>
    <w:rsid w:val="00E32EC6"/>
    <w:rsid w:val="00E3363F"/>
    <w:rsid w:val="00E33AE8"/>
    <w:rsid w:val="00E33D2F"/>
    <w:rsid w:val="00E340DA"/>
    <w:rsid w:val="00E34664"/>
    <w:rsid w:val="00E34BF6"/>
    <w:rsid w:val="00E3525B"/>
    <w:rsid w:val="00E358C7"/>
    <w:rsid w:val="00E3596B"/>
    <w:rsid w:val="00E35A2D"/>
    <w:rsid w:val="00E3608F"/>
    <w:rsid w:val="00E36334"/>
    <w:rsid w:val="00E36B63"/>
    <w:rsid w:val="00E36CAB"/>
    <w:rsid w:val="00E37438"/>
    <w:rsid w:val="00E37B57"/>
    <w:rsid w:val="00E37D90"/>
    <w:rsid w:val="00E37E44"/>
    <w:rsid w:val="00E40085"/>
    <w:rsid w:val="00E4130C"/>
    <w:rsid w:val="00E41AF9"/>
    <w:rsid w:val="00E41C2E"/>
    <w:rsid w:val="00E42346"/>
    <w:rsid w:val="00E42368"/>
    <w:rsid w:val="00E42834"/>
    <w:rsid w:val="00E439E1"/>
    <w:rsid w:val="00E44B6D"/>
    <w:rsid w:val="00E44DB4"/>
    <w:rsid w:val="00E45099"/>
    <w:rsid w:val="00E451B1"/>
    <w:rsid w:val="00E45B6F"/>
    <w:rsid w:val="00E45D20"/>
    <w:rsid w:val="00E46E1F"/>
    <w:rsid w:val="00E47482"/>
    <w:rsid w:val="00E47643"/>
    <w:rsid w:val="00E47848"/>
    <w:rsid w:val="00E50390"/>
    <w:rsid w:val="00E50558"/>
    <w:rsid w:val="00E508F8"/>
    <w:rsid w:val="00E5152F"/>
    <w:rsid w:val="00E51859"/>
    <w:rsid w:val="00E52342"/>
    <w:rsid w:val="00E5247F"/>
    <w:rsid w:val="00E524C0"/>
    <w:rsid w:val="00E52D8D"/>
    <w:rsid w:val="00E530EE"/>
    <w:rsid w:val="00E53237"/>
    <w:rsid w:val="00E534EC"/>
    <w:rsid w:val="00E535B0"/>
    <w:rsid w:val="00E538D7"/>
    <w:rsid w:val="00E547B2"/>
    <w:rsid w:val="00E54A44"/>
    <w:rsid w:val="00E554B9"/>
    <w:rsid w:val="00E55B2D"/>
    <w:rsid w:val="00E55D16"/>
    <w:rsid w:val="00E5645F"/>
    <w:rsid w:val="00E5664F"/>
    <w:rsid w:val="00E56DE5"/>
    <w:rsid w:val="00E570DC"/>
    <w:rsid w:val="00E57324"/>
    <w:rsid w:val="00E574B7"/>
    <w:rsid w:val="00E57525"/>
    <w:rsid w:val="00E57F32"/>
    <w:rsid w:val="00E60FAE"/>
    <w:rsid w:val="00E6102C"/>
    <w:rsid w:val="00E618B3"/>
    <w:rsid w:val="00E61C2C"/>
    <w:rsid w:val="00E6258E"/>
    <w:rsid w:val="00E63338"/>
    <w:rsid w:val="00E6497A"/>
    <w:rsid w:val="00E64A0F"/>
    <w:rsid w:val="00E64BFD"/>
    <w:rsid w:val="00E64C9D"/>
    <w:rsid w:val="00E64D79"/>
    <w:rsid w:val="00E651ED"/>
    <w:rsid w:val="00E66358"/>
    <w:rsid w:val="00E674AC"/>
    <w:rsid w:val="00E6789D"/>
    <w:rsid w:val="00E67BB0"/>
    <w:rsid w:val="00E67C1B"/>
    <w:rsid w:val="00E67CC5"/>
    <w:rsid w:val="00E7037A"/>
    <w:rsid w:val="00E7153D"/>
    <w:rsid w:val="00E71F96"/>
    <w:rsid w:val="00E71FF2"/>
    <w:rsid w:val="00E7228A"/>
    <w:rsid w:val="00E72294"/>
    <w:rsid w:val="00E729A5"/>
    <w:rsid w:val="00E72C99"/>
    <w:rsid w:val="00E72CD7"/>
    <w:rsid w:val="00E731FB"/>
    <w:rsid w:val="00E73B53"/>
    <w:rsid w:val="00E73C26"/>
    <w:rsid w:val="00E73F4A"/>
    <w:rsid w:val="00E74385"/>
    <w:rsid w:val="00E745CE"/>
    <w:rsid w:val="00E749EE"/>
    <w:rsid w:val="00E74C21"/>
    <w:rsid w:val="00E74D2D"/>
    <w:rsid w:val="00E74F2F"/>
    <w:rsid w:val="00E75E6B"/>
    <w:rsid w:val="00E767AC"/>
    <w:rsid w:val="00E7724C"/>
    <w:rsid w:val="00E774D0"/>
    <w:rsid w:val="00E800D9"/>
    <w:rsid w:val="00E80B3F"/>
    <w:rsid w:val="00E80D35"/>
    <w:rsid w:val="00E81490"/>
    <w:rsid w:val="00E82286"/>
    <w:rsid w:val="00E82F77"/>
    <w:rsid w:val="00E8346C"/>
    <w:rsid w:val="00E846FC"/>
    <w:rsid w:val="00E853C4"/>
    <w:rsid w:val="00E864DF"/>
    <w:rsid w:val="00E866CE"/>
    <w:rsid w:val="00E86749"/>
    <w:rsid w:val="00E86BD7"/>
    <w:rsid w:val="00E8754E"/>
    <w:rsid w:val="00E878E6"/>
    <w:rsid w:val="00E878EE"/>
    <w:rsid w:val="00E9046B"/>
    <w:rsid w:val="00E907A3"/>
    <w:rsid w:val="00E908E0"/>
    <w:rsid w:val="00E9129F"/>
    <w:rsid w:val="00E91A02"/>
    <w:rsid w:val="00E9213D"/>
    <w:rsid w:val="00E92633"/>
    <w:rsid w:val="00E93F76"/>
    <w:rsid w:val="00E93FA1"/>
    <w:rsid w:val="00E95969"/>
    <w:rsid w:val="00E95A30"/>
    <w:rsid w:val="00E95A34"/>
    <w:rsid w:val="00E966B2"/>
    <w:rsid w:val="00E96911"/>
    <w:rsid w:val="00E970B3"/>
    <w:rsid w:val="00E97187"/>
    <w:rsid w:val="00E9766E"/>
    <w:rsid w:val="00E97815"/>
    <w:rsid w:val="00EA02BC"/>
    <w:rsid w:val="00EA0649"/>
    <w:rsid w:val="00EA0C27"/>
    <w:rsid w:val="00EA0C6C"/>
    <w:rsid w:val="00EA0D79"/>
    <w:rsid w:val="00EA1432"/>
    <w:rsid w:val="00EA193E"/>
    <w:rsid w:val="00EA1AA9"/>
    <w:rsid w:val="00EA1B71"/>
    <w:rsid w:val="00EA2583"/>
    <w:rsid w:val="00EA28B3"/>
    <w:rsid w:val="00EA294C"/>
    <w:rsid w:val="00EA37C4"/>
    <w:rsid w:val="00EA3881"/>
    <w:rsid w:val="00EA3C2C"/>
    <w:rsid w:val="00EA47D2"/>
    <w:rsid w:val="00EA49BC"/>
    <w:rsid w:val="00EA49C8"/>
    <w:rsid w:val="00EA4F76"/>
    <w:rsid w:val="00EA50E6"/>
    <w:rsid w:val="00EA55D6"/>
    <w:rsid w:val="00EA57E4"/>
    <w:rsid w:val="00EA5D31"/>
    <w:rsid w:val="00EA7397"/>
    <w:rsid w:val="00EA73ED"/>
    <w:rsid w:val="00EA75E7"/>
    <w:rsid w:val="00EA7B55"/>
    <w:rsid w:val="00EA7C5D"/>
    <w:rsid w:val="00EA7CC6"/>
    <w:rsid w:val="00EA7D3D"/>
    <w:rsid w:val="00EB0029"/>
    <w:rsid w:val="00EB019C"/>
    <w:rsid w:val="00EB03A6"/>
    <w:rsid w:val="00EB0663"/>
    <w:rsid w:val="00EB07C0"/>
    <w:rsid w:val="00EB0D64"/>
    <w:rsid w:val="00EB1C40"/>
    <w:rsid w:val="00EB1C6A"/>
    <w:rsid w:val="00EB2427"/>
    <w:rsid w:val="00EB2971"/>
    <w:rsid w:val="00EB316A"/>
    <w:rsid w:val="00EB3716"/>
    <w:rsid w:val="00EB397D"/>
    <w:rsid w:val="00EB3A34"/>
    <w:rsid w:val="00EB3A4A"/>
    <w:rsid w:val="00EB5912"/>
    <w:rsid w:val="00EB5A28"/>
    <w:rsid w:val="00EB5DD4"/>
    <w:rsid w:val="00EB6175"/>
    <w:rsid w:val="00EB6269"/>
    <w:rsid w:val="00EB637F"/>
    <w:rsid w:val="00EB69DA"/>
    <w:rsid w:val="00EB7000"/>
    <w:rsid w:val="00EB76DB"/>
    <w:rsid w:val="00EC0145"/>
    <w:rsid w:val="00EC0153"/>
    <w:rsid w:val="00EC07ED"/>
    <w:rsid w:val="00EC0F47"/>
    <w:rsid w:val="00EC106B"/>
    <w:rsid w:val="00EC18A3"/>
    <w:rsid w:val="00EC22A0"/>
    <w:rsid w:val="00EC235E"/>
    <w:rsid w:val="00EC27A1"/>
    <w:rsid w:val="00EC3421"/>
    <w:rsid w:val="00EC37E0"/>
    <w:rsid w:val="00EC3942"/>
    <w:rsid w:val="00EC3CD2"/>
    <w:rsid w:val="00EC400C"/>
    <w:rsid w:val="00EC46F9"/>
    <w:rsid w:val="00EC4DA9"/>
    <w:rsid w:val="00EC576C"/>
    <w:rsid w:val="00EC5E96"/>
    <w:rsid w:val="00EC63A8"/>
    <w:rsid w:val="00EC6C34"/>
    <w:rsid w:val="00EC716B"/>
    <w:rsid w:val="00EC73C9"/>
    <w:rsid w:val="00EC7719"/>
    <w:rsid w:val="00ED0568"/>
    <w:rsid w:val="00ED0799"/>
    <w:rsid w:val="00ED0C0F"/>
    <w:rsid w:val="00ED0FDD"/>
    <w:rsid w:val="00ED106F"/>
    <w:rsid w:val="00ED15B2"/>
    <w:rsid w:val="00ED1683"/>
    <w:rsid w:val="00ED17EA"/>
    <w:rsid w:val="00ED19BA"/>
    <w:rsid w:val="00ED1AAF"/>
    <w:rsid w:val="00ED1C0D"/>
    <w:rsid w:val="00ED1D40"/>
    <w:rsid w:val="00ED200E"/>
    <w:rsid w:val="00ED22D2"/>
    <w:rsid w:val="00ED22F2"/>
    <w:rsid w:val="00ED23B0"/>
    <w:rsid w:val="00ED243C"/>
    <w:rsid w:val="00ED2D0D"/>
    <w:rsid w:val="00ED32BB"/>
    <w:rsid w:val="00ED349C"/>
    <w:rsid w:val="00ED4D1F"/>
    <w:rsid w:val="00ED514C"/>
    <w:rsid w:val="00ED578E"/>
    <w:rsid w:val="00ED5890"/>
    <w:rsid w:val="00ED58C2"/>
    <w:rsid w:val="00ED5F03"/>
    <w:rsid w:val="00ED786B"/>
    <w:rsid w:val="00EE122B"/>
    <w:rsid w:val="00EE12B7"/>
    <w:rsid w:val="00EE134B"/>
    <w:rsid w:val="00EE1759"/>
    <w:rsid w:val="00EE1ED4"/>
    <w:rsid w:val="00EE230C"/>
    <w:rsid w:val="00EE2A7F"/>
    <w:rsid w:val="00EE3B88"/>
    <w:rsid w:val="00EE43AE"/>
    <w:rsid w:val="00EE4551"/>
    <w:rsid w:val="00EE4753"/>
    <w:rsid w:val="00EE5308"/>
    <w:rsid w:val="00EE5C4A"/>
    <w:rsid w:val="00EE5D3D"/>
    <w:rsid w:val="00EE602E"/>
    <w:rsid w:val="00EE6125"/>
    <w:rsid w:val="00EE6765"/>
    <w:rsid w:val="00EE6833"/>
    <w:rsid w:val="00EE72FA"/>
    <w:rsid w:val="00EF14BD"/>
    <w:rsid w:val="00EF250E"/>
    <w:rsid w:val="00EF2B09"/>
    <w:rsid w:val="00EF2F67"/>
    <w:rsid w:val="00EF3163"/>
    <w:rsid w:val="00EF32CE"/>
    <w:rsid w:val="00EF40E3"/>
    <w:rsid w:val="00EF4B69"/>
    <w:rsid w:val="00EF4BF5"/>
    <w:rsid w:val="00EF5503"/>
    <w:rsid w:val="00EF631A"/>
    <w:rsid w:val="00EF649E"/>
    <w:rsid w:val="00EF6502"/>
    <w:rsid w:val="00EF6B13"/>
    <w:rsid w:val="00EF6B67"/>
    <w:rsid w:val="00EF6C14"/>
    <w:rsid w:val="00EF6C52"/>
    <w:rsid w:val="00EF6C87"/>
    <w:rsid w:val="00EF6F5B"/>
    <w:rsid w:val="00EF7533"/>
    <w:rsid w:val="00F00183"/>
    <w:rsid w:val="00F004D7"/>
    <w:rsid w:val="00F007C6"/>
    <w:rsid w:val="00F00E2F"/>
    <w:rsid w:val="00F00ED5"/>
    <w:rsid w:val="00F016C5"/>
    <w:rsid w:val="00F01784"/>
    <w:rsid w:val="00F0184A"/>
    <w:rsid w:val="00F02EE3"/>
    <w:rsid w:val="00F032F0"/>
    <w:rsid w:val="00F03711"/>
    <w:rsid w:val="00F04DA5"/>
    <w:rsid w:val="00F04E0D"/>
    <w:rsid w:val="00F04F12"/>
    <w:rsid w:val="00F05ED5"/>
    <w:rsid w:val="00F06279"/>
    <w:rsid w:val="00F0760A"/>
    <w:rsid w:val="00F078A4"/>
    <w:rsid w:val="00F07C27"/>
    <w:rsid w:val="00F07DCA"/>
    <w:rsid w:val="00F07DCD"/>
    <w:rsid w:val="00F10D03"/>
    <w:rsid w:val="00F11D18"/>
    <w:rsid w:val="00F12541"/>
    <w:rsid w:val="00F12C90"/>
    <w:rsid w:val="00F12E10"/>
    <w:rsid w:val="00F12FF9"/>
    <w:rsid w:val="00F137B0"/>
    <w:rsid w:val="00F14433"/>
    <w:rsid w:val="00F145F8"/>
    <w:rsid w:val="00F147E9"/>
    <w:rsid w:val="00F148CD"/>
    <w:rsid w:val="00F14B67"/>
    <w:rsid w:val="00F1524E"/>
    <w:rsid w:val="00F1678B"/>
    <w:rsid w:val="00F16894"/>
    <w:rsid w:val="00F17728"/>
    <w:rsid w:val="00F17771"/>
    <w:rsid w:val="00F1794D"/>
    <w:rsid w:val="00F17A2C"/>
    <w:rsid w:val="00F17A95"/>
    <w:rsid w:val="00F17F6D"/>
    <w:rsid w:val="00F20C11"/>
    <w:rsid w:val="00F2122C"/>
    <w:rsid w:val="00F21748"/>
    <w:rsid w:val="00F22053"/>
    <w:rsid w:val="00F22399"/>
    <w:rsid w:val="00F22F79"/>
    <w:rsid w:val="00F23002"/>
    <w:rsid w:val="00F23657"/>
    <w:rsid w:val="00F23B94"/>
    <w:rsid w:val="00F2403B"/>
    <w:rsid w:val="00F241CB"/>
    <w:rsid w:val="00F247AA"/>
    <w:rsid w:val="00F24966"/>
    <w:rsid w:val="00F25A52"/>
    <w:rsid w:val="00F25CB4"/>
    <w:rsid w:val="00F25E6A"/>
    <w:rsid w:val="00F26171"/>
    <w:rsid w:val="00F2662E"/>
    <w:rsid w:val="00F26886"/>
    <w:rsid w:val="00F26F61"/>
    <w:rsid w:val="00F278D2"/>
    <w:rsid w:val="00F30228"/>
    <w:rsid w:val="00F31517"/>
    <w:rsid w:val="00F31683"/>
    <w:rsid w:val="00F31C94"/>
    <w:rsid w:val="00F3208B"/>
    <w:rsid w:val="00F33376"/>
    <w:rsid w:val="00F33680"/>
    <w:rsid w:val="00F3377D"/>
    <w:rsid w:val="00F34841"/>
    <w:rsid w:val="00F3510B"/>
    <w:rsid w:val="00F357FC"/>
    <w:rsid w:val="00F35EBC"/>
    <w:rsid w:val="00F36135"/>
    <w:rsid w:val="00F36C32"/>
    <w:rsid w:val="00F36C94"/>
    <w:rsid w:val="00F370A6"/>
    <w:rsid w:val="00F3761E"/>
    <w:rsid w:val="00F37A3B"/>
    <w:rsid w:val="00F37E96"/>
    <w:rsid w:val="00F37EB1"/>
    <w:rsid w:val="00F37FD2"/>
    <w:rsid w:val="00F400AE"/>
    <w:rsid w:val="00F40314"/>
    <w:rsid w:val="00F40554"/>
    <w:rsid w:val="00F41189"/>
    <w:rsid w:val="00F412D4"/>
    <w:rsid w:val="00F4176D"/>
    <w:rsid w:val="00F435C0"/>
    <w:rsid w:val="00F44056"/>
    <w:rsid w:val="00F4417C"/>
    <w:rsid w:val="00F44389"/>
    <w:rsid w:val="00F443D2"/>
    <w:rsid w:val="00F44F43"/>
    <w:rsid w:val="00F45842"/>
    <w:rsid w:val="00F45E02"/>
    <w:rsid w:val="00F470BD"/>
    <w:rsid w:val="00F4794F"/>
    <w:rsid w:val="00F47E06"/>
    <w:rsid w:val="00F5024A"/>
    <w:rsid w:val="00F502C0"/>
    <w:rsid w:val="00F5041B"/>
    <w:rsid w:val="00F508B4"/>
    <w:rsid w:val="00F50982"/>
    <w:rsid w:val="00F50BEB"/>
    <w:rsid w:val="00F51724"/>
    <w:rsid w:val="00F52665"/>
    <w:rsid w:val="00F52775"/>
    <w:rsid w:val="00F52B32"/>
    <w:rsid w:val="00F53627"/>
    <w:rsid w:val="00F53E07"/>
    <w:rsid w:val="00F55359"/>
    <w:rsid w:val="00F56151"/>
    <w:rsid w:val="00F564D5"/>
    <w:rsid w:val="00F568EF"/>
    <w:rsid w:val="00F57F9E"/>
    <w:rsid w:val="00F60F8C"/>
    <w:rsid w:val="00F6170A"/>
    <w:rsid w:val="00F61875"/>
    <w:rsid w:val="00F622CF"/>
    <w:rsid w:val="00F6250E"/>
    <w:rsid w:val="00F62D41"/>
    <w:rsid w:val="00F63513"/>
    <w:rsid w:val="00F63930"/>
    <w:rsid w:val="00F640CD"/>
    <w:rsid w:val="00F641C3"/>
    <w:rsid w:val="00F645E4"/>
    <w:rsid w:val="00F64639"/>
    <w:rsid w:val="00F64758"/>
    <w:rsid w:val="00F64D2D"/>
    <w:rsid w:val="00F654CE"/>
    <w:rsid w:val="00F659BD"/>
    <w:rsid w:val="00F6698B"/>
    <w:rsid w:val="00F66DD7"/>
    <w:rsid w:val="00F67BC7"/>
    <w:rsid w:val="00F71085"/>
    <w:rsid w:val="00F715F0"/>
    <w:rsid w:val="00F716EA"/>
    <w:rsid w:val="00F717E4"/>
    <w:rsid w:val="00F71829"/>
    <w:rsid w:val="00F72726"/>
    <w:rsid w:val="00F73C10"/>
    <w:rsid w:val="00F74227"/>
    <w:rsid w:val="00F742B2"/>
    <w:rsid w:val="00F74BD2"/>
    <w:rsid w:val="00F77D34"/>
    <w:rsid w:val="00F8079F"/>
    <w:rsid w:val="00F80C13"/>
    <w:rsid w:val="00F8176D"/>
    <w:rsid w:val="00F81F26"/>
    <w:rsid w:val="00F8214C"/>
    <w:rsid w:val="00F8252D"/>
    <w:rsid w:val="00F826E0"/>
    <w:rsid w:val="00F82921"/>
    <w:rsid w:val="00F838BA"/>
    <w:rsid w:val="00F838C9"/>
    <w:rsid w:val="00F8409B"/>
    <w:rsid w:val="00F84626"/>
    <w:rsid w:val="00F84690"/>
    <w:rsid w:val="00F84714"/>
    <w:rsid w:val="00F84890"/>
    <w:rsid w:val="00F84C4B"/>
    <w:rsid w:val="00F84DC1"/>
    <w:rsid w:val="00F84F3E"/>
    <w:rsid w:val="00F8503F"/>
    <w:rsid w:val="00F8527C"/>
    <w:rsid w:val="00F853EC"/>
    <w:rsid w:val="00F85C7A"/>
    <w:rsid w:val="00F86AF6"/>
    <w:rsid w:val="00F87069"/>
    <w:rsid w:val="00F8719B"/>
    <w:rsid w:val="00F90544"/>
    <w:rsid w:val="00F90CEB"/>
    <w:rsid w:val="00F90E0B"/>
    <w:rsid w:val="00F916B2"/>
    <w:rsid w:val="00F9224D"/>
    <w:rsid w:val="00F935B0"/>
    <w:rsid w:val="00F939E8"/>
    <w:rsid w:val="00F93AA2"/>
    <w:rsid w:val="00F93BA7"/>
    <w:rsid w:val="00F942D5"/>
    <w:rsid w:val="00F943E4"/>
    <w:rsid w:val="00F94BA8"/>
    <w:rsid w:val="00F94F9A"/>
    <w:rsid w:val="00F95CC4"/>
    <w:rsid w:val="00F96B8F"/>
    <w:rsid w:val="00F970D8"/>
    <w:rsid w:val="00FA010A"/>
    <w:rsid w:val="00FA0356"/>
    <w:rsid w:val="00FA0605"/>
    <w:rsid w:val="00FA0ABC"/>
    <w:rsid w:val="00FA0F1E"/>
    <w:rsid w:val="00FA12F4"/>
    <w:rsid w:val="00FA1525"/>
    <w:rsid w:val="00FA154E"/>
    <w:rsid w:val="00FA1B92"/>
    <w:rsid w:val="00FA1ECA"/>
    <w:rsid w:val="00FA1FB9"/>
    <w:rsid w:val="00FA1FE4"/>
    <w:rsid w:val="00FA205B"/>
    <w:rsid w:val="00FA2203"/>
    <w:rsid w:val="00FA2FF1"/>
    <w:rsid w:val="00FA32B1"/>
    <w:rsid w:val="00FA43A1"/>
    <w:rsid w:val="00FA4912"/>
    <w:rsid w:val="00FA4E62"/>
    <w:rsid w:val="00FA5CEA"/>
    <w:rsid w:val="00FA5D16"/>
    <w:rsid w:val="00FA6193"/>
    <w:rsid w:val="00FA6B13"/>
    <w:rsid w:val="00FA6B9E"/>
    <w:rsid w:val="00FA6C7F"/>
    <w:rsid w:val="00FA6CDF"/>
    <w:rsid w:val="00FA6E36"/>
    <w:rsid w:val="00FA73DB"/>
    <w:rsid w:val="00FA76BD"/>
    <w:rsid w:val="00FA78D7"/>
    <w:rsid w:val="00FB0467"/>
    <w:rsid w:val="00FB0ECC"/>
    <w:rsid w:val="00FB0F95"/>
    <w:rsid w:val="00FB0FF2"/>
    <w:rsid w:val="00FB18BA"/>
    <w:rsid w:val="00FB18E5"/>
    <w:rsid w:val="00FB1A39"/>
    <w:rsid w:val="00FB1C23"/>
    <w:rsid w:val="00FB233C"/>
    <w:rsid w:val="00FB2549"/>
    <w:rsid w:val="00FB25C1"/>
    <w:rsid w:val="00FB2BCE"/>
    <w:rsid w:val="00FB3186"/>
    <w:rsid w:val="00FB31B4"/>
    <w:rsid w:val="00FB33D8"/>
    <w:rsid w:val="00FB3AA3"/>
    <w:rsid w:val="00FB4AC8"/>
    <w:rsid w:val="00FB4B40"/>
    <w:rsid w:val="00FB4F86"/>
    <w:rsid w:val="00FB4FC3"/>
    <w:rsid w:val="00FB5176"/>
    <w:rsid w:val="00FB517A"/>
    <w:rsid w:val="00FB51AE"/>
    <w:rsid w:val="00FB56F8"/>
    <w:rsid w:val="00FB5B38"/>
    <w:rsid w:val="00FB5C11"/>
    <w:rsid w:val="00FB6097"/>
    <w:rsid w:val="00FB63DB"/>
    <w:rsid w:val="00FB6694"/>
    <w:rsid w:val="00FB6833"/>
    <w:rsid w:val="00FB6887"/>
    <w:rsid w:val="00FB69A9"/>
    <w:rsid w:val="00FB764E"/>
    <w:rsid w:val="00FB7ACA"/>
    <w:rsid w:val="00FB7BEF"/>
    <w:rsid w:val="00FC0CC3"/>
    <w:rsid w:val="00FC112A"/>
    <w:rsid w:val="00FC124C"/>
    <w:rsid w:val="00FC1729"/>
    <w:rsid w:val="00FC17D3"/>
    <w:rsid w:val="00FC1C62"/>
    <w:rsid w:val="00FC23FE"/>
    <w:rsid w:val="00FC2546"/>
    <w:rsid w:val="00FC277A"/>
    <w:rsid w:val="00FC2C63"/>
    <w:rsid w:val="00FC3784"/>
    <w:rsid w:val="00FC3C65"/>
    <w:rsid w:val="00FC500A"/>
    <w:rsid w:val="00FC5BCF"/>
    <w:rsid w:val="00FC5D41"/>
    <w:rsid w:val="00FC5EDB"/>
    <w:rsid w:val="00FC5F1D"/>
    <w:rsid w:val="00FC6EE9"/>
    <w:rsid w:val="00FC70D0"/>
    <w:rsid w:val="00FC7A8F"/>
    <w:rsid w:val="00FD050F"/>
    <w:rsid w:val="00FD09D4"/>
    <w:rsid w:val="00FD0B44"/>
    <w:rsid w:val="00FD0EEB"/>
    <w:rsid w:val="00FD1A32"/>
    <w:rsid w:val="00FD1DA3"/>
    <w:rsid w:val="00FD213F"/>
    <w:rsid w:val="00FD2B53"/>
    <w:rsid w:val="00FD302D"/>
    <w:rsid w:val="00FD315B"/>
    <w:rsid w:val="00FD34CB"/>
    <w:rsid w:val="00FD3FE9"/>
    <w:rsid w:val="00FD438B"/>
    <w:rsid w:val="00FD4717"/>
    <w:rsid w:val="00FD4802"/>
    <w:rsid w:val="00FD505E"/>
    <w:rsid w:val="00FD518B"/>
    <w:rsid w:val="00FD55A0"/>
    <w:rsid w:val="00FD58A8"/>
    <w:rsid w:val="00FD5C35"/>
    <w:rsid w:val="00FD6ECD"/>
    <w:rsid w:val="00FD72B6"/>
    <w:rsid w:val="00FD7ABE"/>
    <w:rsid w:val="00FD7C4D"/>
    <w:rsid w:val="00FD7DBF"/>
    <w:rsid w:val="00FE01AA"/>
    <w:rsid w:val="00FE0354"/>
    <w:rsid w:val="00FE0912"/>
    <w:rsid w:val="00FE0B08"/>
    <w:rsid w:val="00FE1279"/>
    <w:rsid w:val="00FE15C8"/>
    <w:rsid w:val="00FE1D90"/>
    <w:rsid w:val="00FE212A"/>
    <w:rsid w:val="00FE2734"/>
    <w:rsid w:val="00FE3A91"/>
    <w:rsid w:val="00FE3C43"/>
    <w:rsid w:val="00FE3FF1"/>
    <w:rsid w:val="00FE499A"/>
    <w:rsid w:val="00FE4BEE"/>
    <w:rsid w:val="00FE50BC"/>
    <w:rsid w:val="00FE5C8C"/>
    <w:rsid w:val="00FE5DB3"/>
    <w:rsid w:val="00FE6869"/>
    <w:rsid w:val="00FE6E73"/>
    <w:rsid w:val="00FF0D84"/>
    <w:rsid w:val="00FF102F"/>
    <w:rsid w:val="00FF1112"/>
    <w:rsid w:val="00FF2099"/>
    <w:rsid w:val="00FF226C"/>
    <w:rsid w:val="00FF23DC"/>
    <w:rsid w:val="00FF2498"/>
    <w:rsid w:val="00FF27DD"/>
    <w:rsid w:val="00FF4427"/>
    <w:rsid w:val="00FF5639"/>
    <w:rsid w:val="00FF574B"/>
    <w:rsid w:val="00FF5870"/>
    <w:rsid w:val="00FF5897"/>
    <w:rsid w:val="00FF5E77"/>
    <w:rsid w:val="00FF68B0"/>
    <w:rsid w:val="00FF6955"/>
    <w:rsid w:val="00FF6F2C"/>
    <w:rsid w:val="02877CCD"/>
    <w:rsid w:val="031546F8"/>
    <w:rsid w:val="03CA2CD4"/>
    <w:rsid w:val="04F021E4"/>
    <w:rsid w:val="07E65880"/>
    <w:rsid w:val="07EC28B7"/>
    <w:rsid w:val="0AD16334"/>
    <w:rsid w:val="125D3300"/>
    <w:rsid w:val="16087B76"/>
    <w:rsid w:val="16F90CD7"/>
    <w:rsid w:val="183F215B"/>
    <w:rsid w:val="1AFF4838"/>
    <w:rsid w:val="1B362036"/>
    <w:rsid w:val="1CDD1D1D"/>
    <w:rsid w:val="1E304CF3"/>
    <w:rsid w:val="1FD46B10"/>
    <w:rsid w:val="21852DBE"/>
    <w:rsid w:val="23325A8B"/>
    <w:rsid w:val="24856099"/>
    <w:rsid w:val="26845715"/>
    <w:rsid w:val="26D26482"/>
    <w:rsid w:val="2C2B7713"/>
    <w:rsid w:val="2C4D48DD"/>
    <w:rsid w:val="306C0A28"/>
    <w:rsid w:val="3070260D"/>
    <w:rsid w:val="314C44AB"/>
    <w:rsid w:val="322A5868"/>
    <w:rsid w:val="36B47D81"/>
    <w:rsid w:val="36E0543C"/>
    <w:rsid w:val="38AF6054"/>
    <w:rsid w:val="3BE5131D"/>
    <w:rsid w:val="3C954EDA"/>
    <w:rsid w:val="3FBA4BAB"/>
    <w:rsid w:val="42E329F3"/>
    <w:rsid w:val="443F1949"/>
    <w:rsid w:val="448C5E3B"/>
    <w:rsid w:val="44D60BD8"/>
    <w:rsid w:val="4517577D"/>
    <w:rsid w:val="45574C5C"/>
    <w:rsid w:val="4683794D"/>
    <w:rsid w:val="47132153"/>
    <w:rsid w:val="4A575B30"/>
    <w:rsid w:val="4C911A4F"/>
    <w:rsid w:val="50907EC7"/>
    <w:rsid w:val="55733B54"/>
    <w:rsid w:val="55E05689"/>
    <w:rsid w:val="5B351D22"/>
    <w:rsid w:val="5B5043DF"/>
    <w:rsid w:val="60342DA6"/>
    <w:rsid w:val="66D403C8"/>
    <w:rsid w:val="6941482C"/>
    <w:rsid w:val="6A464C79"/>
    <w:rsid w:val="73A51A3F"/>
    <w:rsid w:val="74842B7E"/>
    <w:rsid w:val="790E6E96"/>
    <w:rsid w:val="799A0D10"/>
    <w:rsid w:val="7D6019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7"/>
    <w:qFormat/>
    <w:uiPriority w:val="0"/>
    <w:pPr>
      <w:keepNext/>
      <w:keepLines/>
      <w:spacing w:line="440" w:lineRule="exact"/>
      <w:outlineLvl w:val="2"/>
    </w:pPr>
    <w:rPr>
      <w:b/>
      <w:bCs/>
      <w:sz w:val="30"/>
      <w:szCs w:val="32"/>
    </w:rPr>
  </w:style>
  <w:style w:type="paragraph" w:styleId="5">
    <w:name w:val="heading 4"/>
    <w:next w:val="1"/>
    <w:link w:val="91"/>
    <w:qFormat/>
    <w:uiPriority w:val="0"/>
    <w:pPr>
      <w:wordWrap w:val="0"/>
      <w:spacing w:after="160"/>
      <w:ind w:left="1600" w:hanging="400"/>
      <w:jc w:val="both"/>
      <w:outlineLvl w:val="3"/>
    </w:pPr>
    <w:rPr>
      <w:rFonts w:ascii="Times New Roman" w:hAnsi="Times New Roman" w:eastAsia="宋体" w:cs="Times New Roman"/>
      <w:b/>
      <w:sz w:val="21"/>
      <w:lang w:val="en-US" w:eastAsia="zh-CN" w:bidi="ar-SA"/>
    </w:rPr>
  </w:style>
  <w:style w:type="paragraph" w:styleId="6">
    <w:name w:val="heading 5"/>
    <w:next w:val="1"/>
    <w:link w:val="92"/>
    <w:qFormat/>
    <w:uiPriority w:val="0"/>
    <w:pPr>
      <w:wordWrap w:val="0"/>
      <w:spacing w:after="160"/>
      <w:ind w:left="1800" w:hanging="400"/>
      <w:jc w:val="both"/>
      <w:outlineLvl w:val="4"/>
    </w:pPr>
    <w:rPr>
      <w:rFonts w:ascii="Times New Roman" w:hAnsi="Times New Roman" w:eastAsia="宋体" w:cs="Times New Roman"/>
      <w:sz w:val="21"/>
      <w:lang w:val="en-US" w:eastAsia="zh-CN" w:bidi="ar-SA"/>
    </w:rPr>
  </w:style>
  <w:style w:type="paragraph" w:styleId="7">
    <w:name w:val="heading 6"/>
    <w:next w:val="1"/>
    <w:link w:val="93"/>
    <w:qFormat/>
    <w:uiPriority w:val="0"/>
    <w:pPr>
      <w:wordWrap w:val="0"/>
      <w:spacing w:after="160"/>
      <w:ind w:left="2000" w:hanging="400"/>
      <w:jc w:val="both"/>
      <w:outlineLvl w:val="5"/>
    </w:pPr>
    <w:rPr>
      <w:rFonts w:ascii="Times New Roman" w:hAnsi="Times New Roman" w:eastAsia="宋体" w:cs="Times New Roman"/>
      <w:b/>
      <w:sz w:val="21"/>
      <w:lang w:val="en-US" w:eastAsia="zh-CN" w:bidi="ar-SA"/>
    </w:rPr>
  </w:style>
  <w:style w:type="paragraph" w:styleId="8">
    <w:name w:val="heading 7"/>
    <w:next w:val="1"/>
    <w:link w:val="94"/>
    <w:qFormat/>
    <w:uiPriority w:val="0"/>
    <w:pPr>
      <w:wordWrap w:val="0"/>
      <w:spacing w:after="160"/>
      <w:ind w:left="2200" w:hanging="400"/>
      <w:jc w:val="both"/>
      <w:outlineLvl w:val="6"/>
    </w:pPr>
    <w:rPr>
      <w:rFonts w:ascii="Times New Roman" w:hAnsi="Times New Roman" w:eastAsia="宋体" w:cs="Times New Roman"/>
      <w:sz w:val="21"/>
      <w:lang w:val="en-US" w:eastAsia="zh-CN" w:bidi="ar-SA"/>
    </w:rPr>
  </w:style>
  <w:style w:type="paragraph" w:styleId="9">
    <w:name w:val="heading 8"/>
    <w:next w:val="1"/>
    <w:link w:val="95"/>
    <w:qFormat/>
    <w:uiPriority w:val="0"/>
    <w:pPr>
      <w:wordWrap w:val="0"/>
      <w:spacing w:after="160"/>
      <w:ind w:left="2400" w:hanging="400"/>
      <w:jc w:val="both"/>
      <w:outlineLvl w:val="7"/>
    </w:pPr>
    <w:rPr>
      <w:rFonts w:ascii="Times New Roman" w:hAnsi="Times New Roman" w:eastAsia="宋体" w:cs="Times New Roman"/>
      <w:sz w:val="21"/>
      <w:lang w:val="en-US" w:eastAsia="zh-CN" w:bidi="ar-SA"/>
    </w:rPr>
  </w:style>
  <w:style w:type="paragraph" w:styleId="10">
    <w:name w:val="heading 9"/>
    <w:next w:val="1"/>
    <w:link w:val="96"/>
    <w:qFormat/>
    <w:uiPriority w:val="0"/>
    <w:pPr>
      <w:wordWrap w:val="0"/>
      <w:spacing w:after="160"/>
      <w:ind w:left="2600" w:hanging="400"/>
      <w:jc w:val="both"/>
      <w:outlineLvl w:val="8"/>
    </w:pPr>
    <w:rPr>
      <w:rFonts w:ascii="Times New Roman" w:hAnsi="Times New Roman" w:eastAsia="宋体" w:cs="Times New Roman"/>
      <w:sz w:val="21"/>
      <w:lang w:val="en-US" w:eastAsia="zh-CN" w:bidi="ar-SA"/>
    </w:rPr>
  </w:style>
  <w:style w:type="character" w:default="1" w:styleId="37">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50"/>
    <w:unhideWhenUsed/>
    <w:qFormat/>
    <w:uiPriority w:val="0"/>
    <w:rPr>
      <w:b/>
      <w:bCs/>
    </w:rPr>
  </w:style>
  <w:style w:type="paragraph" w:styleId="12">
    <w:name w:val="annotation text"/>
    <w:basedOn w:val="1"/>
    <w:link w:val="48"/>
    <w:unhideWhenUsed/>
    <w:qFormat/>
    <w:uiPriority w:val="0"/>
    <w:pPr>
      <w:jc w:val="left"/>
    </w:pPr>
    <w:rPr>
      <w:rFonts w:asciiTheme="minorHAnsi" w:hAnsiTheme="minorHAnsi" w:eastAsiaTheme="minorEastAsia" w:cstheme="minorBidi"/>
      <w:szCs w:val="22"/>
    </w:rPr>
  </w:style>
  <w:style w:type="paragraph" w:styleId="13">
    <w:name w:val="toc 7"/>
    <w:next w:val="1"/>
    <w:qFormat/>
    <w:uiPriority w:val="0"/>
    <w:pPr>
      <w:wordWrap w:val="0"/>
      <w:ind w:left="2125"/>
      <w:jc w:val="both"/>
    </w:pPr>
    <w:rPr>
      <w:rFonts w:ascii="Times New Roman" w:hAnsi="Times New Roman" w:eastAsia="宋体" w:cs="Times New Roman"/>
      <w:sz w:val="21"/>
      <w:lang w:val="en-US" w:eastAsia="zh-CN" w:bidi="ar-SA"/>
    </w:rPr>
  </w:style>
  <w:style w:type="paragraph" w:styleId="14">
    <w:name w:val="Normal Indent"/>
    <w:next w:val="1"/>
    <w:qFormat/>
    <w:uiPriority w:val="0"/>
    <w:pPr>
      <w:wordWrap w:val="0"/>
      <w:ind w:left="3400"/>
      <w:jc w:val="both"/>
    </w:pPr>
    <w:rPr>
      <w:rFonts w:ascii="Times New Roman" w:hAnsi="Times New Roman" w:eastAsia="宋体" w:cs="Times New Roman"/>
      <w:sz w:val="21"/>
      <w:lang w:val="en-US" w:eastAsia="zh-CN" w:bidi="ar-SA"/>
    </w:rPr>
  </w:style>
  <w:style w:type="paragraph" w:styleId="15">
    <w:name w:val="Document Map"/>
    <w:basedOn w:val="1"/>
    <w:link w:val="60"/>
    <w:qFormat/>
    <w:uiPriority w:val="0"/>
    <w:pPr>
      <w:shd w:val="clear" w:color="auto" w:fill="000080"/>
    </w:pPr>
  </w:style>
  <w:style w:type="paragraph" w:styleId="16">
    <w:name w:val="Body Text 3"/>
    <w:basedOn w:val="1"/>
    <w:next w:val="17"/>
    <w:link w:val="107"/>
    <w:qFormat/>
    <w:uiPriority w:val="0"/>
    <w:rPr>
      <w:rFonts w:ascii="仿宋_GB2312" w:eastAsia="仿宋_GB2312"/>
      <w:b/>
      <w:color w:val="000000"/>
      <w:kern w:val="0"/>
      <w:sz w:val="24"/>
    </w:rPr>
  </w:style>
  <w:style w:type="paragraph" w:styleId="17">
    <w:name w:val="toc 9"/>
    <w:next w:val="1"/>
    <w:qFormat/>
    <w:uiPriority w:val="0"/>
    <w:pPr>
      <w:wordWrap w:val="0"/>
      <w:ind w:left="2975"/>
      <w:jc w:val="both"/>
    </w:pPr>
    <w:rPr>
      <w:rFonts w:ascii="Times New Roman" w:hAnsi="Times New Roman" w:eastAsia="宋体" w:cs="Times New Roman"/>
      <w:sz w:val="21"/>
      <w:lang w:val="en-US" w:eastAsia="zh-CN" w:bidi="ar-SA"/>
    </w:rPr>
  </w:style>
  <w:style w:type="paragraph" w:styleId="18">
    <w:name w:val="Body Text"/>
    <w:basedOn w:val="1"/>
    <w:link w:val="58"/>
    <w:qFormat/>
    <w:uiPriority w:val="0"/>
    <w:rPr>
      <w:rFonts w:ascii="宋体" w:hAnsi="宋体"/>
      <w:i/>
      <w:iCs/>
      <w:szCs w:val="21"/>
    </w:rPr>
  </w:style>
  <w:style w:type="paragraph" w:styleId="19">
    <w:name w:val="Body Text Indent"/>
    <w:basedOn w:val="1"/>
    <w:link w:val="54"/>
    <w:qFormat/>
    <w:uiPriority w:val="0"/>
    <w:pPr>
      <w:spacing w:after="120"/>
      <w:ind w:left="420" w:leftChars="200"/>
    </w:pPr>
    <w:rPr>
      <w:rFonts w:asciiTheme="minorHAnsi" w:hAnsiTheme="minorHAnsi" w:eastAsiaTheme="minorEastAsia" w:cstheme="minorBidi"/>
      <w:szCs w:val="24"/>
    </w:rPr>
  </w:style>
  <w:style w:type="paragraph" w:styleId="20">
    <w:name w:val="toc 5"/>
    <w:next w:val="1"/>
    <w:qFormat/>
    <w:uiPriority w:val="0"/>
    <w:pPr>
      <w:wordWrap w:val="0"/>
      <w:ind w:left="1275"/>
      <w:jc w:val="both"/>
    </w:pPr>
    <w:rPr>
      <w:rFonts w:ascii="Times New Roman" w:hAnsi="Times New Roman" w:eastAsia="宋体" w:cs="Times New Roman"/>
      <w:sz w:val="21"/>
      <w:lang w:val="en-US" w:eastAsia="zh-CN" w:bidi="ar-SA"/>
    </w:rPr>
  </w:style>
  <w:style w:type="paragraph" w:styleId="21">
    <w:name w:val="toc 3"/>
    <w:basedOn w:val="1"/>
    <w:next w:val="1"/>
    <w:qFormat/>
    <w:uiPriority w:val="0"/>
    <w:pPr>
      <w:spacing w:line="460" w:lineRule="exact"/>
    </w:pPr>
    <w:rPr>
      <w:sz w:val="24"/>
    </w:rPr>
  </w:style>
  <w:style w:type="paragraph" w:styleId="22">
    <w:name w:val="Plain Text"/>
    <w:basedOn w:val="1"/>
    <w:link w:val="49"/>
    <w:qFormat/>
    <w:uiPriority w:val="0"/>
    <w:rPr>
      <w:rFonts w:ascii="宋体" w:hAnsi="Courier New" w:eastAsiaTheme="minorEastAsia" w:cstheme="minorBidi"/>
      <w:szCs w:val="22"/>
    </w:rPr>
  </w:style>
  <w:style w:type="paragraph" w:styleId="23">
    <w:name w:val="toc 8"/>
    <w:next w:val="1"/>
    <w:qFormat/>
    <w:uiPriority w:val="0"/>
    <w:pPr>
      <w:wordWrap w:val="0"/>
      <w:ind w:left="2550"/>
      <w:jc w:val="both"/>
    </w:pPr>
    <w:rPr>
      <w:rFonts w:ascii="Times New Roman" w:hAnsi="Times New Roman" w:eastAsia="宋体" w:cs="Times New Roman"/>
      <w:sz w:val="21"/>
      <w:lang w:val="en-US" w:eastAsia="zh-CN" w:bidi="ar-SA"/>
    </w:rPr>
  </w:style>
  <w:style w:type="paragraph" w:styleId="24">
    <w:name w:val="Date"/>
    <w:basedOn w:val="1"/>
    <w:next w:val="1"/>
    <w:link w:val="65"/>
    <w:qFormat/>
    <w:uiPriority w:val="0"/>
    <w:pPr>
      <w:ind w:left="100" w:leftChars="2500"/>
    </w:pPr>
  </w:style>
  <w:style w:type="paragraph" w:styleId="25">
    <w:name w:val="Body Text Indent 2"/>
    <w:basedOn w:val="1"/>
    <w:next w:val="26"/>
    <w:link w:val="106"/>
    <w:qFormat/>
    <w:uiPriority w:val="0"/>
    <w:pPr>
      <w:spacing w:line="300" w:lineRule="auto"/>
      <w:ind w:firstLine="480"/>
    </w:pPr>
    <w:rPr>
      <w:rFonts w:ascii="仿宋_GB2312" w:eastAsia="仿宋_GB2312"/>
      <w:color w:val="000000"/>
      <w:kern w:val="0"/>
      <w:sz w:val="24"/>
    </w:r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7">
    <w:name w:val="Balloon Text"/>
    <w:basedOn w:val="1"/>
    <w:link w:val="66"/>
    <w:qFormat/>
    <w:uiPriority w:val="0"/>
    <w:rPr>
      <w:sz w:val="18"/>
      <w:szCs w:val="18"/>
    </w:rPr>
  </w:style>
  <w:style w:type="paragraph" w:styleId="28">
    <w:name w:val="footer"/>
    <w:basedOn w:val="1"/>
    <w:link w:val="53"/>
    <w:qFormat/>
    <w:uiPriority w:val="99"/>
    <w:pPr>
      <w:tabs>
        <w:tab w:val="center" w:pos="4153"/>
        <w:tab w:val="right" w:pos="8306"/>
      </w:tabs>
      <w:snapToGrid w:val="0"/>
      <w:jc w:val="left"/>
    </w:pPr>
    <w:rPr>
      <w:rFonts w:asciiTheme="minorHAnsi" w:hAnsiTheme="minorHAnsi" w:eastAsiaTheme="minorEastAsia" w:cstheme="minorBidi"/>
      <w:sz w:val="18"/>
      <w:szCs w:val="22"/>
    </w:rPr>
  </w:style>
  <w:style w:type="paragraph" w:styleId="29">
    <w:name w:val="header"/>
    <w:basedOn w:val="1"/>
    <w:link w:val="51"/>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30">
    <w:name w:val="toc 1"/>
    <w:basedOn w:val="1"/>
    <w:next w:val="1"/>
    <w:qFormat/>
    <w:uiPriority w:val="0"/>
    <w:pPr>
      <w:spacing w:line="400" w:lineRule="exact"/>
    </w:pPr>
    <w:rPr>
      <w:sz w:val="24"/>
    </w:rPr>
  </w:style>
  <w:style w:type="paragraph" w:styleId="31">
    <w:name w:val="toc 4"/>
    <w:next w:val="1"/>
    <w:qFormat/>
    <w:uiPriority w:val="0"/>
    <w:pPr>
      <w:wordWrap w:val="0"/>
      <w:ind w:left="850"/>
      <w:jc w:val="both"/>
    </w:pPr>
    <w:rPr>
      <w:rFonts w:ascii="Times New Roman" w:hAnsi="Times New Roman" w:eastAsia="宋体" w:cs="Times New Roman"/>
      <w:sz w:val="21"/>
      <w:lang w:val="en-US" w:eastAsia="zh-CN" w:bidi="ar-SA"/>
    </w:rPr>
  </w:style>
  <w:style w:type="paragraph" w:styleId="32">
    <w:name w:val="Subtitle"/>
    <w:next w:val="1"/>
    <w:link w:val="105"/>
    <w:qFormat/>
    <w:uiPriority w:val="0"/>
    <w:pPr>
      <w:wordWrap w:val="0"/>
      <w:spacing w:after="60"/>
      <w:jc w:val="center"/>
    </w:pPr>
    <w:rPr>
      <w:rFonts w:ascii="Times New Roman" w:hAnsi="Times New Roman" w:eastAsia="宋体" w:cs="Times New Roman"/>
      <w:sz w:val="24"/>
      <w:lang w:val="en-US" w:eastAsia="zh-CN" w:bidi="ar-SA"/>
    </w:rPr>
  </w:style>
  <w:style w:type="paragraph" w:styleId="33">
    <w:name w:val="toc 6"/>
    <w:basedOn w:val="1"/>
    <w:next w:val="1"/>
    <w:semiHidden/>
    <w:qFormat/>
    <w:uiPriority w:val="0"/>
    <w:pPr>
      <w:ind w:left="2100" w:leftChars="1000"/>
    </w:pPr>
    <w:rPr>
      <w:szCs w:val="24"/>
    </w:rPr>
  </w:style>
  <w:style w:type="paragraph" w:styleId="34">
    <w:name w:val="Body Text Indent 3"/>
    <w:basedOn w:val="1"/>
    <w:next w:val="1"/>
    <w:link w:val="104"/>
    <w:qFormat/>
    <w:uiPriority w:val="0"/>
    <w:pPr>
      <w:spacing w:line="300" w:lineRule="auto"/>
      <w:ind w:firstLine="480"/>
    </w:pPr>
    <w:rPr>
      <w:rFonts w:ascii="仿宋_GB2312" w:eastAsia="仿宋_GB2312"/>
      <w:color w:val="000000"/>
      <w:kern w:val="0"/>
      <w:sz w:val="24"/>
    </w:rPr>
  </w:style>
  <w:style w:type="paragraph" w:styleId="35">
    <w:name w:val="toc 2"/>
    <w:basedOn w:val="1"/>
    <w:next w:val="1"/>
    <w:qFormat/>
    <w:uiPriority w:val="0"/>
    <w:pPr>
      <w:tabs>
        <w:tab w:val="right" w:leader="dot" w:pos="9060"/>
      </w:tabs>
      <w:spacing w:line="460" w:lineRule="exact"/>
    </w:pPr>
    <w:rPr>
      <w:color w:val="7030A0"/>
      <w:sz w:val="24"/>
      <w:szCs w:val="21"/>
    </w:rPr>
  </w:style>
  <w:style w:type="paragraph" w:styleId="36">
    <w:name w:val="Body Text 2"/>
    <w:basedOn w:val="1"/>
    <w:link w:val="55"/>
    <w:qFormat/>
    <w:uiPriority w:val="0"/>
    <w:pPr>
      <w:spacing w:after="120" w:line="480" w:lineRule="auto"/>
    </w:pPr>
    <w:rPr>
      <w:rFonts w:asciiTheme="minorHAnsi" w:hAnsiTheme="minorHAnsi" w:eastAsiaTheme="minorEastAsia" w:cstheme="minorBidi"/>
      <w:szCs w:val="22"/>
    </w:rPr>
  </w:style>
  <w:style w:type="character" w:styleId="38">
    <w:name w:val="Strong"/>
    <w:qFormat/>
    <w:uiPriority w:val="0"/>
    <w:rPr>
      <w:b/>
      <w:bCs/>
    </w:rPr>
  </w:style>
  <w:style w:type="character" w:styleId="39">
    <w:name w:val="page number"/>
    <w:basedOn w:val="37"/>
    <w:qFormat/>
    <w:uiPriority w:val="0"/>
  </w:style>
  <w:style w:type="character" w:styleId="40">
    <w:name w:val="Emphasis"/>
    <w:qFormat/>
    <w:uiPriority w:val="0"/>
    <w:rPr>
      <w:i/>
      <w:sz w:val="21"/>
    </w:rPr>
  </w:style>
  <w:style w:type="character" w:styleId="41">
    <w:name w:val="Hyperlink"/>
    <w:qFormat/>
    <w:uiPriority w:val="0"/>
    <w:rPr>
      <w:color w:val="0000FF"/>
      <w:u w:val="single"/>
    </w:rPr>
  </w:style>
  <w:style w:type="character" w:styleId="42">
    <w:name w:val="annotation reference"/>
    <w:unhideWhenUsed/>
    <w:qFormat/>
    <w:uiPriority w:val="0"/>
    <w:rPr>
      <w:sz w:val="21"/>
      <w:szCs w:val="21"/>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5">
    <w:name w:val="标题 1 字符"/>
    <w:basedOn w:val="37"/>
    <w:link w:val="2"/>
    <w:qFormat/>
    <w:uiPriority w:val="0"/>
    <w:rPr>
      <w:rFonts w:ascii="Times New Roman" w:hAnsi="Times New Roman" w:eastAsia="宋体" w:cs="Times New Roman"/>
      <w:b/>
      <w:bCs/>
      <w:kern w:val="44"/>
      <w:sz w:val="44"/>
      <w:szCs w:val="44"/>
    </w:rPr>
  </w:style>
  <w:style w:type="character" w:customStyle="1" w:styleId="46">
    <w:name w:val="标题 2 字符"/>
    <w:basedOn w:val="37"/>
    <w:link w:val="3"/>
    <w:qFormat/>
    <w:uiPriority w:val="0"/>
    <w:rPr>
      <w:rFonts w:ascii="Arial" w:hAnsi="Arial" w:eastAsia="黑体" w:cs="Times New Roman"/>
      <w:b/>
      <w:bCs/>
      <w:sz w:val="32"/>
      <w:szCs w:val="32"/>
    </w:rPr>
  </w:style>
  <w:style w:type="character" w:customStyle="1" w:styleId="47">
    <w:name w:val="标题 3 字符"/>
    <w:basedOn w:val="37"/>
    <w:link w:val="4"/>
    <w:qFormat/>
    <w:uiPriority w:val="0"/>
    <w:rPr>
      <w:rFonts w:ascii="Times New Roman" w:hAnsi="Times New Roman" w:eastAsia="宋体" w:cs="Times New Roman"/>
      <w:b/>
      <w:bCs/>
      <w:sz w:val="30"/>
      <w:szCs w:val="32"/>
    </w:rPr>
  </w:style>
  <w:style w:type="character" w:customStyle="1" w:styleId="48">
    <w:name w:val="批注文字 字符"/>
    <w:link w:val="12"/>
    <w:qFormat/>
    <w:uiPriority w:val="99"/>
  </w:style>
  <w:style w:type="character" w:customStyle="1" w:styleId="49">
    <w:name w:val="纯文本 字符"/>
    <w:link w:val="22"/>
    <w:qFormat/>
    <w:uiPriority w:val="0"/>
    <w:rPr>
      <w:rFonts w:ascii="宋体" w:hAnsi="Courier New"/>
    </w:rPr>
  </w:style>
  <w:style w:type="character" w:customStyle="1" w:styleId="50">
    <w:name w:val="批注主题 字符"/>
    <w:link w:val="11"/>
    <w:qFormat/>
    <w:uiPriority w:val="99"/>
    <w:rPr>
      <w:b/>
      <w:bCs/>
    </w:rPr>
  </w:style>
  <w:style w:type="character" w:customStyle="1" w:styleId="51">
    <w:name w:val="页眉 字符"/>
    <w:link w:val="29"/>
    <w:qFormat/>
    <w:uiPriority w:val="99"/>
    <w:rPr>
      <w:sz w:val="18"/>
      <w:szCs w:val="18"/>
    </w:rPr>
  </w:style>
  <w:style w:type="character" w:customStyle="1" w:styleId="52">
    <w:name w:val="clabel1"/>
    <w:qFormat/>
    <w:uiPriority w:val="0"/>
    <w:rPr>
      <w:color w:val="FF0000"/>
    </w:rPr>
  </w:style>
  <w:style w:type="character" w:customStyle="1" w:styleId="53">
    <w:name w:val="页脚 字符"/>
    <w:link w:val="28"/>
    <w:qFormat/>
    <w:uiPriority w:val="99"/>
    <w:rPr>
      <w:sz w:val="18"/>
    </w:rPr>
  </w:style>
  <w:style w:type="character" w:customStyle="1" w:styleId="54">
    <w:name w:val="正文文本缩进 字符"/>
    <w:link w:val="19"/>
    <w:qFormat/>
    <w:uiPriority w:val="0"/>
    <w:rPr>
      <w:szCs w:val="24"/>
    </w:rPr>
  </w:style>
  <w:style w:type="character" w:customStyle="1" w:styleId="55">
    <w:name w:val="正文文本 2 字符"/>
    <w:link w:val="36"/>
    <w:qFormat/>
    <w:uiPriority w:val="0"/>
  </w:style>
  <w:style w:type="character" w:customStyle="1" w:styleId="56">
    <w:name w:val="纯文本 Char"/>
    <w:qFormat/>
    <w:uiPriority w:val="99"/>
    <w:rPr>
      <w:rFonts w:ascii="宋体" w:hAnsi="Courier New" w:cs="Courier New"/>
      <w:kern w:val="2"/>
      <w:sz w:val="21"/>
      <w:szCs w:val="21"/>
    </w:rPr>
  </w:style>
  <w:style w:type="character" w:customStyle="1" w:styleId="57">
    <w:name w:val="正文文本缩进 Char1"/>
    <w:basedOn w:val="37"/>
    <w:semiHidden/>
    <w:qFormat/>
    <w:uiPriority w:val="99"/>
    <w:rPr>
      <w:rFonts w:ascii="Times New Roman" w:hAnsi="Times New Roman" w:eastAsia="宋体" w:cs="Times New Roman"/>
      <w:szCs w:val="20"/>
    </w:rPr>
  </w:style>
  <w:style w:type="character" w:customStyle="1" w:styleId="58">
    <w:name w:val="正文文本 字符"/>
    <w:basedOn w:val="37"/>
    <w:link w:val="18"/>
    <w:qFormat/>
    <w:uiPriority w:val="0"/>
    <w:rPr>
      <w:rFonts w:ascii="宋体" w:hAnsi="宋体" w:eastAsia="宋体" w:cs="Times New Roman"/>
      <w:i/>
      <w:iCs/>
      <w:szCs w:val="21"/>
    </w:rPr>
  </w:style>
  <w:style w:type="character" w:customStyle="1" w:styleId="59">
    <w:name w:val="批注文字 Char1"/>
    <w:basedOn w:val="37"/>
    <w:semiHidden/>
    <w:qFormat/>
    <w:uiPriority w:val="99"/>
    <w:rPr>
      <w:rFonts w:ascii="Times New Roman" w:hAnsi="Times New Roman" w:eastAsia="宋体" w:cs="Times New Roman"/>
      <w:szCs w:val="20"/>
    </w:rPr>
  </w:style>
  <w:style w:type="character" w:customStyle="1" w:styleId="60">
    <w:name w:val="文档结构图 字符"/>
    <w:basedOn w:val="37"/>
    <w:link w:val="15"/>
    <w:qFormat/>
    <w:uiPriority w:val="0"/>
    <w:rPr>
      <w:rFonts w:ascii="Times New Roman" w:hAnsi="Times New Roman" w:eastAsia="宋体" w:cs="Times New Roman"/>
      <w:szCs w:val="20"/>
      <w:shd w:val="clear" w:color="auto" w:fill="000080"/>
    </w:rPr>
  </w:style>
  <w:style w:type="character" w:customStyle="1" w:styleId="61">
    <w:name w:val="页脚 Char1"/>
    <w:basedOn w:val="37"/>
    <w:semiHidden/>
    <w:qFormat/>
    <w:uiPriority w:val="99"/>
    <w:rPr>
      <w:rFonts w:ascii="Times New Roman" w:hAnsi="Times New Roman" w:eastAsia="宋体" w:cs="Times New Roman"/>
      <w:sz w:val="18"/>
      <w:szCs w:val="18"/>
    </w:rPr>
  </w:style>
  <w:style w:type="character" w:customStyle="1" w:styleId="62">
    <w:name w:val="纯文本 Char2"/>
    <w:basedOn w:val="37"/>
    <w:semiHidden/>
    <w:qFormat/>
    <w:uiPriority w:val="99"/>
    <w:rPr>
      <w:rFonts w:ascii="宋体" w:hAnsi="Courier New" w:eastAsia="宋体" w:cs="Courier New"/>
      <w:szCs w:val="21"/>
    </w:rPr>
  </w:style>
  <w:style w:type="character" w:customStyle="1" w:styleId="63">
    <w:name w:val="批注主题 Char1"/>
    <w:basedOn w:val="59"/>
    <w:semiHidden/>
    <w:qFormat/>
    <w:uiPriority w:val="99"/>
    <w:rPr>
      <w:rFonts w:ascii="Times New Roman" w:hAnsi="Times New Roman" w:eastAsia="宋体" w:cs="Times New Roman"/>
      <w:b/>
      <w:bCs/>
      <w:szCs w:val="20"/>
    </w:rPr>
  </w:style>
  <w:style w:type="character" w:customStyle="1" w:styleId="64">
    <w:name w:val="正文文本 2 Char1"/>
    <w:basedOn w:val="37"/>
    <w:semiHidden/>
    <w:qFormat/>
    <w:uiPriority w:val="99"/>
    <w:rPr>
      <w:rFonts w:ascii="Times New Roman" w:hAnsi="Times New Roman" w:eastAsia="宋体" w:cs="Times New Roman"/>
      <w:szCs w:val="20"/>
    </w:rPr>
  </w:style>
  <w:style w:type="character" w:customStyle="1" w:styleId="65">
    <w:name w:val="日期 字符"/>
    <w:basedOn w:val="37"/>
    <w:link w:val="24"/>
    <w:qFormat/>
    <w:uiPriority w:val="0"/>
    <w:rPr>
      <w:rFonts w:ascii="Times New Roman" w:hAnsi="Times New Roman" w:eastAsia="宋体" w:cs="Times New Roman"/>
      <w:szCs w:val="20"/>
    </w:rPr>
  </w:style>
  <w:style w:type="character" w:customStyle="1" w:styleId="66">
    <w:name w:val="批注框文本 字符"/>
    <w:basedOn w:val="37"/>
    <w:link w:val="27"/>
    <w:qFormat/>
    <w:uiPriority w:val="0"/>
    <w:rPr>
      <w:rFonts w:ascii="Times New Roman" w:hAnsi="Times New Roman" w:eastAsia="宋体" w:cs="Times New Roman"/>
      <w:sz w:val="18"/>
      <w:szCs w:val="18"/>
    </w:rPr>
  </w:style>
  <w:style w:type="character" w:customStyle="1" w:styleId="67">
    <w:name w:val="页眉 Char1"/>
    <w:basedOn w:val="37"/>
    <w:semiHidden/>
    <w:qFormat/>
    <w:uiPriority w:val="99"/>
    <w:rPr>
      <w:rFonts w:ascii="Times New Roman" w:hAnsi="Times New Roman" w:eastAsia="宋体" w:cs="Times New Roman"/>
      <w:sz w:val="18"/>
      <w:szCs w:val="18"/>
    </w:rPr>
  </w:style>
  <w:style w:type="paragraph" w:customStyle="1" w:styleId="68">
    <w:name w:val="列出段落2"/>
    <w:basedOn w:val="1"/>
    <w:qFormat/>
    <w:uiPriority w:val="0"/>
    <w:pPr>
      <w:ind w:firstLine="420" w:firstLineChars="200"/>
    </w:pPr>
    <w:rPr>
      <w:rFonts w:ascii="Calibri" w:hAnsi="Calibri" w:cs="Calibri"/>
      <w:szCs w:val="21"/>
    </w:rPr>
  </w:style>
  <w:style w:type="paragraph" w:customStyle="1" w:styleId="69">
    <w:name w:val="Char2 Char Char Char"/>
    <w:basedOn w:val="1"/>
    <w:qFormat/>
    <w:uiPriority w:val="0"/>
    <w:pPr>
      <w:widowControl/>
      <w:spacing w:after="160" w:line="240" w:lineRule="exact"/>
      <w:jc w:val="left"/>
    </w:pPr>
    <w:rPr>
      <w:rFonts w:ascii="Verdana" w:hAnsi="Verdana"/>
      <w:kern w:val="0"/>
      <w:sz w:val="20"/>
      <w:lang w:eastAsia="en-US"/>
    </w:rPr>
  </w:style>
  <w:style w:type="paragraph" w:customStyle="1" w:styleId="70">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71">
    <w:name w:val="修订1"/>
    <w:semiHidden/>
    <w:qFormat/>
    <w:uiPriority w:val="99"/>
    <w:rPr>
      <w:rFonts w:ascii="Times New Roman" w:hAnsi="Times New Roman" w:eastAsia="宋体" w:cs="Times New Roman"/>
      <w:kern w:val="2"/>
      <w:sz w:val="21"/>
      <w:lang w:val="en-US" w:eastAsia="zh-CN" w:bidi="ar-SA"/>
    </w:rPr>
  </w:style>
  <w:style w:type="paragraph" w:customStyle="1" w:styleId="72">
    <w:name w:val="表文"/>
    <w:basedOn w:val="1"/>
    <w:qFormat/>
    <w:uiPriority w:val="0"/>
    <w:pPr>
      <w:topLinePunct/>
    </w:pPr>
    <w:rPr>
      <w:kern w:val="0"/>
      <w:sz w:val="18"/>
      <w:szCs w:val="18"/>
    </w:rPr>
  </w:style>
  <w:style w:type="paragraph" w:customStyle="1" w:styleId="73">
    <w:name w:val="Char"/>
    <w:basedOn w:val="1"/>
    <w:qFormat/>
    <w:uiPriority w:val="0"/>
    <w:pPr>
      <w:widowControl/>
      <w:spacing w:after="160" w:line="240" w:lineRule="exact"/>
      <w:jc w:val="left"/>
    </w:pPr>
    <w:rPr>
      <w:rFonts w:ascii="Verdana" w:hAnsi="Verdana"/>
      <w:kern w:val="0"/>
      <w:sz w:val="20"/>
      <w:lang w:eastAsia="en-US"/>
    </w:rPr>
  </w:style>
  <w:style w:type="paragraph" w:customStyle="1" w:styleId="74">
    <w:name w:val="默认段落字体 Para Char Char Char Char Char Char Char"/>
    <w:basedOn w:val="1"/>
    <w:qFormat/>
    <w:uiPriority w:val="0"/>
    <w:rPr>
      <w:rFonts w:ascii="Tahoma" w:hAnsi="Tahoma"/>
      <w:sz w:val="24"/>
    </w:rPr>
  </w:style>
  <w:style w:type="paragraph" w:styleId="75">
    <w:name w:val="List Paragraph"/>
    <w:basedOn w:val="1"/>
    <w:qFormat/>
    <w:uiPriority w:val="34"/>
    <w:pPr>
      <w:ind w:firstLine="420" w:firstLineChars="200"/>
    </w:pPr>
    <w:rPr>
      <w:rFonts w:ascii="Calibri" w:hAnsi="Calibri"/>
      <w:szCs w:val="22"/>
    </w:rPr>
  </w:style>
  <w:style w:type="paragraph" w:customStyle="1" w:styleId="76">
    <w:name w:val="TOC 标题1"/>
    <w:basedOn w:val="2"/>
    <w:next w:val="1"/>
    <w:qFormat/>
    <w:uiPriority w:val="39"/>
    <w:pPr>
      <w:widowControl/>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7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8">
    <w:name w:val="正文（生产细则）"/>
    <w:basedOn w:val="1"/>
    <w:qFormat/>
    <w:uiPriority w:val="0"/>
    <w:pPr>
      <w:adjustRightInd w:val="0"/>
      <w:snapToGrid w:val="0"/>
      <w:spacing w:line="300" w:lineRule="auto"/>
      <w:ind w:firstLine="200" w:firstLineChars="200"/>
    </w:pPr>
    <w:rPr>
      <w:rFonts w:eastAsia="仿宋_GB2312"/>
      <w:color w:val="000000"/>
      <w:sz w:val="24"/>
      <w:szCs w:val="24"/>
    </w:rPr>
  </w:style>
  <w:style w:type="paragraph" w:customStyle="1" w:styleId="79">
    <w:name w:val="样式 标题 1 +"/>
    <w:basedOn w:val="2"/>
    <w:qFormat/>
    <w:uiPriority w:val="0"/>
    <w:pPr>
      <w:spacing w:before="0" w:after="0" w:line="440" w:lineRule="exact"/>
      <w:ind w:firstLine="420" w:firstLineChars="200"/>
    </w:pPr>
    <w:rPr>
      <w:rFonts w:eastAsia="黑体"/>
      <w:b w:val="0"/>
      <w:kern w:val="0"/>
      <w:sz w:val="21"/>
    </w:rPr>
  </w:style>
  <w:style w:type="paragraph" w:customStyle="1" w:styleId="80">
    <w:name w:val="列出段落1"/>
    <w:basedOn w:val="1"/>
    <w:qFormat/>
    <w:uiPriority w:val="0"/>
    <w:pPr>
      <w:ind w:firstLine="420" w:firstLineChars="200"/>
    </w:pPr>
    <w:rPr>
      <w:rFonts w:ascii="Calibri" w:hAnsi="Calibri" w:cs="Calibri"/>
      <w:szCs w:val="21"/>
    </w:rPr>
  </w:style>
  <w:style w:type="paragraph" w:customStyle="1" w:styleId="81">
    <w:name w:val="列出段落11"/>
    <w:basedOn w:val="1"/>
    <w:qFormat/>
    <w:uiPriority w:val="0"/>
    <w:pPr>
      <w:ind w:firstLine="420" w:firstLineChars="200"/>
    </w:pPr>
    <w:rPr>
      <w:rFonts w:ascii="Calibri" w:hAnsi="Calibri" w:cs="Calibri"/>
      <w:szCs w:val="21"/>
    </w:rPr>
  </w:style>
  <w:style w:type="paragraph" w:customStyle="1" w:styleId="82">
    <w:name w:val="样式 标题 2 +"/>
    <w:basedOn w:val="3"/>
    <w:qFormat/>
    <w:uiPriority w:val="0"/>
    <w:pPr>
      <w:spacing w:before="0" w:after="0" w:line="440" w:lineRule="exact"/>
      <w:ind w:firstLine="422" w:firstLineChars="200"/>
    </w:pPr>
    <w:rPr>
      <w:rFonts w:ascii="宋体" w:hAnsi="宋体" w:eastAsia="宋体"/>
      <w:bCs w:val="0"/>
      <w:sz w:val="21"/>
      <w:szCs w:val="20"/>
    </w:rPr>
  </w:style>
  <w:style w:type="paragraph" w:customStyle="1" w:styleId="83">
    <w:name w:val="纯文本1"/>
    <w:basedOn w:val="1"/>
    <w:qFormat/>
    <w:uiPriority w:val="0"/>
    <w:pPr>
      <w:adjustRightInd w:val="0"/>
      <w:textAlignment w:val="baseline"/>
    </w:pPr>
    <w:rPr>
      <w:rFonts w:ascii="宋体" w:hAnsi="Courier New"/>
    </w:rPr>
  </w:style>
  <w:style w:type="paragraph" w:customStyle="1" w:styleId="84">
    <w:name w:val="reader-word-layer reader-word-s1-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5">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86">
    <w:name w:val="修订2"/>
    <w:hidden/>
    <w:semiHidden/>
    <w:qFormat/>
    <w:uiPriority w:val="99"/>
    <w:rPr>
      <w:rFonts w:ascii="Times New Roman" w:hAnsi="Times New Roman" w:eastAsia="宋体" w:cs="Times New Roman"/>
      <w:kern w:val="2"/>
      <w:sz w:val="21"/>
      <w:lang w:val="en-US" w:eastAsia="zh-CN" w:bidi="ar-SA"/>
    </w:rPr>
  </w:style>
  <w:style w:type="paragraph" w:customStyle="1" w:styleId="87">
    <w:name w:val="列表段落1"/>
    <w:basedOn w:val="1"/>
    <w:qFormat/>
    <w:uiPriority w:val="0"/>
    <w:pPr>
      <w:ind w:firstLine="420" w:firstLineChars="200"/>
    </w:pPr>
    <w:rPr>
      <w:rFonts w:ascii="Calibri" w:hAnsi="Calibri" w:cs="Calibri"/>
      <w:szCs w:val="21"/>
    </w:rPr>
  </w:style>
  <w:style w:type="paragraph" w:customStyle="1" w:styleId="88">
    <w:name w:val="List Paragraph1"/>
    <w:basedOn w:val="1"/>
    <w:qFormat/>
    <w:uiPriority w:val="0"/>
    <w:pPr>
      <w:ind w:firstLine="420" w:firstLineChars="200"/>
    </w:pPr>
    <w:rPr>
      <w:rFonts w:ascii="Calibri" w:hAnsi="Calibri" w:cs="Calibri"/>
      <w:szCs w:val="21"/>
    </w:rPr>
  </w:style>
  <w:style w:type="paragraph" w:customStyle="1" w:styleId="89">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90">
    <w:name w:val="xl25"/>
    <w:basedOn w:val="1"/>
    <w:next w:val="1"/>
    <w:qFormat/>
    <w:uiPriority w:val="0"/>
    <w:pPr>
      <w:widowControl/>
      <w:spacing w:before="280" w:after="280"/>
    </w:pPr>
    <w:rPr>
      <w:rFonts w:ascii="宋体" w:hAnsi="Calibri"/>
      <w:color w:val="000000"/>
      <w:kern w:val="0"/>
      <w:sz w:val="24"/>
    </w:rPr>
  </w:style>
  <w:style w:type="character" w:customStyle="1" w:styleId="91">
    <w:name w:val="标题 4 字符"/>
    <w:basedOn w:val="37"/>
    <w:link w:val="5"/>
    <w:qFormat/>
    <w:uiPriority w:val="0"/>
    <w:rPr>
      <w:b/>
      <w:sz w:val="21"/>
    </w:rPr>
  </w:style>
  <w:style w:type="character" w:customStyle="1" w:styleId="92">
    <w:name w:val="标题 5 字符"/>
    <w:basedOn w:val="37"/>
    <w:link w:val="6"/>
    <w:qFormat/>
    <w:uiPriority w:val="0"/>
    <w:rPr>
      <w:sz w:val="21"/>
    </w:rPr>
  </w:style>
  <w:style w:type="character" w:customStyle="1" w:styleId="93">
    <w:name w:val="标题 6 字符"/>
    <w:basedOn w:val="37"/>
    <w:link w:val="7"/>
    <w:qFormat/>
    <w:uiPriority w:val="0"/>
    <w:rPr>
      <w:b/>
      <w:sz w:val="21"/>
    </w:rPr>
  </w:style>
  <w:style w:type="character" w:customStyle="1" w:styleId="94">
    <w:name w:val="标题 7 字符"/>
    <w:basedOn w:val="37"/>
    <w:link w:val="8"/>
    <w:qFormat/>
    <w:uiPriority w:val="0"/>
    <w:rPr>
      <w:sz w:val="21"/>
    </w:rPr>
  </w:style>
  <w:style w:type="character" w:customStyle="1" w:styleId="95">
    <w:name w:val="标题 8 字符"/>
    <w:basedOn w:val="37"/>
    <w:link w:val="9"/>
    <w:qFormat/>
    <w:uiPriority w:val="0"/>
    <w:rPr>
      <w:sz w:val="21"/>
    </w:rPr>
  </w:style>
  <w:style w:type="character" w:customStyle="1" w:styleId="96">
    <w:name w:val="标题 9 字符"/>
    <w:basedOn w:val="37"/>
    <w:link w:val="10"/>
    <w:qFormat/>
    <w:uiPriority w:val="0"/>
    <w:rPr>
      <w:sz w:val="21"/>
    </w:rPr>
  </w:style>
  <w:style w:type="character" w:customStyle="1" w:styleId="97">
    <w:name w:val="Book Title"/>
    <w:qFormat/>
    <w:uiPriority w:val="0"/>
    <w:rPr>
      <w:b/>
      <w:i/>
      <w:sz w:val="21"/>
    </w:rPr>
  </w:style>
  <w:style w:type="character" w:customStyle="1" w:styleId="98">
    <w:name w:val="标题 3 Char"/>
    <w:semiHidden/>
    <w:qFormat/>
    <w:uiPriority w:val="0"/>
    <w:rPr>
      <w:b/>
      <w:sz w:val="20"/>
    </w:rPr>
  </w:style>
  <w:style w:type="character" w:customStyle="1" w:styleId="99">
    <w:name w:val="Intense Emphasis"/>
    <w:qFormat/>
    <w:uiPriority w:val="0"/>
    <w:rPr>
      <w:i/>
      <w:color w:val="auto"/>
      <w:sz w:val="21"/>
    </w:rPr>
  </w:style>
  <w:style w:type="character" w:customStyle="1" w:styleId="100">
    <w:name w:val="word131"/>
    <w:qFormat/>
    <w:uiPriority w:val="0"/>
    <w:rPr>
      <w:color w:val="333333"/>
      <w:sz w:val="20"/>
      <w:u w:val="none"/>
    </w:rPr>
  </w:style>
  <w:style w:type="character" w:customStyle="1" w:styleId="101">
    <w:name w:val="Intense Reference"/>
    <w:qFormat/>
    <w:uiPriority w:val="0"/>
    <w:rPr>
      <w:b/>
      <w:color w:val="auto"/>
      <w:sz w:val="21"/>
    </w:rPr>
  </w:style>
  <w:style w:type="character" w:customStyle="1" w:styleId="102">
    <w:name w:val="Subtle Emphasis"/>
    <w:qFormat/>
    <w:uiPriority w:val="0"/>
    <w:rPr>
      <w:i/>
      <w:color w:val="808080"/>
      <w:sz w:val="20"/>
    </w:rPr>
  </w:style>
  <w:style w:type="character" w:customStyle="1" w:styleId="103">
    <w:name w:val="Subtle Reference"/>
    <w:qFormat/>
    <w:uiPriority w:val="0"/>
    <w:rPr>
      <w:color w:val="auto"/>
      <w:sz w:val="21"/>
    </w:rPr>
  </w:style>
  <w:style w:type="character" w:customStyle="1" w:styleId="104">
    <w:name w:val="正文文本缩进 3 字符"/>
    <w:basedOn w:val="37"/>
    <w:link w:val="34"/>
    <w:qFormat/>
    <w:uiPriority w:val="0"/>
    <w:rPr>
      <w:rFonts w:ascii="仿宋_GB2312" w:eastAsia="仿宋_GB2312"/>
      <w:color w:val="000000"/>
      <w:sz w:val="24"/>
    </w:rPr>
  </w:style>
  <w:style w:type="character" w:customStyle="1" w:styleId="105">
    <w:name w:val="副标题 字符"/>
    <w:basedOn w:val="37"/>
    <w:link w:val="32"/>
    <w:qFormat/>
    <w:uiPriority w:val="0"/>
    <w:rPr>
      <w:sz w:val="24"/>
    </w:rPr>
  </w:style>
  <w:style w:type="character" w:customStyle="1" w:styleId="106">
    <w:name w:val="正文文本缩进 2 字符"/>
    <w:basedOn w:val="37"/>
    <w:link w:val="25"/>
    <w:qFormat/>
    <w:uiPriority w:val="0"/>
    <w:rPr>
      <w:rFonts w:ascii="仿宋_GB2312" w:eastAsia="仿宋_GB2312"/>
      <w:color w:val="000000"/>
      <w:sz w:val="24"/>
    </w:rPr>
  </w:style>
  <w:style w:type="character" w:customStyle="1" w:styleId="107">
    <w:name w:val="正文文本 3 字符"/>
    <w:basedOn w:val="37"/>
    <w:link w:val="16"/>
    <w:qFormat/>
    <w:uiPriority w:val="0"/>
    <w:rPr>
      <w:rFonts w:ascii="仿宋_GB2312" w:eastAsia="仿宋_GB2312"/>
      <w:b/>
      <w:color w:val="000000"/>
      <w:sz w:val="24"/>
    </w:rPr>
  </w:style>
  <w:style w:type="paragraph" w:customStyle="1" w:styleId="108">
    <w:name w:val="目录标题"/>
    <w:next w:val="1"/>
    <w:qFormat/>
    <w:uiPriority w:val="0"/>
    <w:pPr>
      <w:wordWrap w:val="0"/>
    </w:pPr>
    <w:rPr>
      <w:rFonts w:ascii="Times New Roman" w:hAnsi="Times New Roman" w:eastAsia="宋体" w:cs="Times New Roman"/>
      <w:sz w:val="32"/>
      <w:lang w:val="en-US" w:eastAsia="zh-CN" w:bidi="ar-SA"/>
    </w:rPr>
  </w:style>
  <w:style w:type="paragraph" w:customStyle="1" w:styleId="109">
    <w:name w:val="彩色网格 - 强调文字颜色 1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110">
    <w:name w:val="列表段落2"/>
    <w:basedOn w:val="1"/>
    <w:qFormat/>
    <w:uiPriority w:val="99"/>
    <w:pPr>
      <w:ind w:firstLine="420" w:firstLineChars="200"/>
    </w:pPr>
    <w:rPr>
      <w:rFonts w:ascii="Calibri" w:hAnsi="Calibri" w:cs="Calibri"/>
      <w:szCs w:val="21"/>
    </w:rPr>
  </w:style>
  <w:style w:type="paragraph" w:customStyle="1" w:styleId="111">
    <w:name w:val="font6"/>
    <w:basedOn w:val="1"/>
    <w:next w:val="16"/>
    <w:qFormat/>
    <w:uiPriority w:val="0"/>
    <w:pPr>
      <w:widowControl/>
      <w:spacing w:before="280" w:after="280"/>
    </w:pPr>
    <w:rPr>
      <w:rFonts w:ascii="宋体"/>
      <w:color w:val="000000"/>
      <w:kern w:val="0"/>
      <w:sz w:val="24"/>
    </w:rPr>
  </w:style>
  <w:style w:type="paragraph" w:customStyle="1" w:styleId="112">
    <w:name w:val="Char Char Char Char1"/>
    <w:basedOn w:val="1"/>
    <w:next w:val="1"/>
    <w:qFormat/>
    <w:uiPriority w:val="0"/>
    <w:pPr>
      <w:widowControl/>
      <w:spacing w:after="160" w:line="240" w:lineRule="exact"/>
    </w:pPr>
    <w:rPr>
      <w:rFonts w:ascii="Arial" w:eastAsia="Times New Roman"/>
      <w:b/>
      <w:kern w:val="0"/>
      <w:sz w:val="24"/>
    </w:rPr>
  </w:style>
  <w:style w:type="paragraph" w:customStyle="1" w:styleId="113">
    <w:name w:val="彩色列表 - 强调文字颜色 11"/>
    <w:basedOn w:val="1"/>
    <w:next w:val="114"/>
    <w:qFormat/>
    <w:uiPriority w:val="0"/>
    <w:pPr>
      <w:ind w:firstLine="420"/>
    </w:pPr>
    <w:rPr>
      <w:rFonts w:ascii="Calibri"/>
      <w:kern w:val="0"/>
    </w:rPr>
  </w:style>
  <w:style w:type="paragraph" w:customStyle="1" w:styleId="114">
    <w:name w:val="xl32"/>
    <w:basedOn w:val="1"/>
    <w:next w:val="33"/>
    <w:qFormat/>
    <w:uiPriority w:val="0"/>
    <w:pPr>
      <w:widowControl/>
      <w:spacing w:before="280" w:after="280"/>
    </w:pPr>
    <w:rPr>
      <w:rFonts w:ascii="宋体"/>
      <w:kern w:val="0"/>
      <w:sz w:val="32"/>
    </w:rPr>
  </w:style>
  <w:style w:type="paragraph" w:customStyle="1" w:styleId="115">
    <w:name w:val="列表段落3"/>
    <w:basedOn w:val="1"/>
    <w:qFormat/>
    <w:uiPriority w:val="0"/>
    <w:pPr>
      <w:ind w:firstLine="420" w:firstLineChars="200"/>
    </w:pPr>
    <w:rPr>
      <w:rFonts w:ascii="Calibri" w:hAnsi="Calibri" w:cs="Calibri"/>
      <w:kern w:val="0"/>
      <w:szCs w:val="21"/>
    </w:rPr>
  </w:style>
  <w:style w:type="paragraph" w:customStyle="1" w:styleId="116">
    <w:name w:val="xl31"/>
    <w:basedOn w:val="1"/>
    <w:next w:val="1"/>
    <w:qFormat/>
    <w:uiPriority w:val="0"/>
    <w:pPr>
      <w:widowControl/>
      <w:spacing w:before="280" w:after="280"/>
    </w:pPr>
    <w:rPr>
      <w:rFonts w:ascii="宋体"/>
      <w:kern w:val="0"/>
      <w:sz w:val="32"/>
    </w:rPr>
  </w:style>
  <w:style w:type="paragraph" w:customStyle="1" w:styleId="117">
    <w:name w:val="Char1"/>
    <w:basedOn w:val="1"/>
    <w:next w:val="1"/>
    <w:qFormat/>
    <w:uiPriority w:val="0"/>
    <w:pPr>
      <w:widowControl/>
      <w:spacing w:after="160" w:line="240" w:lineRule="exact"/>
    </w:pPr>
    <w:rPr>
      <w:rFonts w:ascii="Verdana"/>
      <w:kern w:val="0"/>
      <w:sz w:val="20"/>
    </w:rPr>
  </w:style>
  <w:style w:type="paragraph" w:customStyle="1" w:styleId="118">
    <w:name w:val="xl24"/>
    <w:basedOn w:val="1"/>
    <w:next w:val="1"/>
    <w:qFormat/>
    <w:uiPriority w:val="0"/>
    <w:pPr>
      <w:widowControl/>
      <w:spacing w:before="280" w:after="280"/>
      <w:jc w:val="center"/>
    </w:pPr>
    <w:rPr>
      <w:rFonts w:ascii="宋体"/>
      <w:color w:val="000000"/>
      <w:kern w:val="0"/>
      <w:sz w:val="24"/>
    </w:rPr>
  </w:style>
  <w:style w:type="paragraph" w:customStyle="1" w:styleId="119">
    <w:name w:val="xl28"/>
    <w:basedOn w:val="1"/>
    <w:next w:val="118"/>
    <w:qFormat/>
    <w:uiPriority w:val="0"/>
    <w:pPr>
      <w:widowControl/>
      <w:spacing w:before="280" w:after="280"/>
    </w:pPr>
    <w:rPr>
      <w:color w:val="000000"/>
      <w:kern w:val="0"/>
      <w:sz w:val="24"/>
    </w:rPr>
  </w:style>
  <w:style w:type="paragraph" w:customStyle="1" w:styleId="120">
    <w:name w:val="纯文本2"/>
    <w:basedOn w:val="1"/>
    <w:next w:val="33"/>
    <w:uiPriority w:val="0"/>
    <w:rPr>
      <w:rFonts w:ascii="宋体"/>
      <w:kern w:val="0"/>
    </w:rPr>
  </w:style>
  <w:style w:type="paragraph" w:customStyle="1" w:styleId="121">
    <w:name w:val="Char Char8 Char Char"/>
    <w:basedOn w:val="1"/>
    <w:next w:val="122"/>
    <w:qFormat/>
    <w:uiPriority w:val="0"/>
    <w:rPr>
      <w:kern w:val="0"/>
    </w:rPr>
  </w:style>
  <w:style w:type="paragraph" w:customStyle="1" w:styleId="122">
    <w:name w:val="xl26"/>
    <w:basedOn w:val="1"/>
    <w:next w:val="35"/>
    <w:qFormat/>
    <w:uiPriority w:val="0"/>
    <w:pPr>
      <w:widowControl/>
      <w:spacing w:before="280" w:after="280"/>
    </w:pPr>
    <w:rPr>
      <w:rFonts w:ascii="宋体"/>
      <w:color w:val="000000"/>
      <w:kern w:val="0"/>
      <w:sz w:val="22"/>
    </w:rPr>
  </w:style>
  <w:style w:type="paragraph" w:customStyle="1" w:styleId="123">
    <w:name w:val="浅色底纹 - 强调文字颜色 21"/>
    <w:next w:val="1"/>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customStyle="1" w:styleId="124">
    <w:name w:val="font5"/>
    <w:basedOn w:val="1"/>
    <w:next w:val="24"/>
    <w:qFormat/>
    <w:uiPriority w:val="0"/>
    <w:pPr>
      <w:widowControl/>
      <w:spacing w:before="280" w:after="280"/>
    </w:pPr>
    <w:rPr>
      <w:rFonts w:ascii="宋体"/>
      <w:kern w:val="0"/>
      <w:sz w:val="18"/>
    </w:rPr>
  </w:style>
  <w:style w:type="paragraph" w:customStyle="1" w:styleId="125">
    <w:name w:val="xl29"/>
    <w:basedOn w:val="1"/>
    <w:next w:val="1"/>
    <w:qFormat/>
    <w:uiPriority w:val="0"/>
    <w:pPr>
      <w:widowControl/>
      <w:spacing w:before="280" w:after="280"/>
    </w:pPr>
    <w:rPr>
      <w:rFonts w:ascii="宋体"/>
      <w:color w:val="000000"/>
      <w:kern w:val="0"/>
      <w:sz w:val="24"/>
      <w:u w:val="single"/>
    </w:rPr>
  </w:style>
  <w:style w:type="paragraph" w:customStyle="1" w:styleId="126">
    <w:name w:val="Char2 Char Char Char1"/>
    <w:basedOn w:val="1"/>
    <w:next w:val="79"/>
    <w:qFormat/>
    <w:uiPriority w:val="0"/>
    <w:pPr>
      <w:widowControl/>
      <w:spacing w:after="160" w:line="240" w:lineRule="exact"/>
    </w:pPr>
    <w:rPr>
      <w:rFonts w:ascii="Verdana"/>
      <w:kern w:val="0"/>
      <w:sz w:val="20"/>
    </w:rPr>
  </w:style>
  <w:style w:type="paragraph" w:customStyle="1" w:styleId="127">
    <w:name w:val="xl30"/>
    <w:basedOn w:val="1"/>
    <w:next w:val="117"/>
    <w:qFormat/>
    <w:uiPriority w:val="0"/>
    <w:pPr>
      <w:widowControl/>
      <w:spacing w:before="280" w:after="280"/>
    </w:pPr>
    <w:rPr>
      <w:rFonts w:ascii="宋体"/>
      <w:color w:val="000000"/>
      <w:kern w:val="0"/>
      <w:sz w:val="32"/>
    </w:rPr>
  </w:style>
  <w:style w:type="paragraph" w:customStyle="1" w:styleId="128">
    <w:name w:val="Plain Text1"/>
    <w:basedOn w:val="1"/>
    <w:next w:val="14"/>
    <w:qFormat/>
    <w:uiPriority w:val="0"/>
    <w:rPr>
      <w:rFonts w:ascii="宋体"/>
      <w:kern w:val="0"/>
    </w:rPr>
  </w:style>
  <w:style w:type="paragraph" w:customStyle="1" w:styleId="129">
    <w:name w:val="xl27"/>
    <w:basedOn w:val="1"/>
    <w:next w:val="18"/>
    <w:qFormat/>
    <w:uiPriority w:val="0"/>
    <w:pPr>
      <w:widowControl/>
      <w:spacing w:before="280" w:after="280"/>
    </w:pPr>
    <w:rPr>
      <w:rFonts w:ascii="宋体"/>
      <w:color w:val="000000"/>
      <w:kern w:val="0"/>
      <w:sz w:val="24"/>
    </w:rPr>
  </w:style>
  <w:style w:type="paragraph" w:customStyle="1" w:styleId="130">
    <w:name w:val="font7"/>
    <w:basedOn w:val="1"/>
    <w:next w:val="25"/>
    <w:qFormat/>
    <w:uiPriority w:val="0"/>
    <w:pPr>
      <w:widowControl/>
      <w:spacing w:before="280" w:after="280"/>
    </w:pPr>
    <w:rPr>
      <w:color w:val="00000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EA65AE-F448-4536-A1C9-8984021EAF4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1184</Words>
  <Characters>6749</Characters>
  <Lines>56</Lines>
  <Paragraphs>15</Paragraphs>
  <TotalTime>0</TotalTime>
  <ScaleCrop>false</ScaleCrop>
  <LinksUpToDate>false</LinksUpToDate>
  <CharactersWithSpaces>7918</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2021-03-01T01:45:00Z</dcterms:created>
  <dc:creator>刘冬</dc:creator>
  <cp:lastModifiedBy>hp</cp:lastModifiedBy>
  <cp:lastPrinted>2021-03-01T02:01:00Z</cp:lastPrinted>
  <dcterms:modified xsi:type="dcterms:W3CDTF">2021-03-30T06:31:50Z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