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s>
        <w:autoSpaceDE w:val="0"/>
        <w:autoSpaceDN w:val="0"/>
        <w:adjustRightInd w:val="0"/>
        <w:ind w:left="352" w:right="18" w:hanging="180"/>
        <w:jc w:val="right"/>
        <w:rPr>
          <w:rFonts w:ascii="宋体" w:hAnsi="宋体"/>
          <w:color w:val="000000" w:themeColor="text1"/>
          <w:sz w:val="28"/>
          <w:szCs w:val="28"/>
        </w:rPr>
      </w:pPr>
      <w:r>
        <w:rPr>
          <w:rFonts w:hint="eastAsia" w:ascii="宋体" w:hAnsi="宋体"/>
          <w:color w:val="000000" w:themeColor="text1"/>
          <w:sz w:val="28"/>
          <w:szCs w:val="28"/>
        </w:rPr>
        <w:t>编号：（X）</w:t>
      </w:r>
      <w:r>
        <w:rPr>
          <w:rFonts w:ascii="宋体" w:hAnsi="宋体"/>
          <w:color w:val="000000" w:themeColor="text1"/>
          <w:sz w:val="28"/>
          <w:szCs w:val="28"/>
        </w:rPr>
        <w:t>XK</w:t>
      </w:r>
      <w:r>
        <w:rPr>
          <w:rFonts w:hint="eastAsia" w:ascii="宋体" w:hAnsi="宋体"/>
          <w:color w:val="000000" w:themeColor="text1"/>
          <w:sz w:val="28"/>
          <w:szCs w:val="28"/>
        </w:rPr>
        <w:t>09</w:t>
      </w:r>
      <w:r>
        <w:rPr>
          <w:rFonts w:ascii="宋体" w:hAnsi="宋体"/>
          <w:color w:val="000000" w:themeColor="text1"/>
          <w:sz w:val="28"/>
          <w:szCs w:val="28"/>
        </w:rPr>
        <w:t>-00</w:t>
      </w:r>
      <w:r>
        <w:rPr>
          <w:rFonts w:hint="eastAsia" w:ascii="宋体" w:hAnsi="宋体"/>
          <w:color w:val="000000" w:themeColor="text1"/>
          <w:sz w:val="28"/>
          <w:szCs w:val="28"/>
        </w:rPr>
        <w:t>7</w:t>
      </w:r>
    </w:p>
    <w:p>
      <w:pPr>
        <w:spacing w:line="360" w:lineRule="auto"/>
        <w:jc w:val="right"/>
        <w:rPr>
          <w:rFonts w:ascii="仿宋_GB2312" w:eastAsia="仿宋_GB2312"/>
          <w:b/>
          <w:color w:val="000000" w:themeColor="text1"/>
          <w:sz w:val="52"/>
        </w:rPr>
      </w:pPr>
    </w:p>
    <w:p>
      <w:pPr>
        <w:spacing w:line="360" w:lineRule="auto"/>
        <w:jc w:val="right"/>
        <w:rPr>
          <w:rFonts w:ascii="仿宋_GB2312" w:eastAsia="仿宋_GB2312"/>
          <w:b/>
          <w:color w:val="000000" w:themeColor="text1"/>
          <w:sz w:val="52"/>
        </w:rPr>
      </w:pPr>
    </w:p>
    <w:p>
      <w:pPr>
        <w:spacing w:line="360" w:lineRule="auto"/>
        <w:jc w:val="center"/>
        <w:rPr>
          <w:rFonts w:ascii="方正小标宋简体" w:hAnsi="宋体" w:eastAsia="方正小标宋简体"/>
          <w:color w:val="000000" w:themeColor="text1"/>
          <w:kern w:val="0"/>
          <w:sz w:val="44"/>
          <w:szCs w:val="44"/>
        </w:rPr>
      </w:pPr>
      <w:r>
        <w:rPr>
          <w:rFonts w:hint="eastAsia" w:ascii="方正小标宋简体" w:hAnsi="宋体" w:eastAsia="方正小标宋简体"/>
          <w:color w:val="000000" w:themeColor="text1"/>
          <w:kern w:val="0"/>
          <w:sz w:val="44"/>
          <w:szCs w:val="44"/>
        </w:rPr>
        <w:t>广播电视传输设备产品生产许可证实施细则</w:t>
      </w:r>
    </w:p>
    <w:p>
      <w:pPr>
        <w:spacing w:line="360" w:lineRule="auto"/>
        <w:jc w:val="center"/>
        <w:rPr>
          <w:rFonts w:ascii="方正楷体简体" w:hAnsi="宋体" w:eastAsia="方正楷体简体"/>
          <w:color w:val="000000" w:themeColor="text1"/>
          <w:kern w:val="0"/>
          <w:sz w:val="32"/>
          <w:szCs w:val="32"/>
        </w:rPr>
      </w:pPr>
      <w:r>
        <w:rPr>
          <w:rFonts w:hint="eastAsia" w:ascii="方正楷体简体" w:hAnsi="宋体" w:eastAsia="方正楷体简体"/>
          <w:color w:val="000000" w:themeColor="text1"/>
          <w:kern w:val="0"/>
          <w:sz w:val="32"/>
          <w:szCs w:val="32"/>
        </w:rPr>
        <w:t>（送审稿）</w:t>
      </w:r>
    </w:p>
    <w:p>
      <w:pPr>
        <w:tabs>
          <w:tab w:val="left" w:pos="720"/>
        </w:tabs>
        <w:autoSpaceDE w:val="0"/>
        <w:autoSpaceDN w:val="0"/>
        <w:adjustRightInd w:val="0"/>
        <w:spacing w:line="360" w:lineRule="auto"/>
        <w:ind w:left="352" w:right="18" w:hanging="180"/>
        <w:jc w:val="center"/>
        <w:rPr>
          <w:rFonts w:ascii="MS+Sans+Serif" w:eastAsia="MS+Sans+Serif"/>
          <w:color w:val="000000" w:themeColor="text1"/>
          <w:kern w:val="0"/>
          <w:sz w:val="32"/>
          <w:szCs w:val="32"/>
        </w:rPr>
      </w:pPr>
    </w:p>
    <w:p>
      <w:pPr>
        <w:tabs>
          <w:tab w:val="left" w:pos="720"/>
        </w:tabs>
        <w:autoSpaceDE w:val="0"/>
        <w:autoSpaceDN w:val="0"/>
        <w:adjustRightInd w:val="0"/>
        <w:spacing w:line="360" w:lineRule="auto"/>
        <w:ind w:left="352" w:right="18" w:hanging="180"/>
        <w:jc w:val="left"/>
        <w:rPr>
          <w:rFonts w:ascii="方正仿宋简体" w:eastAsia="方正仿宋简体"/>
          <w:b/>
          <w:color w:val="000000" w:themeColor="text1"/>
          <w:kern w:val="0"/>
          <w:sz w:val="28"/>
          <w:szCs w:val="28"/>
        </w:rPr>
      </w:pPr>
    </w:p>
    <w:p>
      <w:pPr>
        <w:tabs>
          <w:tab w:val="left" w:pos="720"/>
        </w:tabs>
        <w:autoSpaceDE w:val="0"/>
        <w:autoSpaceDN w:val="0"/>
        <w:adjustRightInd w:val="0"/>
        <w:spacing w:line="360" w:lineRule="auto"/>
        <w:ind w:right="18"/>
        <w:jc w:val="left"/>
        <w:rPr>
          <w:rFonts w:ascii="方正仿宋简体" w:eastAsia="方正仿宋简体"/>
          <w:color w:val="000000" w:themeColor="text1"/>
          <w:kern w:val="0"/>
          <w:sz w:val="28"/>
          <w:szCs w:val="28"/>
        </w:rPr>
      </w:pPr>
    </w:p>
    <w:p>
      <w:pPr>
        <w:tabs>
          <w:tab w:val="left" w:pos="720"/>
        </w:tabs>
        <w:autoSpaceDE w:val="0"/>
        <w:autoSpaceDN w:val="0"/>
        <w:adjustRightInd w:val="0"/>
        <w:spacing w:line="360" w:lineRule="auto"/>
        <w:ind w:left="352" w:right="18" w:hanging="180"/>
        <w:jc w:val="left"/>
        <w:rPr>
          <w:rFonts w:ascii="方正仿宋简体" w:eastAsia="方正仿宋简体"/>
          <w:color w:val="000000" w:themeColor="text1"/>
          <w:kern w:val="0"/>
          <w:sz w:val="28"/>
          <w:szCs w:val="28"/>
        </w:rPr>
      </w:pPr>
    </w:p>
    <w:p>
      <w:pPr>
        <w:tabs>
          <w:tab w:val="left" w:pos="720"/>
        </w:tabs>
        <w:autoSpaceDE w:val="0"/>
        <w:autoSpaceDN w:val="0"/>
        <w:adjustRightInd w:val="0"/>
        <w:spacing w:line="360" w:lineRule="auto"/>
        <w:ind w:left="352" w:right="18" w:hanging="180"/>
        <w:jc w:val="left"/>
        <w:rPr>
          <w:rFonts w:ascii="方正仿宋简体" w:eastAsia="方正仿宋简体"/>
          <w:color w:val="000000" w:themeColor="text1"/>
          <w:kern w:val="0"/>
          <w:sz w:val="28"/>
          <w:szCs w:val="28"/>
        </w:rPr>
      </w:pPr>
    </w:p>
    <w:p>
      <w:pPr>
        <w:tabs>
          <w:tab w:val="left" w:pos="720"/>
        </w:tabs>
        <w:autoSpaceDE w:val="0"/>
        <w:autoSpaceDN w:val="0"/>
        <w:adjustRightInd w:val="0"/>
        <w:spacing w:line="360" w:lineRule="auto"/>
        <w:ind w:left="352" w:right="18" w:hanging="180"/>
        <w:jc w:val="left"/>
        <w:rPr>
          <w:rFonts w:ascii="方正仿宋简体" w:eastAsia="方正仿宋简体"/>
          <w:color w:val="000000" w:themeColor="text1"/>
          <w:kern w:val="0"/>
          <w:sz w:val="28"/>
          <w:szCs w:val="28"/>
        </w:rPr>
      </w:pPr>
    </w:p>
    <w:p>
      <w:pPr>
        <w:tabs>
          <w:tab w:val="left" w:pos="720"/>
        </w:tabs>
        <w:autoSpaceDE w:val="0"/>
        <w:autoSpaceDN w:val="0"/>
        <w:adjustRightInd w:val="0"/>
        <w:spacing w:line="360" w:lineRule="auto"/>
        <w:ind w:left="352" w:right="18" w:hanging="180"/>
        <w:jc w:val="left"/>
        <w:rPr>
          <w:rFonts w:ascii="方正仿宋简体" w:eastAsia="方正仿宋简体"/>
          <w:color w:val="000000" w:themeColor="text1"/>
          <w:kern w:val="0"/>
          <w:sz w:val="28"/>
          <w:szCs w:val="28"/>
        </w:rPr>
      </w:pPr>
    </w:p>
    <w:p>
      <w:pPr>
        <w:tabs>
          <w:tab w:val="left" w:pos="720"/>
        </w:tabs>
        <w:autoSpaceDE w:val="0"/>
        <w:autoSpaceDN w:val="0"/>
        <w:adjustRightInd w:val="0"/>
        <w:spacing w:line="240" w:lineRule="exact"/>
        <w:ind w:left="351" w:right="17" w:hanging="181"/>
        <w:jc w:val="left"/>
        <w:rPr>
          <w:rFonts w:ascii="方正仿宋简体" w:eastAsia="方正仿宋简体"/>
          <w:color w:val="000000" w:themeColor="text1"/>
          <w:kern w:val="0"/>
          <w:sz w:val="28"/>
          <w:szCs w:val="28"/>
        </w:rPr>
      </w:pPr>
    </w:p>
    <w:p>
      <w:pPr>
        <w:tabs>
          <w:tab w:val="left" w:pos="720"/>
        </w:tabs>
        <w:autoSpaceDE w:val="0"/>
        <w:autoSpaceDN w:val="0"/>
        <w:adjustRightInd w:val="0"/>
        <w:spacing w:line="360" w:lineRule="auto"/>
        <w:ind w:left="352" w:right="18" w:hanging="180"/>
        <w:jc w:val="left"/>
        <w:rPr>
          <w:rFonts w:ascii="方正仿宋简体" w:eastAsia="方正仿宋简体"/>
          <w:color w:val="000000" w:themeColor="text1"/>
          <w:kern w:val="0"/>
          <w:sz w:val="28"/>
          <w:szCs w:val="28"/>
        </w:rPr>
      </w:pPr>
    </w:p>
    <w:p>
      <w:pPr>
        <w:tabs>
          <w:tab w:val="left" w:pos="720"/>
        </w:tabs>
        <w:autoSpaceDE w:val="0"/>
        <w:autoSpaceDN w:val="0"/>
        <w:adjustRightInd w:val="0"/>
        <w:spacing w:line="360" w:lineRule="auto"/>
        <w:ind w:left="352" w:right="18" w:hanging="180"/>
        <w:jc w:val="left"/>
        <w:rPr>
          <w:rFonts w:ascii="方正仿宋简体" w:eastAsia="方正仿宋简体"/>
          <w:color w:val="000000" w:themeColor="text1"/>
          <w:kern w:val="0"/>
          <w:sz w:val="28"/>
          <w:szCs w:val="28"/>
        </w:rPr>
      </w:pPr>
    </w:p>
    <w:p>
      <w:pPr>
        <w:tabs>
          <w:tab w:val="left" w:pos="720"/>
        </w:tabs>
        <w:autoSpaceDE w:val="0"/>
        <w:autoSpaceDN w:val="0"/>
        <w:adjustRightInd w:val="0"/>
        <w:spacing w:line="360" w:lineRule="auto"/>
        <w:ind w:left="352" w:right="18" w:hanging="180"/>
        <w:jc w:val="left"/>
        <w:rPr>
          <w:rFonts w:ascii="方正仿宋简体" w:eastAsia="方正仿宋简体"/>
          <w:color w:val="000000" w:themeColor="text1"/>
          <w:kern w:val="0"/>
          <w:sz w:val="28"/>
          <w:szCs w:val="28"/>
        </w:rPr>
      </w:pPr>
    </w:p>
    <w:p>
      <w:pPr>
        <w:tabs>
          <w:tab w:val="left" w:pos="720"/>
        </w:tabs>
        <w:autoSpaceDE w:val="0"/>
        <w:autoSpaceDN w:val="0"/>
        <w:adjustRightInd w:val="0"/>
        <w:spacing w:line="360" w:lineRule="auto"/>
        <w:ind w:left="352" w:right="18" w:hanging="180"/>
        <w:jc w:val="center"/>
        <w:rPr>
          <w:rFonts w:ascii="宋体" w:hAnsi="宋体"/>
          <w:b/>
          <w:color w:val="000000" w:themeColor="text1"/>
          <w:kern w:val="0"/>
          <w:sz w:val="28"/>
          <w:szCs w:val="28"/>
        </w:rPr>
      </w:pPr>
      <w:r>
        <w:rPr>
          <w:rFonts w:hint="eastAsia" w:ascii="宋体" w:hAnsi="宋体"/>
          <w:b/>
          <w:color w:val="000000" w:themeColor="text1"/>
          <w:kern w:val="0"/>
          <w:sz w:val="28"/>
          <w:szCs w:val="28"/>
        </w:rPr>
        <w:t>2020-××-××公布                     2020-××-××实施</w:t>
      </w:r>
    </w:p>
    <w:p>
      <w:pPr>
        <w:tabs>
          <w:tab w:val="left" w:pos="720"/>
        </w:tabs>
        <w:autoSpaceDE w:val="0"/>
        <w:autoSpaceDN w:val="0"/>
        <w:adjustRightInd w:val="0"/>
        <w:spacing w:line="360" w:lineRule="auto"/>
        <w:ind w:left="352" w:right="18" w:hanging="180"/>
        <w:jc w:val="center"/>
        <w:rPr>
          <w:rFonts w:ascii="方正大标宋简体" w:eastAsia="方正大标宋简体"/>
          <w:color w:val="000000" w:themeColor="text1"/>
          <w:kern w:val="0"/>
          <w:sz w:val="36"/>
          <w:szCs w:val="36"/>
        </w:rPr>
      </w:pPr>
      <w:r>
        <w:rPr>
          <w:rFonts w:ascii="方正大标宋简体" w:eastAsia="方正大标宋简体"/>
          <w:color w:val="000000" w:themeColor="text1"/>
          <w:kern w:val="0"/>
          <w:sz w:val="36"/>
          <w:szCs w:val="36"/>
        </w:rPr>
        <w:pict>
          <v:line id="直线 10" o:spid="_x0000_s1026" o:spt="20" style="position:absolute;left:0pt;margin-left:-0.05pt;margin-top:13.45pt;height:0pt;width:453.55pt;z-index:25167667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">
            <v:path arrowok="t"/>
            <v:fill focussize="0,0"/>
            <v:stroke/>
            <v:imagedata o:title=""/>
            <o:lock v:ext="edit"/>
          </v:line>
        </w:pict>
      </w:r>
    </w:p>
    <w:p>
      <w:pPr>
        <w:tabs>
          <w:tab w:val="left" w:pos="720"/>
        </w:tabs>
        <w:autoSpaceDE w:val="0"/>
        <w:autoSpaceDN w:val="0"/>
        <w:adjustRightInd w:val="0"/>
        <w:spacing w:line="360" w:lineRule="auto"/>
        <w:ind w:left="352" w:right="18" w:hanging="180"/>
        <w:jc w:val="center"/>
        <w:rPr>
          <w:rFonts w:ascii="宋体" w:hAnsi="宋体"/>
          <w:b/>
          <w:color w:val="000000" w:themeColor="text1"/>
          <w:sz w:val="10"/>
          <w:szCs w:val="10"/>
        </w:rPr>
      </w:pPr>
      <w:r>
        <w:rPr>
          <w:rFonts w:hint="eastAsia" w:ascii="宋体" w:hAnsi="宋体"/>
          <w:b/>
          <w:color w:val="000000" w:themeColor="text1"/>
          <w:kern w:val="0"/>
          <w:sz w:val="32"/>
          <w:szCs w:val="32"/>
        </w:rPr>
        <w:t>国家市场监督管理总局</w:t>
      </w:r>
      <w:r>
        <w:rPr>
          <w:rFonts w:ascii="宋体" w:hAnsi="宋体"/>
          <w:b/>
          <w:color w:val="000000" w:themeColor="text1"/>
          <w:sz w:val="10"/>
          <w:szCs w:val="10"/>
        </w:rPr>
        <w:br w:type="page"/>
      </w:r>
    </w:p>
    <w:p>
      <w:pPr>
        <w:tabs>
          <w:tab w:val="left" w:pos="8788"/>
        </w:tabs>
        <w:adjustRightInd w:val="0"/>
        <w:spacing w:line="360" w:lineRule="auto"/>
        <w:rPr>
          <w:rFonts w:ascii="宋体" w:hAnsi="宋体"/>
          <w:color w:val="000000" w:themeColor="text1"/>
          <w:sz w:val="24"/>
          <w:szCs w:val="28"/>
        </w:rPr>
        <w:sectPr>
          <w:headerReference r:id="rId4" w:type="first"/>
          <w:footerReference r:id="rId6" w:type="first"/>
          <w:headerReference r:id="rId3" w:type="default"/>
          <w:footerReference r:id="rId5" w:type="default"/>
          <w:pgSz w:w="11906" w:h="16838"/>
          <w:pgMar w:top="1418" w:right="1418" w:bottom="1090" w:left="1418" w:header="851" w:footer="992" w:gutter="0"/>
          <w:pgNumType w:fmt="upperRoman" w:start="1"/>
          <w:cols w:space="720" w:num="1"/>
          <w:titlePg/>
          <w:docGrid w:type="lines" w:linePitch="312" w:charSpace="0"/>
        </w:sectPr>
      </w:pPr>
    </w:p>
    <w:p>
      <w:pPr>
        <w:tabs>
          <w:tab w:val="left" w:pos="720"/>
        </w:tabs>
        <w:autoSpaceDE w:val="0"/>
        <w:autoSpaceDN w:val="0"/>
        <w:adjustRightInd w:val="0"/>
        <w:ind w:left="352" w:right="18" w:hanging="180"/>
        <w:jc w:val="center"/>
        <w:rPr>
          <w:rFonts w:ascii="宋体" w:hAnsi="宋体"/>
          <w:b/>
          <w:kern w:val="0"/>
          <w:sz w:val="44"/>
          <w:szCs w:val="28"/>
        </w:rPr>
      </w:pPr>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28"/>
        </w:rPr>
      </w:pPr>
      <w:r>
        <w:rPr>
          <w:rFonts w:hint="eastAsia" w:ascii="方正小标宋简体" w:hAnsi="方正小标宋简体" w:eastAsia="方正小标宋简体" w:cs="方正小标宋简体"/>
          <w:bCs/>
          <w:kern w:val="0"/>
          <w:sz w:val="44"/>
          <w:szCs w:val="28"/>
        </w:rPr>
        <w:t>广播电视传输设备产品生产许可证实施细则</w:t>
      </w:r>
    </w:p>
    <w:p>
      <w:pPr>
        <w:spacing w:line="360" w:lineRule="auto"/>
        <w:jc w:val="center"/>
        <w:rPr>
          <w:rFonts w:ascii="宋体" w:hAnsi="宋体" w:cs="宋体"/>
          <w:color w:val="000000" w:themeColor="text1"/>
          <w:kern w:val="0"/>
          <w:sz w:val="32"/>
          <w:szCs w:val="32"/>
        </w:rPr>
      </w:pPr>
    </w:p>
    <w:p>
      <w:pPr>
        <w:pStyle w:val="103"/>
        <w:spacing w:line="400" w:lineRule="exact"/>
        <w:ind w:firstLineChars="0"/>
        <w:rPr>
          <w:rFonts w:ascii="宋体" w:hAnsi="宋体" w:cs="宋体"/>
        </w:rPr>
      </w:pPr>
      <w:r>
        <w:rPr>
          <w:rFonts w:ascii="宋体" w:hAnsi="宋体" w:cs="宋体"/>
        </w:rPr>
        <w:t>第一条</w:t>
      </w:r>
      <w:r>
        <w:rPr>
          <w:rFonts w:hint="eastAsia" w:ascii="宋体" w:hAnsi="宋体" w:cs="宋体"/>
        </w:rPr>
        <w:t xml:space="preserve"> 依据《中华人民共和国工业产品生产许可证管理条例》</w:t>
      </w:r>
      <w:r>
        <w:rPr>
          <w:rFonts w:hint="eastAsia" w:ascii="宋体" w:hAnsi="宋体" w:cs="宋体"/>
          <w:szCs w:val="24"/>
        </w:rPr>
        <w:t>《</w:t>
      </w:r>
      <w:r>
        <w:rPr>
          <w:rFonts w:hint="eastAsia" w:ascii="宋体" w:hAnsi="宋体" w:cs="宋体"/>
        </w:rPr>
        <w:t>中华人民共和国工业产品生产许可证管理条例实施办法》及国务院关于工业产品生产许可证制度的改革要求，制定本细则。</w:t>
      </w:r>
    </w:p>
    <w:p>
      <w:pPr>
        <w:pStyle w:val="103"/>
        <w:spacing w:line="400" w:lineRule="exact"/>
        <w:ind w:firstLineChars="0"/>
        <w:rPr>
          <w:rFonts w:ascii="宋体" w:hAnsi="宋体" w:cs="宋体"/>
        </w:rPr>
      </w:pPr>
      <w:r>
        <w:rPr>
          <w:rFonts w:ascii="宋体" w:hAnsi="宋体" w:cs="宋体"/>
        </w:rPr>
        <w:t>第二条</w:t>
      </w:r>
      <w:r>
        <w:rPr>
          <w:rFonts w:hint="eastAsia" w:ascii="宋体" w:hAnsi="宋体" w:cs="宋体"/>
        </w:rPr>
        <w:t xml:space="preserve"> 本细则适用于省级市场监管部门广播电视传输设备产品的生产许可核发等工作。</w:t>
      </w:r>
    </w:p>
    <w:p>
      <w:pPr>
        <w:pStyle w:val="103"/>
        <w:spacing w:line="400" w:lineRule="exact"/>
        <w:ind w:firstLineChars="0"/>
        <w:rPr>
          <w:rFonts w:ascii="宋体" w:hAnsi="宋体" w:cs="宋体"/>
        </w:rPr>
      </w:pPr>
      <w:r>
        <w:rPr>
          <w:rFonts w:hint="eastAsia" w:ascii="宋体" w:hAnsi="宋体" w:cs="宋体"/>
        </w:rPr>
        <w:t>第三条 发证产品范围及产品单元。</w:t>
      </w:r>
    </w:p>
    <w:p>
      <w:pPr>
        <w:pStyle w:val="103"/>
        <w:spacing w:line="400" w:lineRule="exact"/>
        <w:ind w:firstLineChars="0"/>
        <w:rPr>
          <w:rFonts w:ascii="宋体" w:hAnsi="宋体" w:cs="宋体"/>
        </w:rPr>
      </w:pPr>
      <w:r>
        <w:rPr>
          <w:rFonts w:hint="eastAsia" w:ascii="宋体" w:hAnsi="宋体" w:cs="宋体"/>
        </w:rPr>
        <w:t>本细则中的广播电视传输设备包括5个产品单元（详见表1）。</w:t>
      </w:r>
    </w:p>
    <w:p>
      <w:pPr>
        <w:spacing w:line="400" w:lineRule="exact"/>
        <w:jc w:val="center"/>
        <w:rPr>
          <w:b/>
          <w:color w:val="000000" w:themeColor="text1"/>
          <w:szCs w:val="24"/>
        </w:rPr>
      </w:pPr>
      <w:r>
        <w:rPr>
          <w:b/>
          <w:color w:val="000000" w:themeColor="text1"/>
          <w:szCs w:val="24"/>
        </w:rPr>
        <w:t>表1</w:t>
      </w:r>
      <w:r>
        <w:rPr>
          <w:rFonts w:hint="eastAsia"/>
          <w:b/>
          <w:color w:val="000000" w:themeColor="text1"/>
          <w:szCs w:val="24"/>
        </w:rPr>
        <w:t>广播电视传输设备产品</w:t>
      </w:r>
      <w:r>
        <w:rPr>
          <w:b/>
          <w:color w:val="000000" w:themeColor="text1"/>
          <w:szCs w:val="24"/>
        </w:rPr>
        <w:t>单元</w:t>
      </w:r>
    </w:p>
    <w:p>
      <w:pPr>
        <w:pStyle w:val="2"/>
        <w:ind w:firstLine="0"/>
      </w:pPr>
    </w:p>
    <w:tbl>
      <w:tblPr>
        <w:tblStyle w:val="45"/>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2169"/>
        <w:gridCol w:w="6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blHeader/>
          <w:jc w:val="center"/>
        </w:trPr>
        <w:tc>
          <w:tcPr>
            <w:tcW w:w="773" w:type="dxa"/>
            <w:vAlign w:val="center"/>
          </w:tcPr>
          <w:p>
            <w:pPr>
              <w:adjustRightInd w:val="0"/>
              <w:snapToGrid w:val="0"/>
              <w:spacing w:line="0" w:lineRule="atLeast"/>
              <w:jc w:val="center"/>
              <w:rPr>
                <w:rFonts w:ascii="宋体" w:hAnsi="宋体"/>
                <w:b/>
                <w:kern w:val="0"/>
              </w:rPr>
            </w:pPr>
            <w:r>
              <w:rPr>
                <w:rFonts w:hint="eastAsia" w:ascii="宋体" w:hAnsi="宋体"/>
                <w:b/>
                <w:kern w:val="0"/>
              </w:rPr>
              <w:t>序号</w:t>
            </w:r>
          </w:p>
        </w:tc>
        <w:tc>
          <w:tcPr>
            <w:tcW w:w="2169" w:type="dxa"/>
            <w:vAlign w:val="center"/>
          </w:tcPr>
          <w:p>
            <w:pPr>
              <w:adjustRightInd w:val="0"/>
              <w:snapToGrid w:val="0"/>
              <w:spacing w:line="0" w:lineRule="atLeast"/>
              <w:jc w:val="center"/>
              <w:rPr>
                <w:rFonts w:ascii="宋体" w:hAnsi="宋体"/>
                <w:b/>
                <w:kern w:val="0"/>
              </w:rPr>
            </w:pPr>
            <w:r>
              <w:rPr>
                <w:rFonts w:hint="eastAsia" w:ascii="宋体" w:hAnsi="宋体"/>
                <w:b/>
                <w:kern w:val="0"/>
              </w:rPr>
              <w:t>产品单元</w:t>
            </w:r>
          </w:p>
        </w:tc>
        <w:tc>
          <w:tcPr>
            <w:tcW w:w="6344" w:type="dxa"/>
            <w:vAlign w:val="center"/>
          </w:tcPr>
          <w:p>
            <w:pPr>
              <w:adjustRightInd w:val="0"/>
              <w:snapToGrid w:val="0"/>
              <w:spacing w:line="0" w:lineRule="atLeast"/>
              <w:jc w:val="center"/>
              <w:rPr>
                <w:rFonts w:ascii="宋体" w:hAnsi="宋体"/>
                <w:b/>
                <w:kern w:val="0"/>
              </w:rPr>
            </w:pPr>
            <w:r>
              <w:rPr>
                <w:rFonts w:hint="eastAsia" w:ascii="宋体" w:hAnsi="宋体"/>
                <w:b/>
                <w:kern w:val="0"/>
              </w:rPr>
              <w:t>单</w:t>
            </w:r>
            <w:r>
              <w:rPr>
                <w:rFonts w:ascii="宋体" w:hAnsi="宋体"/>
                <w:b/>
                <w:kern w:val="0"/>
              </w:rPr>
              <w:t>元产品说明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6" w:hRule="atLeast"/>
          <w:jc w:val="center"/>
        </w:trPr>
        <w:tc>
          <w:tcPr>
            <w:tcW w:w="773" w:type="dxa"/>
            <w:vAlign w:val="center"/>
          </w:tcPr>
          <w:p>
            <w:pPr>
              <w:adjustRightInd w:val="0"/>
              <w:snapToGrid w:val="0"/>
              <w:spacing w:line="0" w:lineRule="atLeast"/>
              <w:jc w:val="center"/>
              <w:rPr>
                <w:rFonts w:ascii="宋体" w:hAnsi="宋体"/>
                <w:kern w:val="0"/>
              </w:rPr>
            </w:pPr>
            <w:r>
              <w:rPr>
                <w:rFonts w:hint="eastAsia" w:ascii="宋体" w:hAnsi="宋体"/>
                <w:kern w:val="0"/>
              </w:rPr>
              <w:t>1</w:t>
            </w:r>
          </w:p>
        </w:tc>
        <w:tc>
          <w:tcPr>
            <w:tcW w:w="2169" w:type="dxa"/>
            <w:vAlign w:val="center"/>
          </w:tcPr>
          <w:p>
            <w:pPr>
              <w:adjustRightInd w:val="0"/>
              <w:snapToGrid w:val="0"/>
              <w:spacing w:line="240" w:lineRule="exact"/>
              <w:jc w:val="center"/>
              <w:rPr>
                <w:rFonts w:ascii="宋体" w:hAnsi="宋体"/>
                <w:kern w:val="0"/>
                <w:szCs w:val="21"/>
              </w:rPr>
            </w:pPr>
            <w:r>
              <w:rPr>
                <w:rFonts w:hint="eastAsia" w:ascii="宋体" w:hAnsi="宋体"/>
                <w:kern w:val="0"/>
                <w:szCs w:val="21"/>
              </w:rPr>
              <w:t>中短波</w:t>
            </w:r>
            <w:r>
              <w:rPr>
                <w:rFonts w:hint="eastAsia" w:ascii="宋体" w:hAnsi="宋体"/>
                <w:szCs w:val="21"/>
              </w:rPr>
              <w:t>广播发射机</w:t>
            </w:r>
          </w:p>
        </w:tc>
        <w:tc>
          <w:tcPr>
            <w:tcW w:w="6344" w:type="dxa"/>
            <w:vAlign w:val="center"/>
          </w:tcPr>
          <w:p>
            <w:pPr>
              <w:adjustRightInd w:val="0"/>
              <w:snapToGrid w:val="0"/>
              <w:spacing w:before="120" w:beforeLines="50" w:line="360" w:lineRule="auto"/>
              <w:rPr>
                <w:rFonts w:ascii="Calibri" w:hAnsi="Calibri" w:cs="Calibri"/>
                <w:szCs w:val="21"/>
              </w:rPr>
            </w:pPr>
            <w:r>
              <w:rPr>
                <w:rFonts w:hint="eastAsia" w:ascii="Calibri" w:hAnsi="Calibri" w:cs="Calibri"/>
                <w:szCs w:val="21"/>
              </w:rPr>
              <w:t>本单元是指将音频信号调制到中短波载波上并对已调波信号进行功率放大后经发射天线向自由空间辐射出去的设备。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773" w:type="dxa"/>
            <w:vAlign w:val="center"/>
          </w:tcPr>
          <w:p>
            <w:pPr>
              <w:adjustRightInd w:val="0"/>
              <w:snapToGrid w:val="0"/>
              <w:spacing w:line="0" w:lineRule="atLeast"/>
              <w:jc w:val="center"/>
              <w:rPr>
                <w:rFonts w:ascii="宋体" w:hAnsi="宋体"/>
                <w:kern w:val="0"/>
              </w:rPr>
            </w:pPr>
            <w:r>
              <w:rPr>
                <w:rFonts w:hint="eastAsia" w:ascii="宋体" w:hAnsi="宋体"/>
                <w:kern w:val="0"/>
              </w:rPr>
              <w:t>2</w:t>
            </w:r>
          </w:p>
        </w:tc>
        <w:tc>
          <w:tcPr>
            <w:tcW w:w="2169" w:type="dxa"/>
            <w:vAlign w:val="center"/>
          </w:tcPr>
          <w:p>
            <w:pPr>
              <w:adjustRightInd w:val="0"/>
              <w:snapToGrid w:val="0"/>
              <w:spacing w:line="240" w:lineRule="exact"/>
              <w:jc w:val="center"/>
              <w:rPr>
                <w:rFonts w:ascii="宋体" w:hAnsi="宋体"/>
                <w:kern w:val="0"/>
                <w:szCs w:val="21"/>
              </w:rPr>
            </w:pPr>
            <w:r>
              <w:rPr>
                <w:rFonts w:hint="eastAsia" w:ascii="宋体" w:hAnsi="宋体"/>
                <w:szCs w:val="21"/>
              </w:rPr>
              <w:t>调频频段广播发射机</w:t>
            </w:r>
          </w:p>
        </w:tc>
        <w:tc>
          <w:tcPr>
            <w:tcW w:w="6344" w:type="dxa"/>
            <w:vAlign w:val="center"/>
          </w:tcPr>
          <w:p>
            <w:pPr>
              <w:adjustRightInd w:val="0"/>
              <w:snapToGrid w:val="0"/>
              <w:spacing w:before="120" w:beforeLines="50" w:line="360" w:lineRule="auto"/>
              <w:rPr>
                <w:rFonts w:ascii="Calibri" w:hAnsi="Calibri" w:cs="Calibri"/>
                <w:szCs w:val="21"/>
              </w:rPr>
            </w:pPr>
            <w:r>
              <w:rPr>
                <w:rFonts w:hint="eastAsia" w:ascii="Calibri" w:hAnsi="Calibri" w:cs="Calibri"/>
                <w:szCs w:val="21"/>
              </w:rPr>
              <w:t>本单元是指将数字或模拟广播信号调制到调频频段载波上并对已调波信号进行功率放大后经发射天线向自由空间辐射出去的设备。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773" w:type="dxa"/>
            <w:vAlign w:val="center"/>
          </w:tcPr>
          <w:p>
            <w:pPr>
              <w:adjustRightInd w:val="0"/>
              <w:snapToGrid w:val="0"/>
              <w:spacing w:line="0" w:lineRule="atLeast"/>
              <w:jc w:val="center"/>
              <w:rPr>
                <w:rFonts w:ascii="宋体" w:hAnsi="宋体"/>
                <w:kern w:val="0"/>
              </w:rPr>
            </w:pPr>
            <w:r>
              <w:rPr>
                <w:rFonts w:hint="eastAsia" w:ascii="宋体" w:hAnsi="宋体"/>
                <w:kern w:val="0"/>
              </w:rPr>
              <w:t>3</w:t>
            </w:r>
          </w:p>
        </w:tc>
        <w:tc>
          <w:tcPr>
            <w:tcW w:w="2169" w:type="dxa"/>
            <w:vAlign w:val="center"/>
          </w:tcPr>
          <w:p>
            <w:pPr>
              <w:adjustRightInd w:val="0"/>
              <w:snapToGrid w:val="0"/>
              <w:spacing w:line="240" w:lineRule="exact"/>
              <w:jc w:val="center"/>
              <w:rPr>
                <w:rFonts w:ascii="宋体" w:hAnsi="宋体"/>
                <w:kern w:val="0"/>
                <w:szCs w:val="21"/>
              </w:rPr>
            </w:pPr>
            <w:r>
              <w:rPr>
                <w:rFonts w:hint="eastAsia" w:ascii="宋体" w:hAnsi="宋体"/>
                <w:kern w:val="0"/>
                <w:szCs w:val="21"/>
              </w:rPr>
              <w:t>电视发射机</w:t>
            </w:r>
          </w:p>
        </w:tc>
        <w:tc>
          <w:tcPr>
            <w:tcW w:w="6344" w:type="dxa"/>
            <w:vAlign w:val="center"/>
          </w:tcPr>
          <w:p>
            <w:pPr>
              <w:adjustRightInd w:val="0"/>
              <w:snapToGrid w:val="0"/>
              <w:spacing w:before="120" w:beforeLines="50" w:line="360" w:lineRule="auto"/>
              <w:rPr>
                <w:rFonts w:ascii="Calibri" w:hAnsi="Calibri" w:cs="Calibri"/>
                <w:szCs w:val="21"/>
              </w:rPr>
            </w:pPr>
            <w:r>
              <w:rPr>
                <w:rFonts w:hint="eastAsia" w:ascii="宋体" w:hAnsi="宋体" w:cs="宋体"/>
                <w:kern w:val="0"/>
                <w:szCs w:val="21"/>
              </w:rPr>
              <w:t>本单元是指</w:t>
            </w:r>
            <w:r>
              <w:rPr>
                <w:rFonts w:hint="eastAsia" w:ascii="Calibri" w:hAnsi="Calibri" w:cs="Calibri"/>
                <w:szCs w:val="21"/>
              </w:rPr>
              <w:t>将数字或模拟视频/音频、图像等电视信号调制到射频载波上，并对已调载波进行功率放大后经电视发射天线向自由空间辐射出去的设备。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773" w:type="dxa"/>
            <w:vAlign w:val="center"/>
          </w:tcPr>
          <w:p>
            <w:pPr>
              <w:adjustRightInd w:val="0"/>
              <w:snapToGrid w:val="0"/>
              <w:spacing w:line="0" w:lineRule="atLeast"/>
              <w:jc w:val="center"/>
              <w:rPr>
                <w:rFonts w:ascii="宋体" w:hAnsi="宋体"/>
                <w:kern w:val="0"/>
              </w:rPr>
            </w:pPr>
            <w:r>
              <w:rPr>
                <w:rFonts w:hint="eastAsia" w:ascii="宋体" w:hAnsi="宋体"/>
                <w:kern w:val="0"/>
              </w:rPr>
              <w:t>4</w:t>
            </w:r>
          </w:p>
        </w:tc>
        <w:tc>
          <w:tcPr>
            <w:tcW w:w="2169" w:type="dxa"/>
            <w:vAlign w:val="center"/>
          </w:tcPr>
          <w:p>
            <w:pPr>
              <w:adjustRightInd w:val="0"/>
              <w:snapToGrid w:val="0"/>
              <w:spacing w:line="240" w:lineRule="exact"/>
              <w:jc w:val="center"/>
              <w:rPr>
                <w:rFonts w:ascii="宋体" w:hAnsi="宋体"/>
                <w:kern w:val="0"/>
                <w:szCs w:val="21"/>
              </w:rPr>
            </w:pPr>
            <w:r>
              <w:rPr>
                <w:rFonts w:hint="eastAsia" w:ascii="宋体" w:hAnsi="宋体"/>
                <w:kern w:val="0"/>
                <w:szCs w:val="21"/>
              </w:rPr>
              <w:t>卫星电视接收天线</w:t>
            </w:r>
          </w:p>
        </w:tc>
        <w:tc>
          <w:tcPr>
            <w:tcW w:w="6344" w:type="dxa"/>
            <w:vAlign w:val="center"/>
          </w:tcPr>
          <w:p>
            <w:pPr>
              <w:adjustRightInd w:val="0"/>
              <w:snapToGrid w:val="0"/>
              <w:spacing w:line="360" w:lineRule="auto"/>
              <w:rPr>
                <w:rFonts w:ascii="Calibri" w:hAnsi="Calibri" w:cs="Calibri"/>
                <w:szCs w:val="21"/>
              </w:rPr>
            </w:pPr>
            <w:r>
              <w:rPr>
                <w:rFonts w:hint="eastAsia" w:ascii="Calibri" w:hAnsi="Calibri" w:cs="Calibri"/>
                <w:szCs w:val="21"/>
              </w:rPr>
              <w:t>本单元是指用来接收卫星电视广播信号的装置。产品多为金属抛物面结构，能够将抛物面区域范围内的卫星电视信号聚焦到抛物面所在焦点处，提高接收的信号电平。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773" w:type="dxa"/>
            <w:vAlign w:val="center"/>
          </w:tcPr>
          <w:p>
            <w:pPr>
              <w:adjustRightInd w:val="0"/>
              <w:snapToGrid w:val="0"/>
              <w:spacing w:line="0" w:lineRule="atLeast"/>
              <w:jc w:val="center"/>
              <w:rPr>
                <w:rFonts w:ascii="宋体" w:hAnsi="宋体"/>
                <w:kern w:val="0"/>
              </w:rPr>
            </w:pPr>
            <w:r>
              <w:rPr>
                <w:rFonts w:hint="eastAsia" w:ascii="宋体" w:hAnsi="宋体"/>
                <w:kern w:val="0"/>
              </w:rPr>
              <w:t>5</w:t>
            </w:r>
          </w:p>
        </w:tc>
        <w:tc>
          <w:tcPr>
            <w:tcW w:w="2169" w:type="dxa"/>
            <w:vAlign w:val="center"/>
          </w:tcPr>
          <w:p>
            <w:pPr>
              <w:adjustRightInd w:val="0"/>
              <w:snapToGrid w:val="0"/>
              <w:spacing w:line="240" w:lineRule="exact"/>
              <w:jc w:val="center"/>
              <w:rPr>
                <w:rFonts w:ascii="宋体" w:hAnsi="宋体"/>
                <w:kern w:val="0"/>
                <w:szCs w:val="21"/>
              </w:rPr>
            </w:pPr>
            <w:r>
              <w:rPr>
                <w:rFonts w:hint="eastAsia" w:ascii="宋体" w:hAnsi="宋体"/>
                <w:kern w:val="0"/>
                <w:szCs w:val="21"/>
              </w:rPr>
              <w:t>卫星数字电视接收机</w:t>
            </w:r>
          </w:p>
        </w:tc>
        <w:tc>
          <w:tcPr>
            <w:tcW w:w="6344" w:type="dxa"/>
            <w:vAlign w:val="center"/>
          </w:tcPr>
          <w:p>
            <w:pPr>
              <w:adjustRightInd w:val="0"/>
              <w:snapToGrid w:val="0"/>
              <w:spacing w:line="360" w:lineRule="auto"/>
              <w:rPr>
                <w:rFonts w:ascii="Calibri" w:hAnsi="Calibri" w:cs="Calibri"/>
                <w:szCs w:val="21"/>
              </w:rPr>
            </w:pPr>
            <w:r>
              <w:rPr>
                <w:rFonts w:hint="eastAsia" w:ascii="Calibri" w:hAnsi="Calibri" w:cs="Calibri"/>
                <w:szCs w:val="21"/>
              </w:rPr>
              <w:t>本单元是指将经室外单元送来的卫星电视广播信号进行解调解码，输出符合电视机要求的视频、音频信号或数据信号的装置。卫星数字电视接收机应具备解调解码</w:t>
            </w:r>
            <w:r>
              <w:rPr>
                <w:rFonts w:ascii="Calibri" w:hAnsi="Calibri" w:cs="Calibri"/>
                <w:szCs w:val="21"/>
              </w:rPr>
              <w:t>DVB-S</w:t>
            </w:r>
            <w:r>
              <w:rPr>
                <w:rFonts w:hint="eastAsia" w:ascii="Calibri" w:hAnsi="Calibri" w:cs="Calibri"/>
                <w:szCs w:val="21"/>
              </w:rPr>
              <w:t>技术体制的卫星电视信号功能。</w:t>
            </w:r>
          </w:p>
        </w:tc>
      </w:tr>
    </w:tbl>
    <w:p>
      <w:pPr>
        <w:spacing w:before="120" w:beforeLines="50" w:line="360" w:lineRule="auto"/>
        <w:ind w:firstLine="420" w:firstLineChars="200"/>
        <w:rPr>
          <w:color w:val="000000" w:themeColor="text1"/>
          <w:szCs w:val="24"/>
        </w:rPr>
      </w:pPr>
      <w:r>
        <w:rPr>
          <w:rFonts w:hint="eastAsia" w:ascii="宋体" w:hAnsi="宋体" w:cs="宋体"/>
          <w:color w:val="000000" w:themeColor="text1"/>
        </w:rPr>
        <w:t>按国际标准、国外标准</w:t>
      </w:r>
      <w:r>
        <w:rPr>
          <w:rFonts w:hint="eastAsia" w:ascii="宋体" w:hAnsi="宋体" w:cs="宋体"/>
        </w:rPr>
        <w:t>、地方标准、团体标准和企业标准等生产的上述产品，属于本细则列出的相关国家标准和行业标准范畴或适用范围的，企业应按相应的国家标准或行业标准取证，企业获证后生产的产品应当满足相应国家标准和行业标准要求。</w:t>
      </w:r>
    </w:p>
    <w:p>
      <w:pPr>
        <w:pStyle w:val="103"/>
        <w:adjustRightInd w:val="0"/>
        <w:snapToGrid w:val="0"/>
        <w:spacing w:line="400" w:lineRule="exact"/>
        <w:rPr>
          <w:rFonts w:ascii="宋体" w:hAnsi="宋体" w:cs="宋体"/>
          <w:szCs w:val="24"/>
        </w:rPr>
      </w:pPr>
      <w:r>
        <w:rPr>
          <w:rFonts w:hint="eastAsia" w:ascii="宋体" w:hAnsi="宋体" w:cs="宋体"/>
          <w:szCs w:val="24"/>
        </w:rPr>
        <w:t>第四条 企业应符合的条件</w:t>
      </w:r>
    </w:p>
    <w:p>
      <w:pPr>
        <w:pStyle w:val="103"/>
        <w:adjustRightInd w:val="0"/>
        <w:snapToGrid w:val="0"/>
        <w:spacing w:line="400" w:lineRule="exact"/>
        <w:rPr>
          <w:rFonts w:ascii="宋体" w:hAnsi="宋体" w:cs="宋体"/>
          <w:szCs w:val="24"/>
        </w:rPr>
      </w:pPr>
      <w:r>
        <w:rPr>
          <w:rFonts w:hint="eastAsia" w:ascii="宋体" w:hAnsi="宋体" w:cs="宋体"/>
          <w:szCs w:val="24"/>
        </w:rPr>
        <w:t>（一）企业应</w:t>
      </w:r>
      <w:r>
        <w:rPr>
          <w:rFonts w:ascii="宋体" w:hAnsi="宋体" w:cs="宋体"/>
          <w:szCs w:val="24"/>
        </w:rPr>
        <w:t>有与拟从事的生产活动相适应的营业执照</w:t>
      </w:r>
      <w:r>
        <w:rPr>
          <w:rFonts w:hint="eastAsia" w:ascii="宋体" w:hAnsi="宋体" w:cs="宋体"/>
          <w:szCs w:val="24"/>
        </w:rPr>
        <w:t>。</w:t>
      </w:r>
    </w:p>
    <w:p>
      <w:pPr>
        <w:pStyle w:val="103"/>
        <w:adjustRightInd w:val="0"/>
        <w:snapToGrid w:val="0"/>
        <w:spacing w:line="400" w:lineRule="exact"/>
        <w:rPr>
          <w:rFonts w:ascii="宋体" w:hAnsi="宋体" w:cs="宋体"/>
          <w:szCs w:val="24"/>
        </w:rPr>
      </w:pPr>
      <w:r>
        <w:rPr>
          <w:rFonts w:hint="eastAsia" w:ascii="宋体" w:hAnsi="宋体" w:cs="宋体"/>
          <w:szCs w:val="24"/>
        </w:rPr>
        <w:t>（二）企业应有与所生产产品相适应的专业技术人员。</w:t>
      </w:r>
    </w:p>
    <w:p>
      <w:pPr>
        <w:pStyle w:val="103"/>
        <w:adjustRightInd w:val="0"/>
        <w:snapToGrid w:val="0"/>
        <w:spacing w:line="400" w:lineRule="exact"/>
        <w:rPr>
          <w:rFonts w:ascii="宋体" w:hAnsi="宋体" w:cs="宋体"/>
          <w:szCs w:val="24"/>
        </w:rPr>
      </w:pPr>
      <w:r>
        <w:rPr>
          <w:rFonts w:hint="eastAsia" w:ascii="宋体" w:hAnsi="宋体" w:cs="宋体"/>
          <w:szCs w:val="24"/>
        </w:rPr>
        <w:t>（三）企业应有与所生产产品相适应的生产条件和检验手段（见表2）。</w:t>
      </w:r>
    </w:p>
    <w:p>
      <w:pPr>
        <w:pStyle w:val="103"/>
        <w:adjustRightInd w:val="0"/>
        <w:snapToGrid w:val="0"/>
        <w:spacing w:line="400" w:lineRule="exact"/>
        <w:rPr>
          <w:rFonts w:ascii="宋体" w:hAnsi="宋体" w:cs="宋体"/>
          <w:szCs w:val="24"/>
        </w:rPr>
      </w:pPr>
      <w:r>
        <w:rPr>
          <w:rFonts w:hint="eastAsia" w:ascii="宋体" w:hAnsi="宋体" w:cs="宋体"/>
          <w:szCs w:val="24"/>
        </w:rPr>
        <w:t>（四）企业应有健全有效的质量管理制度和责任制度，有与所生产产品相适应的技术文件和工艺文件。</w:t>
      </w:r>
    </w:p>
    <w:p>
      <w:pPr>
        <w:pStyle w:val="103"/>
        <w:adjustRightInd w:val="0"/>
        <w:snapToGrid w:val="0"/>
        <w:spacing w:line="400" w:lineRule="exact"/>
        <w:rPr>
          <w:rFonts w:ascii="宋体" w:hAnsi="宋体" w:cs="宋体"/>
          <w:szCs w:val="24"/>
        </w:rPr>
      </w:pPr>
      <w:r>
        <w:rPr>
          <w:rFonts w:hint="eastAsia" w:ascii="宋体" w:hAnsi="宋体" w:cs="宋体"/>
          <w:szCs w:val="24"/>
        </w:rPr>
        <w:t>（五）企业生产产品符合有关国家标准、行业标准以及保障人体健康和人身、财产安全的要求（见附件）。企业申请许可证时应提交1年内（自检验报告签发日期起）符合现行有效标准的产品检验合格报告。</w:t>
      </w:r>
    </w:p>
    <w:p>
      <w:pPr>
        <w:pStyle w:val="103"/>
        <w:adjustRightInd w:val="0"/>
        <w:snapToGrid w:val="0"/>
        <w:spacing w:line="400" w:lineRule="exact"/>
        <w:rPr>
          <w:rFonts w:ascii="宋体" w:hAnsi="宋体" w:cs="宋体"/>
          <w:szCs w:val="24"/>
        </w:rPr>
      </w:pPr>
      <w:r>
        <w:rPr>
          <w:rFonts w:hint="eastAsia" w:ascii="宋体" w:hAnsi="宋体" w:cs="宋体"/>
          <w:szCs w:val="24"/>
        </w:rPr>
        <w:t>（六）企业应符合国家产业政策的规定，不存在国家明令淘汰和禁止投资建设的落后工艺、高耗能、污染环境、浪费资源的情况。</w:t>
      </w:r>
    </w:p>
    <w:p>
      <w:pPr>
        <w:pStyle w:val="103"/>
        <w:adjustRightInd w:val="0"/>
        <w:snapToGrid w:val="0"/>
        <w:spacing w:line="400" w:lineRule="exact"/>
        <w:rPr>
          <w:rFonts w:asciiTheme="minorEastAsia" w:hAnsiTheme="minorEastAsia" w:eastAsiaTheme="minorEastAsia"/>
          <w:szCs w:val="24"/>
        </w:rPr>
      </w:pPr>
      <w:r>
        <w:rPr>
          <w:rFonts w:hint="eastAsia" w:ascii="宋体" w:hAnsi="宋体" w:cs="宋体"/>
          <w:szCs w:val="24"/>
        </w:rPr>
        <w:t>法律、行政法规有其他规定的，还应当符合其规</w:t>
      </w:r>
      <w:r>
        <w:rPr>
          <w:rFonts w:hint="eastAsia" w:asciiTheme="minorEastAsia" w:hAnsiTheme="minorEastAsia" w:eastAsiaTheme="minorEastAsia"/>
          <w:szCs w:val="24"/>
        </w:rPr>
        <w:t>定。</w:t>
      </w:r>
    </w:p>
    <w:p>
      <w:pPr>
        <w:adjustRightInd w:val="0"/>
        <w:snapToGrid w:val="0"/>
        <w:spacing w:line="400" w:lineRule="exact"/>
        <w:ind w:firstLine="420" w:firstLineChars="200"/>
        <w:rPr>
          <w:rFonts w:hint="eastAsia" w:ascii="宋体" w:hAnsi="宋体"/>
          <w:strike w:val="0"/>
          <w:dstrike/>
        </w:rPr>
      </w:pPr>
      <w:r>
        <w:rPr>
          <w:rFonts w:hint="eastAsia" w:ascii="宋体" w:hAnsi="宋体"/>
          <w:strike w:val="0"/>
          <w:dstrike w:val="0"/>
        </w:rPr>
        <w:t>发证机关应</w:t>
      </w:r>
      <w:r>
        <w:rPr>
          <w:rFonts w:hint="eastAsia" w:ascii="宋体" w:hAnsi="宋体"/>
          <w:strike w:val="0"/>
          <w:dstrike w:val="0"/>
          <w:lang w:eastAsia="zh-CN"/>
        </w:rPr>
        <w:t>认真贯彻落实</w:t>
      </w:r>
      <w:r>
        <w:rPr>
          <w:rFonts w:hint="eastAsia" w:ascii="宋体" w:hAnsi="宋体"/>
          <w:strike w:val="0"/>
          <w:dstrike w:val="0"/>
        </w:rPr>
        <w:t>国务院“放管服”改革要求，结合</w:t>
      </w:r>
      <w:r>
        <w:rPr>
          <w:rFonts w:hint="eastAsia" w:ascii="宋体" w:hAnsi="宋体"/>
          <w:strike w:val="0"/>
          <w:dstrike w:val="0"/>
          <w:lang w:eastAsia="zh-CN"/>
        </w:rPr>
        <w:t>实行</w:t>
      </w:r>
      <w:r>
        <w:rPr>
          <w:rFonts w:hint="eastAsia" w:ascii="宋体" w:hAnsi="宋体"/>
          <w:strike w:val="0"/>
          <w:dstrike w:val="0"/>
        </w:rPr>
        <w:t>告知承诺和优化服务</w:t>
      </w:r>
      <w:r>
        <w:rPr>
          <w:rFonts w:hint="eastAsia" w:ascii="宋体" w:hAnsi="宋体"/>
          <w:strike w:val="0"/>
          <w:dstrike w:val="0"/>
          <w:lang w:eastAsia="zh-CN"/>
        </w:rPr>
        <w:t>等改革措施</w:t>
      </w:r>
      <w:r>
        <w:rPr>
          <w:rFonts w:hint="eastAsia" w:ascii="宋体" w:hAnsi="宋体"/>
          <w:strike w:val="0"/>
          <w:dstrike w:val="0"/>
        </w:rPr>
        <w:t>，根据本地实际落实上述条件</w:t>
      </w:r>
      <w:r>
        <w:rPr>
          <w:rFonts w:hint="eastAsia" w:ascii="宋体" w:hAnsi="宋体"/>
          <w:strike w:val="0"/>
          <w:dstrike w:val="0"/>
          <w:lang w:eastAsia="zh-CN"/>
        </w:rPr>
        <w:t>；应按照“让数据多跑路、企业少跑腿”的原则，最大限度减少各类证明材料和繁文缛节，最大力度减轻</w:t>
      </w:r>
      <w:r>
        <w:rPr>
          <w:rFonts w:hint="eastAsia" w:ascii="宋体" w:hAnsi="宋体"/>
          <w:strike w:val="0"/>
          <w:dstrike w:val="0"/>
        </w:rPr>
        <w:t>企业负担。</w:t>
      </w:r>
    </w:p>
    <w:p>
      <w:pPr>
        <w:pStyle w:val="103"/>
        <w:adjustRightInd w:val="0"/>
        <w:snapToGrid w:val="0"/>
        <w:spacing w:line="400" w:lineRule="exact"/>
        <w:rPr>
          <w:rFonts w:asciiTheme="minorEastAsia" w:hAnsiTheme="minorEastAsia" w:eastAsiaTheme="minorEastAsia"/>
          <w:szCs w:val="24"/>
        </w:rPr>
      </w:pPr>
    </w:p>
    <w:p>
      <w:pPr>
        <w:pStyle w:val="202"/>
        <w:adjustRightInd w:val="0"/>
        <w:spacing w:line="360" w:lineRule="auto"/>
        <w:ind w:firstLine="0" w:firstLineChars="0"/>
        <w:jc w:val="center"/>
        <w:rPr>
          <w:rFonts w:ascii="宋体" w:hAnsi="宋体"/>
          <w:b/>
        </w:rPr>
      </w:pPr>
      <w:r>
        <w:rPr>
          <w:rFonts w:hint="eastAsia" w:ascii="宋体" w:hAnsi="宋体"/>
          <w:b/>
          <w:color w:val="000000" w:themeColor="text1"/>
        </w:rPr>
        <w:t>表2</w:t>
      </w:r>
      <w:r>
        <w:rPr>
          <w:rFonts w:hint="eastAsia" w:ascii="宋体" w:hAnsi="宋体"/>
          <w:b/>
        </w:rPr>
        <w:t>企业生产</w:t>
      </w:r>
      <w:r>
        <w:rPr>
          <w:rFonts w:hint="eastAsia" w:ascii="宋体" w:hAnsi="宋体"/>
          <w:b/>
          <w:color w:val="000000" w:themeColor="text1"/>
        </w:rPr>
        <w:t>广播电视传输设备产品</w:t>
      </w:r>
      <w:r>
        <w:rPr>
          <w:rFonts w:hint="eastAsia" w:ascii="宋体" w:hAnsi="宋体"/>
          <w:b/>
        </w:rPr>
        <w:t>应具备的生产设备与检验设备表</w:t>
      </w:r>
    </w:p>
    <w:tbl>
      <w:tblPr>
        <w:tblStyle w:val="45"/>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835"/>
        <w:gridCol w:w="1705"/>
        <w:gridCol w:w="1690"/>
        <w:gridCol w:w="2418"/>
        <w:gridCol w:w="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blHeader/>
          <w:jc w:val="center"/>
        </w:trPr>
        <w:tc>
          <w:tcPr>
            <w:tcW w:w="683"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b/>
                <w:szCs w:val="21"/>
              </w:rPr>
            </w:pPr>
            <w:r>
              <w:rPr>
                <w:rFonts w:hint="eastAsia" w:ascii="宋体" w:hAnsi="宋体"/>
                <w:b/>
                <w:szCs w:val="21"/>
              </w:rPr>
              <w:t>序号</w:t>
            </w:r>
          </w:p>
        </w:tc>
        <w:tc>
          <w:tcPr>
            <w:tcW w:w="1835" w:type="dxa"/>
            <w:tcBorders>
              <w:top w:val="single" w:color="auto" w:sz="4" w:space="0"/>
              <w:left w:val="single" w:color="auto" w:sz="4" w:space="0"/>
              <w:bottom w:val="single" w:color="auto" w:sz="4" w:space="0"/>
              <w:right w:val="single" w:color="auto" w:sz="4" w:space="0"/>
            </w:tcBorders>
            <w:vAlign w:val="center"/>
          </w:tcPr>
          <w:p>
            <w:pPr>
              <w:adjustRightInd w:val="0"/>
              <w:spacing w:line="340" w:lineRule="exact"/>
              <w:jc w:val="center"/>
              <w:textAlignment w:val="baseline"/>
              <w:rPr>
                <w:rFonts w:ascii="宋体" w:hAnsi="Courier New"/>
                <w:b/>
              </w:rPr>
            </w:pPr>
            <w:r>
              <w:rPr>
                <w:rFonts w:hint="eastAsia" w:ascii="宋体" w:hAnsi="Courier New"/>
                <w:b/>
              </w:rPr>
              <w:t>单元名称</w:t>
            </w:r>
          </w:p>
        </w:tc>
        <w:tc>
          <w:tcPr>
            <w:tcW w:w="1705"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b/>
                <w:szCs w:val="21"/>
              </w:rPr>
            </w:pPr>
            <w:r>
              <w:rPr>
                <w:rFonts w:hint="eastAsia" w:ascii="宋体" w:hAnsi="宋体"/>
                <w:b/>
                <w:szCs w:val="21"/>
              </w:rPr>
              <w:t>生产设备名称</w:t>
            </w:r>
          </w:p>
        </w:tc>
        <w:tc>
          <w:tcPr>
            <w:tcW w:w="1690"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b/>
                <w:szCs w:val="21"/>
              </w:rPr>
            </w:pPr>
            <w:r>
              <w:rPr>
                <w:rFonts w:hint="eastAsia" w:ascii="宋体" w:hAnsi="宋体"/>
                <w:b/>
                <w:szCs w:val="21"/>
              </w:rPr>
              <w:t>生产设备要求</w:t>
            </w:r>
          </w:p>
        </w:tc>
        <w:tc>
          <w:tcPr>
            <w:tcW w:w="2418"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b/>
                <w:szCs w:val="21"/>
              </w:rPr>
            </w:pPr>
            <w:r>
              <w:rPr>
                <w:rFonts w:hint="eastAsia" w:ascii="宋体" w:hAnsi="宋体"/>
                <w:b/>
                <w:szCs w:val="21"/>
              </w:rPr>
              <w:t>检验设备</w:t>
            </w:r>
          </w:p>
        </w:tc>
        <w:tc>
          <w:tcPr>
            <w:tcW w:w="955"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b/>
                <w:szCs w:val="21"/>
              </w:rPr>
            </w:pPr>
            <w:r>
              <w:rPr>
                <w:rFonts w:hint="eastAsia"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3" w:type="dxa"/>
            <w:tcBorders>
              <w:left w:val="single" w:color="auto" w:sz="4" w:space="0"/>
              <w:right w:val="single" w:color="auto" w:sz="4" w:space="0"/>
            </w:tcBorders>
            <w:vAlign w:val="center"/>
          </w:tcPr>
          <w:p>
            <w:pPr>
              <w:snapToGrid w:val="0"/>
              <w:spacing w:line="340" w:lineRule="exact"/>
              <w:jc w:val="center"/>
              <w:rPr>
                <w:rFonts w:ascii="宋体" w:hAnsi="宋体"/>
                <w:szCs w:val="21"/>
              </w:rPr>
            </w:pPr>
            <w:r>
              <w:rPr>
                <w:rFonts w:hint="eastAsia" w:ascii="宋体" w:hAnsi="宋体"/>
                <w:szCs w:val="21"/>
              </w:rPr>
              <w:t>1</w:t>
            </w:r>
          </w:p>
        </w:tc>
        <w:tc>
          <w:tcPr>
            <w:tcW w:w="1835"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kern w:val="0"/>
                <w:szCs w:val="21"/>
              </w:rPr>
            </w:pPr>
            <w:r>
              <w:rPr>
                <w:rFonts w:hint="eastAsia" w:ascii="宋体" w:hAnsi="宋体"/>
                <w:kern w:val="0"/>
                <w:szCs w:val="21"/>
              </w:rPr>
              <w:t>中短波</w:t>
            </w:r>
            <w:r>
              <w:rPr>
                <w:rFonts w:hint="eastAsia" w:ascii="宋体" w:hAnsi="宋体"/>
                <w:szCs w:val="21"/>
              </w:rPr>
              <w:t>广播发射机</w:t>
            </w:r>
          </w:p>
        </w:tc>
        <w:tc>
          <w:tcPr>
            <w:tcW w:w="1705" w:type="dxa"/>
            <w:vMerge w:val="restart"/>
            <w:tcBorders>
              <w:left w:val="single" w:color="auto" w:sz="4" w:space="0"/>
              <w:right w:val="single" w:color="auto" w:sz="4" w:space="0"/>
            </w:tcBorders>
            <w:vAlign w:val="center"/>
          </w:tcPr>
          <w:p>
            <w:pPr>
              <w:spacing w:line="340" w:lineRule="exact"/>
              <w:rPr>
                <w:rFonts w:ascii="宋体" w:hAnsi="宋体"/>
                <w:szCs w:val="21"/>
              </w:rPr>
            </w:pPr>
            <w:r>
              <w:rPr>
                <w:rFonts w:hint="eastAsia" w:ascii="宋体" w:hAnsi="宋体"/>
                <w:szCs w:val="21"/>
              </w:rPr>
              <w:t>1.生产线或工作台</w:t>
            </w:r>
          </w:p>
          <w:p>
            <w:pPr>
              <w:spacing w:line="340" w:lineRule="exact"/>
              <w:rPr>
                <w:rFonts w:ascii="宋体" w:hAnsi="宋体"/>
                <w:szCs w:val="21"/>
              </w:rPr>
            </w:pPr>
            <w:r>
              <w:rPr>
                <w:rFonts w:hint="eastAsia" w:ascii="宋体" w:hAnsi="宋体"/>
                <w:szCs w:val="21"/>
              </w:rPr>
              <w:t>2.高低温试验箱</w:t>
            </w:r>
          </w:p>
          <w:p>
            <w:pPr>
              <w:snapToGrid w:val="0"/>
              <w:spacing w:line="340" w:lineRule="exact"/>
              <w:rPr>
                <w:rFonts w:ascii="宋体" w:hAnsi="宋体"/>
                <w:szCs w:val="21"/>
              </w:rPr>
            </w:pPr>
            <w:r>
              <w:rPr>
                <w:rFonts w:hint="eastAsia" w:ascii="宋体" w:hAnsi="宋体"/>
                <w:szCs w:val="21"/>
              </w:rPr>
              <w:t>3.负载</w:t>
            </w:r>
          </w:p>
        </w:tc>
        <w:tc>
          <w:tcPr>
            <w:tcW w:w="1690" w:type="dxa"/>
            <w:vMerge w:val="restart"/>
            <w:tcBorders>
              <w:top w:val="single" w:color="auto" w:sz="4" w:space="0"/>
              <w:left w:val="single" w:color="auto" w:sz="4" w:space="0"/>
              <w:right w:val="single" w:color="auto" w:sz="4" w:space="0"/>
            </w:tcBorders>
            <w:vAlign w:val="center"/>
          </w:tcPr>
          <w:p>
            <w:pPr>
              <w:snapToGrid w:val="0"/>
              <w:spacing w:line="340" w:lineRule="exact"/>
              <w:rPr>
                <w:rFonts w:ascii="宋体" w:hAnsi="宋体"/>
                <w:szCs w:val="21"/>
              </w:rPr>
            </w:pPr>
            <w:r>
              <w:rPr>
                <w:rFonts w:hint="eastAsia" w:ascii="宋体" w:hAnsi="宋体"/>
                <w:szCs w:val="21"/>
              </w:rPr>
              <w:t>高低温试验箱温度范围：-25℃～55℃</w:t>
            </w:r>
          </w:p>
        </w:tc>
        <w:tc>
          <w:tcPr>
            <w:tcW w:w="2418" w:type="dxa"/>
            <w:tcBorders>
              <w:top w:val="single" w:color="auto" w:sz="4" w:space="0"/>
              <w:left w:val="single" w:color="auto" w:sz="4" w:space="0"/>
              <w:right w:val="single" w:color="auto" w:sz="4" w:space="0"/>
            </w:tcBorders>
            <w:vAlign w:val="center"/>
          </w:tcPr>
          <w:p>
            <w:pPr>
              <w:adjustRightInd w:val="0"/>
              <w:spacing w:line="300" w:lineRule="exact"/>
              <w:textAlignment w:val="baseline"/>
              <w:rPr>
                <w:rFonts w:ascii="宋体" w:hAnsi="宋体"/>
                <w:szCs w:val="21"/>
              </w:rPr>
            </w:pPr>
            <w:r>
              <w:rPr>
                <w:rFonts w:hint="eastAsia" w:ascii="宋体" w:hAnsi="宋体"/>
                <w:szCs w:val="21"/>
              </w:rPr>
              <w:t>频率计、功率计、音频分析仪、调制度分析仪、</w:t>
            </w:r>
          </w:p>
          <w:p>
            <w:pPr>
              <w:adjustRightInd w:val="0"/>
              <w:spacing w:line="300" w:lineRule="exact"/>
              <w:textAlignment w:val="baseline"/>
              <w:rPr>
                <w:rFonts w:ascii="宋体" w:hAnsi="宋体"/>
                <w:szCs w:val="21"/>
              </w:rPr>
            </w:pPr>
            <w:r>
              <w:rPr>
                <w:rFonts w:hint="eastAsia" w:ascii="宋体" w:hAnsi="宋体"/>
                <w:szCs w:val="21"/>
              </w:rPr>
              <w:t>频谱分析仪、示波器、</w:t>
            </w:r>
          </w:p>
          <w:p>
            <w:pPr>
              <w:spacing w:line="280" w:lineRule="exact"/>
              <w:rPr>
                <w:rFonts w:ascii="宋体" w:hAnsi="宋体"/>
                <w:szCs w:val="21"/>
              </w:rPr>
            </w:pPr>
            <w:r>
              <w:rPr>
                <w:rFonts w:hint="eastAsia" w:ascii="宋体" w:hAnsi="宋体"/>
                <w:szCs w:val="21"/>
              </w:rPr>
              <w:t>电磁辐射测试仪</w:t>
            </w:r>
          </w:p>
        </w:tc>
        <w:tc>
          <w:tcPr>
            <w:tcW w:w="955" w:type="dxa"/>
            <w:vMerge w:val="restart"/>
            <w:tcBorders>
              <w:top w:val="single" w:color="auto" w:sz="4" w:space="0"/>
              <w:left w:val="single" w:color="auto" w:sz="4" w:space="0"/>
              <w:right w:val="single" w:color="auto" w:sz="4" w:space="0"/>
            </w:tcBorders>
            <w:vAlign w:val="center"/>
          </w:tcPr>
          <w:p>
            <w:pPr>
              <w:snapToGrid w:val="0"/>
              <w:spacing w:line="340" w:lineRule="exact"/>
              <w:jc w:val="left"/>
              <w:rPr>
                <w:rFonts w:ascii="宋体" w:hAnsi="宋体"/>
                <w:szCs w:val="21"/>
              </w:rPr>
            </w:pPr>
            <w:r>
              <w:rPr>
                <w:rFonts w:hint="eastAsia" w:ascii="宋体" w:hAnsi="宋体"/>
                <w:szCs w:val="21"/>
              </w:rPr>
              <w:t>标准中对检验设备有精度要求的，设备精度应满足标准要求；未明确规定的，应满足相应产品生产所需的检测要求。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3" w:type="dxa"/>
            <w:tcBorders>
              <w:left w:val="single" w:color="auto" w:sz="4" w:space="0"/>
              <w:right w:val="single" w:color="auto" w:sz="4" w:space="0"/>
            </w:tcBorders>
            <w:vAlign w:val="center"/>
          </w:tcPr>
          <w:p>
            <w:pPr>
              <w:widowControl/>
              <w:spacing w:line="340" w:lineRule="exact"/>
              <w:jc w:val="center"/>
              <w:rPr>
                <w:rFonts w:ascii="宋体" w:hAnsi="宋体"/>
                <w:szCs w:val="21"/>
              </w:rPr>
            </w:pPr>
            <w:r>
              <w:rPr>
                <w:rFonts w:hint="eastAsia" w:ascii="宋体" w:hAnsi="宋体"/>
                <w:szCs w:val="21"/>
              </w:rPr>
              <w:t>2</w:t>
            </w:r>
          </w:p>
        </w:tc>
        <w:tc>
          <w:tcPr>
            <w:tcW w:w="1835"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kern w:val="0"/>
                <w:szCs w:val="21"/>
              </w:rPr>
            </w:pPr>
            <w:r>
              <w:rPr>
                <w:rFonts w:hint="eastAsia" w:ascii="宋体" w:hAnsi="宋体"/>
                <w:szCs w:val="21"/>
              </w:rPr>
              <w:t>调频频段广播发射机</w:t>
            </w:r>
          </w:p>
        </w:tc>
        <w:tc>
          <w:tcPr>
            <w:tcW w:w="1705" w:type="dxa"/>
            <w:vMerge w:val="continue"/>
            <w:tcBorders>
              <w:left w:val="single" w:color="auto" w:sz="4" w:space="0"/>
              <w:right w:val="single" w:color="auto" w:sz="4" w:space="0"/>
            </w:tcBorders>
            <w:vAlign w:val="center"/>
          </w:tcPr>
          <w:p>
            <w:pPr>
              <w:snapToGrid w:val="0"/>
              <w:spacing w:line="340" w:lineRule="exact"/>
              <w:rPr>
                <w:rFonts w:ascii="宋体" w:hAnsi="宋体"/>
                <w:szCs w:val="21"/>
              </w:rPr>
            </w:pPr>
          </w:p>
        </w:tc>
        <w:tc>
          <w:tcPr>
            <w:tcW w:w="1690" w:type="dxa"/>
            <w:vMerge w:val="continue"/>
            <w:tcBorders>
              <w:left w:val="single" w:color="auto" w:sz="4" w:space="0"/>
              <w:right w:val="single" w:color="auto" w:sz="4" w:space="0"/>
            </w:tcBorders>
            <w:vAlign w:val="center"/>
          </w:tcPr>
          <w:p>
            <w:pPr>
              <w:snapToGrid w:val="0"/>
              <w:spacing w:line="340" w:lineRule="exact"/>
              <w:rPr>
                <w:rFonts w:ascii="宋体" w:hAnsi="宋体"/>
                <w:szCs w:val="21"/>
              </w:rPr>
            </w:pPr>
          </w:p>
        </w:tc>
        <w:tc>
          <w:tcPr>
            <w:tcW w:w="2418" w:type="dxa"/>
            <w:tcBorders>
              <w:left w:val="single" w:color="auto" w:sz="4" w:space="0"/>
              <w:right w:val="single" w:color="auto" w:sz="4" w:space="0"/>
            </w:tcBorders>
            <w:vAlign w:val="center"/>
          </w:tcPr>
          <w:p>
            <w:pPr>
              <w:adjustRightInd w:val="0"/>
              <w:spacing w:line="300" w:lineRule="exact"/>
              <w:textAlignment w:val="baseline"/>
              <w:rPr>
                <w:rFonts w:ascii="宋体" w:hAnsi="宋体"/>
                <w:szCs w:val="21"/>
              </w:rPr>
            </w:pPr>
            <w:r>
              <w:rPr>
                <w:rFonts w:hint="eastAsia" w:ascii="宋体" w:hAnsi="宋体"/>
                <w:szCs w:val="21"/>
              </w:rPr>
              <w:t>频率计、功率计、调制度分析仪、频谱分析仪、</w:t>
            </w:r>
          </w:p>
          <w:p>
            <w:pPr>
              <w:adjustRightInd w:val="0"/>
              <w:textAlignment w:val="baseline"/>
              <w:rPr>
                <w:rFonts w:ascii="宋体" w:hAnsi="宋体"/>
                <w:szCs w:val="21"/>
              </w:rPr>
            </w:pPr>
            <w:r>
              <w:rPr>
                <w:rFonts w:hint="eastAsia" w:ascii="宋体" w:hAnsi="宋体"/>
                <w:szCs w:val="21"/>
              </w:rPr>
              <w:t>CDR接收机</w:t>
            </w:r>
          </w:p>
        </w:tc>
        <w:tc>
          <w:tcPr>
            <w:tcW w:w="955" w:type="dxa"/>
            <w:vMerge w:val="continue"/>
            <w:tcBorders>
              <w:left w:val="single" w:color="auto" w:sz="4" w:space="0"/>
              <w:right w:val="single" w:color="auto" w:sz="4" w:space="0"/>
            </w:tcBorders>
          </w:tcPr>
          <w:p>
            <w:pPr>
              <w:snapToGrid w:val="0"/>
              <w:spacing w:line="3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3" w:type="dxa"/>
            <w:tcBorders>
              <w:left w:val="single" w:color="auto" w:sz="4" w:space="0"/>
              <w:right w:val="single" w:color="auto" w:sz="4" w:space="0"/>
            </w:tcBorders>
            <w:vAlign w:val="center"/>
          </w:tcPr>
          <w:p>
            <w:pPr>
              <w:widowControl/>
              <w:spacing w:line="340" w:lineRule="exact"/>
              <w:jc w:val="center"/>
              <w:rPr>
                <w:rFonts w:ascii="宋体" w:hAnsi="宋体"/>
                <w:szCs w:val="21"/>
              </w:rPr>
            </w:pPr>
            <w:r>
              <w:rPr>
                <w:rFonts w:hint="eastAsia" w:ascii="宋体" w:hAnsi="宋体"/>
                <w:szCs w:val="21"/>
              </w:rPr>
              <w:t>3</w:t>
            </w:r>
          </w:p>
        </w:tc>
        <w:tc>
          <w:tcPr>
            <w:tcW w:w="1835"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kern w:val="0"/>
                <w:szCs w:val="21"/>
              </w:rPr>
            </w:pPr>
            <w:r>
              <w:rPr>
                <w:rFonts w:hint="eastAsia" w:ascii="宋体" w:hAnsi="宋体"/>
                <w:kern w:val="0"/>
                <w:szCs w:val="21"/>
              </w:rPr>
              <w:t>电视发射机</w:t>
            </w:r>
          </w:p>
        </w:tc>
        <w:tc>
          <w:tcPr>
            <w:tcW w:w="1705" w:type="dxa"/>
            <w:vMerge w:val="continue"/>
            <w:tcBorders>
              <w:left w:val="single" w:color="auto" w:sz="4" w:space="0"/>
              <w:right w:val="single" w:color="auto" w:sz="4" w:space="0"/>
            </w:tcBorders>
            <w:vAlign w:val="center"/>
          </w:tcPr>
          <w:p>
            <w:pPr>
              <w:snapToGrid w:val="0"/>
              <w:spacing w:line="340" w:lineRule="exact"/>
              <w:rPr>
                <w:rFonts w:ascii="宋体" w:hAnsi="宋体"/>
                <w:szCs w:val="21"/>
              </w:rPr>
            </w:pPr>
          </w:p>
        </w:tc>
        <w:tc>
          <w:tcPr>
            <w:tcW w:w="1690" w:type="dxa"/>
            <w:vMerge w:val="continue"/>
            <w:tcBorders>
              <w:left w:val="single" w:color="auto" w:sz="4" w:space="0"/>
              <w:right w:val="single" w:color="auto" w:sz="4" w:space="0"/>
            </w:tcBorders>
            <w:vAlign w:val="center"/>
          </w:tcPr>
          <w:p>
            <w:pPr>
              <w:snapToGrid w:val="0"/>
              <w:spacing w:line="340" w:lineRule="exact"/>
              <w:rPr>
                <w:rFonts w:ascii="宋体" w:hAnsi="宋体"/>
                <w:szCs w:val="21"/>
              </w:rPr>
            </w:pPr>
          </w:p>
        </w:tc>
        <w:tc>
          <w:tcPr>
            <w:tcW w:w="2418" w:type="dxa"/>
            <w:tcBorders>
              <w:left w:val="single" w:color="auto" w:sz="4" w:space="0"/>
              <w:right w:val="single" w:color="auto" w:sz="4" w:space="0"/>
            </w:tcBorders>
            <w:vAlign w:val="center"/>
          </w:tcPr>
          <w:p>
            <w:pPr>
              <w:adjustRightInd w:val="0"/>
              <w:spacing w:line="300" w:lineRule="exact"/>
              <w:textAlignment w:val="baseline"/>
              <w:rPr>
                <w:rFonts w:ascii="宋体" w:hAnsi="宋体"/>
                <w:szCs w:val="21"/>
              </w:rPr>
            </w:pPr>
            <w:r>
              <w:rPr>
                <w:rFonts w:hint="eastAsia" w:ascii="宋体" w:hAnsi="宋体"/>
                <w:szCs w:val="21"/>
              </w:rPr>
              <w:t>频率计（1×10</w:t>
            </w:r>
            <w:r>
              <w:rPr>
                <w:rFonts w:hint="eastAsia" w:ascii="宋体" w:hAnsi="宋体"/>
                <w:szCs w:val="21"/>
                <w:vertAlign w:val="superscript"/>
              </w:rPr>
              <w:t>-7</w:t>
            </w:r>
            <w:r>
              <w:rPr>
                <w:rFonts w:hint="eastAsia" w:ascii="宋体" w:hAnsi="宋体"/>
                <w:szCs w:val="21"/>
              </w:rPr>
              <w:t>）、视频信号发生器、视频分析仪、频谱分析仪、</w:t>
            </w:r>
            <w:r>
              <w:rPr>
                <w:rFonts w:hint="eastAsia" w:ascii="宋体" w:hAnsi="Courier New" w:cs="宋体"/>
              </w:rPr>
              <w:t>绝缘电阻测试仪、抗电强度测试仪、</w:t>
            </w:r>
            <w:r>
              <w:rPr>
                <w:rFonts w:hint="eastAsia" w:ascii="宋体" w:hAnsi="宋体"/>
                <w:szCs w:val="21"/>
              </w:rPr>
              <w:t>电磁辐射测试仪</w:t>
            </w:r>
          </w:p>
        </w:tc>
        <w:tc>
          <w:tcPr>
            <w:tcW w:w="955" w:type="dxa"/>
            <w:vMerge w:val="continue"/>
            <w:tcBorders>
              <w:left w:val="single" w:color="auto" w:sz="4" w:space="0"/>
              <w:right w:val="single" w:color="auto" w:sz="4" w:space="0"/>
            </w:tcBorders>
          </w:tcPr>
          <w:p>
            <w:pPr>
              <w:snapToGrid w:val="0"/>
              <w:spacing w:line="3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3" w:type="dxa"/>
            <w:tcBorders>
              <w:left w:val="single" w:color="auto" w:sz="4" w:space="0"/>
              <w:right w:val="single" w:color="auto" w:sz="4" w:space="0"/>
            </w:tcBorders>
            <w:vAlign w:val="center"/>
          </w:tcPr>
          <w:p>
            <w:pPr>
              <w:widowControl/>
              <w:spacing w:line="340" w:lineRule="exact"/>
              <w:jc w:val="center"/>
              <w:rPr>
                <w:rFonts w:ascii="宋体" w:hAnsi="宋体"/>
                <w:szCs w:val="21"/>
              </w:rPr>
            </w:pPr>
            <w:r>
              <w:rPr>
                <w:rFonts w:hint="eastAsia" w:ascii="宋体" w:hAnsi="宋体"/>
                <w:szCs w:val="21"/>
              </w:rPr>
              <w:t>4</w:t>
            </w:r>
          </w:p>
        </w:tc>
        <w:tc>
          <w:tcPr>
            <w:tcW w:w="1835"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kern w:val="0"/>
                <w:szCs w:val="21"/>
              </w:rPr>
            </w:pPr>
            <w:r>
              <w:rPr>
                <w:rFonts w:hint="eastAsia" w:ascii="宋体" w:hAnsi="宋体"/>
                <w:kern w:val="0"/>
                <w:szCs w:val="21"/>
              </w:rPr>
              <w:t>卫星电视接收天线</w:t>
            </w:r>
          </w:p>
        </w:tc>
        <w:tc>
          <w:tcPr>
            <w:tcW w:w="1705" w:type="dxa"/>
            <w:tcBorders>
              <w:left w:val="single" w:color="auto" w:sz="4" w:space="0"/>
              <w:right w:val="single" w:color="auto" w:sz="4" w:space="0"/>
            </w:tcBorders>
            <w:vAlign w:val="center"/>
          </w:tcPr>
          <w:p>
            <w:pPr>
              <w:rPr>
                <w:rFonts w:ascii="宋体"/>
              </w:rPr>
            </w:pPr>
            <w:r>
              <w:rPr>
                <w:rFonts w:ascii="宋体" w:hAnsi="Courier New" w:cs="宋体"/>
              </w:rPr>
              <w:t>1.</w:t>
            </w:r>
            <w:r>
              <w:rPr>
                <w:rFonts w:hint="eastAsia" w:ascii="宋体" w:hAnsi="宋体" w:cs="宋体"/>
              </w:rPr>
              <w:t>天线面成型设备及模具</w:t>
            </w:r>
          </w:p>
          <w:p>
            <w:pPr>
              <w:rPr>
                <w:rFonts w:ascii="宋体"/>
              </w:rPr>
            </w:pPr>
            <w:r>
              <w:rPr>
                <w:rFonts w:ascii="宋体" w:hAnsi="Courier New" w:cs="宋体"/>
              </w:rPr>
              <w:t>2.</w:t>
            </w:r>
            <w:r>
              <w:rPr>
                <w:rFonts w:hint="eastAsia" w:ascii="宋体" w:hAnsi="Courier New" w:cs="宋体"/>
              </w:rPr>
              <w:t>蒙皮拉伸设备</w:t>
            </w:r>
            <w:r>
              <w:rPr>
                <w:rFonts w:hint="eastAsia" w:ascii="宋体" w:hAnsi="宋体" w:cs="宋体"/>
              </w:rPr>
              <w:t>（适用于大口径天线）</w:t>
            </w:r>
          </w:p>
        </w:tc>
        <w:tc>
          <w:tcPr>
            <w:tcW w:w="1690" w:type="dxa"/>
            <w:tcBorders>
              <w:left w:val="single" w:color="auto" w:sz="4" w:space="0"/>
              <w:right w:val="single" w:color="auto" w:sz="4" w:space="0"/>
            </w:tcBorders>
            <w:vAlign w:val="center"/>
          </w:tcPr>
          <w:p>
            <w:pPr>
              <w:jc w:val="center"/>
              <w:rPr>
                <w:rFonts w:ascii="宋体"/>
              </w:rPr>
            </w:pPr>
            <w:r>
              <w:rPr>
                <w:rFonts w:hint="eastAsia" w:ascii="宋体" w:hAnsi="宋体" w:cs="宋体"/>
              </w:rPr>
              <w:t>—</w:t>
            </w:r>
          </w:p>
        </w:tc>
        <w:tc>
          <w:tcPr>
            <w:tcW w:w="2418" w:type="dxa"/>
            <w:tcBorders>
              <w:left w:val="single" w:color="auto" w:sz="4" w:space="0"/>
              <w:right w:val="single" w:color="auto" w:sz="4" w:space="0"/>
            </w:tcBorders>
            <w:vAlign w:val="center"/>
          </w:tcPr>
          <w:p>
            <w:pPr>
              <w:adjustRightInd w:val="0"/>
              <w:spacing w:line="330" w:lineRule="exact"/>
              <w:jc w:val="left"/>
              <w:textAlignment w:val="baseline"/>
              <w:rPr>
                <w:rFonts w:ascii="宋体" w:hAnsi="宋体"/>
                <w:szCs w:val="21"/>
              </w:rPr>
            </w:pPr>
            <w:r>
              <w:rPr>
                <w:rFonts w:hint="eastAsia" w:ascii="宋体" w:hAnsi="宋体"/>
                <w:szCs w:val="21"/>
              </w:rPr>
              <w:t>长度测量工具、塞尺、</w:t>
            </w:r>
          </w:p>
          <w:p>
            <w:pPr>
              <w:adjustRightInd w:val="0"/>
              <w:spacing w:line="330" w:lineRule="exact"/>
              <w:jc w:val="left"/>
              <w:textAlignment w:val="baseline"/>
              <w:rPr>
                <w:rFonts w:ascii="宋体" w:hAnsi="Courier New" w:cs="宋体"/>
              </w:rPr>
            </w:pPr>
            <w:r>
              <w:rPr>
                <w:rFonts w:hint="eastAsia" w:ascii="宋体" w:hAnsi="宋体"/>
                <w:szCs w:val="21"/>
              </w:rPr>
              <w:t>样板、</w:t>
            </w:r>
            <w:r>
              <w:rPr>
                <w:rFonts w:hint="eastAsia" w:ascii="宋体" w:hAnsi="Courier New" w:cs="宋体"/>
              </w:rPr>
              <w:t>卫星电视接收系统（室外单元、卫星数字电视接收机）</w:t>
            </w:r>
          </w:p>
        </w:tc>
        <w:tc>
          <w:tcPr>
            <w:tcW w:w="955" w:type="dxa"/>
            <w:vMerge w:val="continue"/>
            <w:tcBorders>
              <w:left w:val="single" w:color="auto" w:sz="4" w:space="0"/>
              <w:right w:val="single" w:color="auto" w:sz="4" w:space="0"/>
            </w:tcBorders>
          </w:tcPr>
          <w:p>
            <w:pPr>
              <w:jc w:val="left"/>
              <w:rPr>
                <w:rFonts w:ascii="宋体" w:hAnsi="Courier New"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8" w:hRule="atLeast"/>
          <w:jc w:val="center"/>
        </w:trPr>
        <w:tc>
          <w:tcPr>
            <w:tcW w:w="683" w:type="dxa"/>
            <w:tcBorders>
              <w:left w:val="single" w:color="auto" w:sz="4" w:space="0"/>
              <w:right w:val="single" w:color="auto" w:sz="4" w:space="0"/>
            </w:tcBorders>
            <w:vAlign w:val="center"/>
          </w:tcPr>
          <w:p>
            <w:pPr>
              <w:widowControl/>
              <w:spacing w:line="340" w:lineRule="exact"/>
              <w:jc w:val="center"/>
              <w:rPr>
                <w:rFonts w:ascii="宋体" w:hAnsi="宋体"/>
                <w:szCs w:val="21"/>
              </w:rPr>
            </w:pPr>
            <w:r>
              <w:rPr>
                <w:rFonts w:hint="eastAsia" w:ascii="宋体" w:hAnsi="宋体"/>
                <w:szCs w:val="21"/>
              </w:rPr>
              <w:t>5</w:t>
            </w:r>
          </w:p>
        </w:tc>
        <w:tc>
          <w:tcPr>
            <w:tcW w:w="1835"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kern w:val="0"/>
                <w:szCs w:val="21"/>
              </w:rPr>
            </w:pPr>
            <w:r>
              <w:rPr>
                <w:rFonts w:hint="eastAsia" w:ascii="宋体" w:hAnsi="宋体"/>
                <w:kern w:val="0"/>
                <w:szCs w:val="21"/>
              </w:rPr>
              <w:t>卫星数字电视接收机</w:t>
            </w:r>
          </w:p>
        </w:tc>
        <w:tc>
          <w:tcPr>
            <w:tcW w:w="1705" w:type="dxa"/>
            <w:tcBorders>
              <w:left w:val="single" w:color="auto" w:sz="4" w:space="0"/>
              <w:right w:val="single" w:color="auto" w:sz="4" w:space="0"/>
            </w:tcBorders>
            <w:vAlign w:val="center"/>
          </w:tcPr>
          <w:p>
            <w:pPr>
              <w:adjustRightInd w:val="0"/>
              <w:spacing w:line="300" w:lineRule="exact"/>
              <w:textAlignment w:val="baseline"/>
              <w:rPr>
                <w:rFonts w:ascii="宋体" w:hAnsi="宋体"/>
              </w:rPr>
            </w:pPr>
            <w:r>
              <w:rPr>
                <w:rFonts w:ascii="宋体" w:hAnsi="宋体" w:cs="宋体"/>
              </w:rPr>
              <w:t>1.</w:t>
            </w:r>
            <w:r>
              <w:rPr>
                <w:rFonts w:hint="eastAsia" w:ascii="宋体" w:hAnsi="宋体" w:cs="宋体"/>
              </w:rPr>
              <w:t>锡膏印刷机、贴片机、回流焊设备</w:t>
            </w:r>
          </w:p>
          <w:p>
            <w:pPr>
              <w:spacing w:line="300" w:lineRule="exact"/>
              <w:rPr>
                <w:rFonts w:ascii="宋体" w:hAnsi="宋体"/>
              </w:rPr>
            </w:pPr>
            <w:r>
              <w:rPr>
                <w:rFonts w:hint="eastAsia" w:ascii="宋体" w:hAnsi="宋体" w:cs="宋体"/>
                <w:kern w:val="0"/>
              </w:rPr>
              <w:t>2</w:t>
            </w:r>
            <w:r>
              <w:rPr>
                <w:rFonts w:ascii="宋体" w:hAnsi="宋体" w:cs="宋体"/>
                <w:kern w:val="0"/>
              </w:rPr>
              <w:t>.</w:t>
            </w:r>
            <w:r>
              <w:rPr>
                <w:rFonts w:hint="eastAsia" w:ascii="宋体" w:hAnsi="宋体" w:cs="宋体"/>
              </w:rPr>
              <w:t>插件生产线</w:t>
            </w:r>
          </w:p>
          <w:p>
            <w:pPr>
              <w:spacing w:line="300" w:lineRule="exact"/>
              <w:rPr>
                <w:rFonts w:ascii="宋体" w:hAnsi="宋体"/>
              </w:rPr>
            </w:pPr>
            <w:r>
              <w:rPr>
                <w:rFonts w:hint="eastAsia" w:ascii="宋体" w:hAnsi="宋体" w:cs="宋体"/>
              </w:rPr>
              <w:t>3</w:t>
            </w:r>
            <w:r>
              <w:rPr>
                <w:rFonts w:ascii="宋体" w:hAnsi="宋体" w:cs="宋体"/>
              </w:rPr>
              <w:t>.</w:t>
            </w:r>
            <w:r>
              <w:rPr>
                <w:rFonts w:hint="eastAsia" w:ascii="宋体" w:hAnsi="宋体" w:cs="宋体"/>
              </w:rPr>
              <w:t>波峰焊设备</w:t>
            </w:r>
          </w:p>
          <w:p>
            <w:pPr>
              <w:spacing w:line="300" w:lineRule="exact"/>
              <w:rPr>
                <w:rFonts w:ascii="宋体" w:hAnsi="宋体"/>
              </w:rPr>
            </w:pPr>
            <w:r>
              <w:rPr>
                <w:rFonts w:hint="eastAsia" w:ascii="宋体" w:hAnsi="宋体" w:cs="宋体"/>
              </w:rPr>
              <w:t>4</w:t>
            </w:r>
            <w:r>
              <w:rPr>
                <w:rFonts w:ascii="宋体" w:hAnsi="宋体" w:cs="宋体"/>
              </w:rPr>
              <w:t>.</w:t>
            </w:r>
            <w:r>
              <w:rPr>
                <w:rFonts w:hint="eastAsia" w:ascii="宋体" w:hAnsi="宋体" w:cs="宋体"/>
              </w:rPr>
              <w:t>总装生产线</w:t>
            </w:r>
          </w:p>
        </w:tc>
        <w:tc>
          <w:tcPr>
            <w:tcW w:w="1690" w:type="dxa"/>
            <w:tcBorders>
              <w:left w:val="single" w:color="auto" w:sz="4" w:space="0"/>
              <w:right w:val="single" w:color="auto" w:sz="4" w:space="0"/>
            </w:tcBorders>
            <w:vAlign w:val="center"/>
          </w:tcPr>
          <w:p>
            <w:pPr>
              <w:adjustRightInd w:val="0"/>
              <w:spacing w:line="300" w:lineRule="exact"/>
              <w:jc w:val="center"/>
              <w:textAlignment w:val="baseline"/>
              <w:rPr>
                <w:rFonts w:ascii="宋体" w:hAnsi="宋体" w:cs="宋体"/>
              </w:rPr>
            </w:pPr>
            <w:r>
              <w:rPr>
                <w:rFonts w:hint="eastAsia" w:ascii="宋体" w:hAnsi="宋体" w:cs="宋体"/>
              </w:rPr>
              <w:t>—</w:t>
            </w:r>
          </w:p>
        </w:tc>
        <w:tc>
          <w:tcPr>
            <w:tcW w:w="2418" w:type="dxa"/>
            <w:tcBorders>
              <w:left w:val="single" w:color="auto" w:sz="4" w:space="0"/>
              <w:right w:val="single" w:color="auto" w:sz="4" w:space="0"/>
            </w:tcBorders>
            <w:vAlign w:val="center"/>
          </w:tcPr>
          <w:p>
            <w:pPr>
              <w:adjustRightInd w:val="0"/>
              <w:spacing w:line="300" w:lineRule="exact"/>
              <w:textAlignment w:val="baseline"/>
              <w:rPr>
                <w:rFonts w:ascii="宋体" w:hAnsi="宋体" w:cs="宋体"/>
              </w:rPr>
            </w:pPr>
            <w:r>
              <w:rPr>
                <w:rFonts w:hint="eastAsia" w:ascii="宋体" w:hAnsi="宋体" w:cs="宋体"/>
              </w:rPr>
              <w:t>卫星电视接收系统（卫星电视接收天线、室外单元）、</w:t>
            </w:r>
            <w:r>
              <w:rPr>
                <w:rFonts w:hint="eastAsia" w:ascii="宋体" w:hAnsi="Courier New" w:cs="宋体"/>
              </w:rPr>
              <w:t>绝缘电阻测试仪、抗电强度测试仪</w:t>
            </w:r>
          </w:p>
        </w:tc>
        <w:tc>
          <w:tcPr>
            <w:tcW w:w="955" w:type="dxa"/>
            <w:vMerge w:val="continue"/>
            <w:tcBorders>
              <w:left w:val="single" w:color="auto" w:sz="4" w:space="0"/>
              <w:right w:val="single" w:color="auto" w:sz="4" w:space="0"/>
            </w:tcBorders>
          </w:tcPr>
          <w:p>
            <w:pPr>
              <w:adjustRightInd w:val="0"/>
              <w:spacing w:line="300" w:lineRule="exact"/>
              <w:jc w:val="center"/>
              <w:textAlignment w:val="baseline"/>
              <w:rPr>
                <w:rFonts w:ascii="宋体" w:hAnsi="宋体" w:cs="宋体"/>
              </w:rPr>
            </w:pPr>
          </w:p>
        </w:tc>
      </w:tr>
    </w:tbl>
    <w:p>
      <w:pPr>
        <w:pStyle w:val="103"/>
        <w:spacing w:line="400" w:lineRule="exact"/>
        <w:rPr>
          <w:rFonts w:ascii="宋体" w:hAnsi="宋体"/>
          <w:iCs/>
          <w:kern w:val="0"/>
          <w:szCs w:val="24"/>
        </w:rPr>
      </w:pPr>
      <w:r>
        <w:rPr>
          <w:rFonts w:hint="eastAsia" w:ascii="宋体" w:hAnsi="宋体"/>
          <w:iCs/>
          <w:kern w:val="0"/>
          <w:szCs w:val="24"/>
        </w:rPr>
        <w:t>注：1.本表中为企业正常生产应具备的主要生产设备和企业应具备的主要检验设备，可与上述设备名称不同，</w:t>
      </w:r>
      <w:r>
        <w:rPr>
          <w:rFonts w:hint="eastAsia" w:ascii="宋体" w:hAnsi="宋体" w:cs="宋体"/>
        </w:rPr>
        <w:t>以企业实际具备的生产设备和检验设备为准，</w:t>
      </w:r>
      <w:r>
        <w:rPr>
          <w:rFonts w:hint="eastAsia" w:ascii="宋体" w:hAnsi="宋体"/>
          <w:iCs/>
          <w:kern w:val="0"/>
          <w:szCs w:val="24"/>
        </w:rPr>
        <w:t>但应满足上述设备的功能要求，仅检验设备可租赁；</w:t>
      </w:r>
    </w:p>
    <w:p>
      <w:pPr>
        <w:pStyle w:val="185"/>
        <w:spacing w:line="400" w:lineRule="exact"/>
        <w:jc w:val="left"/>
        <w:rPr>
          <w:rFonts w:ascii="宋体" w:hAnsi="宋体" w:cs="宋体"/>
          <w:szCs w:val="24"/>
        </w:rPr>
      </w:pPr>
      <w:r>
        <w:rPr>
          <w:rFonts w:hint="eastAsia" w:ascii="宋体" w:hAnsi="宋体"/>
          <w:iCs/>
          <w:kern w:val="0"/>
          <w:szCs w:val="24"/>
        </w:rPr>
        <w:t>2.同一检测项目有多种检测设备时，应至少具备其中一种且满足标准规定的检测要求。</w:t>
      </w:r>
    </w:p>
    <w:p>
      <w:pPr>
        <w:spacing w:line="400" w:lineRule="exact"/>
        <w:ind w:firstLine="420" w:firstLineChars="200"/>
        <w:jc w:val="left"/>
        <w:rPr>
          <w:rFonts w:asciiTheme="minorEastAsia" w:hAnsiTheme="minorEastAsia"/>
          <w:szCs w:val="24"/>
        </w:rPr>
      </w:pPr>
      <w:r>
        <w:rPr>
          <w:rFonts w:hint="eastAsia" w:asciiTheme="minorEastAsia" w:hAnsiTheme="minorEastAsia"/>
          <w:szCs w:val="24"/>
        </w:rPr>
        <w:t>第五条 证书要求</w:t>
      </w:r>
    </w:p>
    <w:p>
      <w:pPr>
        <w:pStyle w:val="202"/>
        <w:adjustRightInd w:val="0"/>
        <w:spacing w:line="360" w:lineRule="auto"/>
        <w:rPr>
          <w:rFonts w:ascii="宋体" w:hAnsi="宋体"/>
          <w:b/>
        </w:rPr>
      </w:pPr>
      <w:r>
        <w:rPr>
          <w:rFonts w:hint="eastAsia" w:ascii="宋体" w:hAnsi="宋体"/>
          <w:kern w:val="0"/>
          <w:szCs w:val="24"/>
        </w:rPr>
        <w:t>证书明细应包括产品单元名称（示例见表</w:t>
      </w:r>
      <w:r>
        <w:rPr>
          <w:rFonts w:ascii="宋体" w:hAnsi="宋体"/>
          <w:kern w:val="0"/>
          <w:szCs w:val="24"/>
        </w:rPr>
        <w:t>3</w:t>
      </w:r>
      <w:r>
        <w:rPr>
          <w:rFonts w:hint="eastAsia" w:ascii="宋体" w:hAnsi="宋体"/>
          <w:kern w:val="0"/>
          <w:szCs w:val="24"/>
        </w:rPr>
        <w:t>）。</w:t>
      </w:r>
    </w:p>
    <w:p>
      <w:pPr>
        <w:spacing w:line="360" w:lineRule="auto"/>
        <w:ind w:firstLine="422" w:firstLineChars="200"/>
        <w:jc w:val="center"/>
        <w:rPr>
          <w:rFonts w:ascii="宋体" w:hAnsi="宋体"/>
          <w:b/>
        </w:rPr>
      </w:pPr>
      <w:r>
        <w:rPr>
          <w:rFonts w:hint="eastAsia" w:ascii="宋体" w:hAnsi="宋体"/>
          <w:b/>
        </w:rPr>
        <w:t>表</w:t>
      </w:r>
      <w:r>
        <w:rPr>
          <w:rFonts w:ascii="宋体" w:hAnsi="宋体"/>
          <w:b/>
        </w:rPr>
        <w:t xml:space="preserve">3 </w:t>
      </w:r>
      <w:r>
        <w:rPr>
          <w:rFonts w:hint="eastAsia" w:ascii="宋体" w:hAnsi="宋体"/>
          <w:b/>
        </w:rPr>
        <w:t>证书产品明细内容示例</w:t>
      </w:r>
    </w:p>
    <w:tbl>
      <w:tblPr>
        <w:tblStyle w:val="45"/>
        <w:tblW w:w="91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828"/>
        <w:gridCol w:w="2825"/>
        <w:gridCol w:w="5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28"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序号</w:t>
            </w:r>
          </w:p>
        </w:tc>
        <w:tc>
          <w:tcPr>
            <w:tcW w:w="2825"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产品单元</w:t>
            </w:r>
          </w:p>
        </w:tc>
        <w:tc>
          <w:tcPr>
            <w:tcW w:w="5531" w:type="dxa"/>
            <w:tcBorders>
              <w:top w:val="single" w:color="auto" w:sz="4" w:space="0"/>
              <w:left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kern w:val="0"/>
              </w:rPr>
              <w:t>证书明细范围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28"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color w:val="000000" w:themeColor="text1"/>
                <w:kern w:val="0"/>
                <w:szCs w:val="21"/>
              </w:rPr>
            </w:pPr>
            <w:r>
              <w:rPr>
                <w:rFonts w:ascii="宋体" w:hAnsi="宋体"/>
                <w:color w:val="000000" w:themeColor="text1"/>
                <w:kern w:val="0"/>
                <w:szCs w:val="21"/>
              </w:rPr>
              <w:t>1</w:t>
            </w:r>
          </w:p>
        </w:tc>
        <w:tc>
          <w:tcPr>
            <w:tcW w:w="2825"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left"/>
              <w:rPr>
                <w:rFonts w:ascii="宋体" w:hAnsi="宋体"/>
                <w:b/>
                <w:bCs/>
                <w:color w:val="000000" w:themeColor="text1"/>
                <w:kern w:val="0"/>
                <w:szCs w:val="21"/>
              </w:rPr>
            </w:pPr>
            <w:r>
              <w:rPr>
                <w:rFonts w:hint="eastAsia" w:ascii="宋体" w:hAnsi="宋体"/>
                <w:color w:val="000000" w:themeColor="text1"/>
                <w:szCs w:val="21"/>
              </w:rPr>
              <w:t>中短波广播发射机</w:t>
            </w:r>
          </w:p>
        </w:tc>
        <w:tc>
          <w:tcPr>
            <w:tcW w:w="5531"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left"/>
              <w:rPr>
                <w:rFonts w:ascii="宋体" w:hAnsi="宋体"/>
                <w:b/>
                <w:bCs/>
                <w:color w:val="000000" w:themeColor="text1"/>
                <w:kern w:val="0"/>
                <w:szCs w:val="21"/>
              </w:rPr>
            </w:pPr>
            <w:r>
              <w:rPr>
                <w:rFonts w:hint="eastAsia" w:ascii="宋体" w:hAnsi="宋体"/>
                <w:szCs w:val="21"/>
              </w:rPr>
              <w:t>中短波广播发射机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28"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color w:val="000000" w:themeColor="text1"/>
                <w:kern w:val="0"/>
                <w:szCs w:val="21"/>
              </w:rPr>
            </w:pPr>
            <w:r>
              <w:rPr>
                <w:rFonts w:hint="eastAsia" w:ascii="宋体" w:hAnsi="宋体"/>
                <w:color w:val="000000" w:themeColor="text1"/>
                <w:kern w:val="0"/>
                <w:szCs w:val="21"/>
              </w:rPr>
              <w:t>2</w:t>
            </w:r>
          </w:p>
        </w:tc>
        <w:tc>
          <w:tcPr>
            <w:tcW w:w="2825"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left"/>
              <w:rPr>
                <w:rFonts w:ascii="宋体" w:hAnsi="宋体"/>
                <w:color w:val="000000" w:themeColor="text1"/>
                <w:szCs w:val="21"/>
              </w:rPr>
            </w:pPr>
            <w:r>
              <w:rPr>
                <w:rFonts w:hint="eastAsia" w:ascii="宋体" w:hAnsi="宋体"/>
                <w:color w:val="000000" w:themeColor="text1"/>
                <w:szCs w:val="21"/>
              </w:rPr>
              <w:t>调频频段广播发射机</w:t>
            </w:r>
          </w:p>
        </w:tc>
        <w:tc>
          <w:tcPr>
            <w:tcW w:w="5531"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left"/>
              <w:rPr>
                <w:rFonts w:ascii="宋体" w:hAnsi="宋体"/>
                <w:szCs w:val="21"/>
              </w:rPr>
            </w:pPr>
            <w:r>
              <w:rPr>
                <w:rFonts w:hint="eastAsia" w:ascii="宋体" w:hAnsi="宋体"/>
                <w:szCs w:val="21"/>
              </w:rPr>
              <w:t>调频频段广播发射机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28"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color w:val="000000" w:themeColor="text1"/>
                <w:kern w:val="0"/>
                <w:szCs w:val="21"/>
              </w:rPr>
            </w:pPr>
            <w:r>
              <w:rPr>
                <w:rFonts w:hint="eastAsia" w:ascii="宋体" w:hAnsi="宋体"/>
                <w:color w:val="000000" w:themeColor="text1"/>
                <w:kern w:val="0"/>
                <w:szCs w:val="21"/>
              </w:rPr>
              <w:t>3</w:t>
            </w:r>
          </w:p>
        </w:tc>
        <w:tc>
          <w:tcPr>
            <w:tcW w:w="2825"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left"/>
              <w:rPr>
                <w:rFonts w:ascii="宋体" w:hAnsi="宋体"/>
                <w:color w:val="000000" w:themeColor="text1"/>
                <w:szCs w:val="21"/>
              </w:rPr>
            </w:pPr>
            <w:r>
              <w:rPr>
                <w:rFonts w:hint="eastAsia" w:ascii="宋体" w:hAnsi="宋体"/>
                <w:color w:val="000000" w:themeColor="text1"/>
                <w:szCs w:val="21"/>
              </w:rPr>
              <w:t>电视发射机</w:t>
            </w:r>
          </w:p>
        </w:tc>
        <w:tc>
          <w:tcPr>
            <w:tcW w:w="5531" w:type="dxa"/>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kern w:val="0"/>
                <w:szCs w:val="21"/>
              </w:rPr>
              <w:t>电视发射机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28"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color w:val="000000" w:themeColor="text1"/>
                <w:kern w:val="0"/>
                <w:szCs w:val="21"/>
              </w:rPr>
            </w:pPr>
            <w:r>
              <w:rPr>
                <w:rFonts w:hint="eastAsia" w:ascii="宋体" w:hAnsi="宋体"/>
                <w:color w:val="000000" w:themeColor="text1"/>
                <w:kern w:val="0"/>
                <w:szCs w:val="21"/>
              </w:rPr>
              <w:t>4</w:t>
            </w:r>
          </w:p>
        </w:tc>
        <w:tc>
          <w:tcPr>
            <w:tcW w:w="2825"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left"/>
              <w:rPr>
                <w:rFonts w:ascii="宋体" w:hAnsi="宋体"/>
                <w:color w:val="000000" w:themeColor="text1"/>
                <w:szCs w:val="21"/>
              </w:rPr>
            </w:pPr>
            <w:r>
              <w:rPr>
                <w:rFonts w:hint="eastAsia" w:ascii="宋体" w:hAnsi="宋体"/>
                <w:kern w:val="0"/>
                <w:szCs w:val="21"/>
              </w:rPr>
              <w:t>卫星电视接收天线</w:t>
            </w:r>
          </w:p>
        </w:tc>
        <w:tc>
          <w:tcPr>
            <w:tcW w:w="5531" w:type="dxa"/>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kern w:val="0"/>
                <w:szCs w:val="21"/>
              </w:rPr>
              <w:t>卫星电视接收天线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28"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color w:val="000000" w:themeColor="text1"/>
                <w:kern w:val="0"/>
                <w:szCs w:val="21"/>
              </w:rPr>
            </w:pPr>
            <w:r>
              <w:rPr>
                <w:rFonts w:hint="eastAsia" w:ascii="宋体" w:hAnsi="宋体"/>
                <w:color w:val="000000" w:themeColor="text1"/>
                <w:kern w:val="0"/>
                <w:szCs w:val="21"/>
              </w:rPr>
              <w:t>5</w:t>
            </w:r>
          </w:p>
        </w:tc>
        <w:tc>
          <w:tcPr>
            <w:tcW w:w="2825"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left"/>
              <w:rPr>
                <w:rFonts w:ascii="宋体" w:hAnsi="宋体"/>
                <w:color w:val="000000" w:themeColor="text1"/>
                <w:szCs w:val="21"/>
              </w:rPr>
            </w:pPr>
            <w:r>
              <w:rPr>
                <w:rFonts w:hint="eastAsia" w:ascii="宋体" w:hAnsi="宋体"/>
                <w:kern w:val="0"/>
                <w:szCs w:val="21"/>
              </w:rPr>
              <w:t>卫星数字电视接收机</w:t>
            </w:r>
          </w:p>
        </w:tc>
        <w:tc>
          <w:tcPr>
            <w:tcW w:w="5531" w:type="dxa"/>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宋体" w:hAnsi="宋体"/>
                <w:szCs w:val="21"/>
              </w:rPr>
            </w:pPr>
            <w:r>
              <w:rPr>
                <w:rFonts w:hint="eastAsia" w:ascii="宋体" w:hAnsi="宋体"/>
                <w:kern w:val="0"/>
                <w:szCs w:val="21"/>
              </w:rPr>
              <w:t>卫星数字电视接收机</w:t>
            </w:r>
          </w:p>
        </w:tc>
      </w:tr>
    </w:tbl>
    <w:p>
      <w:pPr>
        <w:adjustRightInd w:val="0"/>
        <w:snapToGrid w:val="0"/>
        <w:spacing w:line="400" w:lineRule="exact"/>
        <w:ind w:firstLine="420" w:firstLineChars="200"/>
        <w:rPr>
          <w:rFonts w:ascii="宋体" w:hAnsi="宋体"/>
        </w:rPr>
      </w:pPr>
      <w:r>
        <w:rPr>
          <w:rFonts w:hint="eastAsia" w:ascii="宋体" w:hAnsi="宋体"/>
          <w:szCs w:val="32"/>
        </w:rPr>
        <w:t>注：</w:t>
      </w:r>
      <w:r>
        <w:rPr>
          <w:rFonts w:hint="eastAsia" w:ascii="宋体" w:hAnsi="宋体"/>
        </w:rPr>
        <w:t>企业申请的产品名称与细则中的产品单元名称不一致时，按细则中的产品单元名称发证。</w:t>
      </w:r>
    </w:p>
    <w:p>
      <w:pPr>
        <w:widowControl/>
        <w:ind w:firstLine="420" w:firstLineChars="200"/>
        <w:jc w:val="left"/>
        <w:rPr>
          <w:rFonts w:cs="Calibri" w:asciiTheme="minorEastAsia" w:hAnsiTheme="minorEastAsia"/>
          <w:szCs w:val="24"/>
        </w:rPr>
      </w:pPr>
      <w:bookmarkStart w:id="0" w:name="_GoBack"/>
      <w:bookmarkEnd w:id="0"/>
    </w:p>
    <w:p>
      <w:pPr>
        <w:widowControl/>
        <w:ind w:firstLine="420" w:firstLineChars="200"/>
        <w:jc w:val="left"/>
        <w:rPr>
          <w:rFonts w:cs="Calibri" w:asciiTheme="minorEastAsia" w:hAnsiTheme="minorEastAsia"/>
          <w:szCs w:val="24"/>
        </w:rPr>
      </w:pPr>
      <w:r>
        <w:rPr>
          <w:rFonts w:hint="eastAsia" w:cs="Calibri" w:asciiTheme="minorEastAsia" w:hAnsiTheme="minorEastAsia"/>
          <w:szCs w:val="24"/>
        </w:rPr>
        <w:t>附件：广播电视传输设备产品执行的标准及检验项目。</w:t>
      </w:r>
    </w:p>
    <w:p>
      <w:pPr>
        <w:pStyle w:val="2"/>
      </w:pPr>
    </w:p>
    <w:p>
      <w:pPr>
        <w:widowControl/>
        <w:jc w:val="left"/>
        <w:sectPr>
          <w:headerReference r:id="rId7" w:type="default"/>
          <w:footerReference r:id="rId8" w:type="default"/>
          <w:pgSz w:w="11906" w:h="16838"/>
          <w:pgMar w:top="1418" w:right="1418" w:bottom="1418" w:left="1418" w:header="851" w:footer="992" w:gutter="0"/>
          <w:pgNumType w:start="1"/>
          <w:cols w:space="720" w:num="1"/>
          <w:docGrid w:linePitch="312" w:charSpace="0"/>
        </w:sectPr>
      </w:pPr>
      <w:r>
        <w:br w:type="page"/>
      </w:r>
    </w:p>
    <w:p>
      <w:pPr>
        <w:pStyle w:val="103"/>
        <w:spacing w:line="360" w:lineRule="auto"/>
        <w:ind w:firstLine="0" w:firstLineChars="0"/>
        <w:rPr>
          <w:rFonts w:ascii="宋体" w:hAnsi="宋体"/>
          <w:b/>
          <w:kern w:val="0"/>
          <w:szCs w:val="24"/>
        </w:rPr>
      </w:pPr>
      <w:r>
        <w:rPr>
          <w:rFonts w:hint="eastAsia" w:ascii="宋体" w:hAnsi="宋体"/>
          <w:b/>
          <w:kern w:val="0"/>
          <w:szCs w:val="24"/>
        </w:rPr>
        <w:t>附件</w:t>
      </w:r>
    </w:p>
    <w:p>
      <w:pPr>
        <w:pStyle w:val="103"/>
        <w:spacing w:line="400" w:lineRule="exact"/>
        <w:ind w:firstLine="0" w:firstLineChars="0"/>
        <w:jc w:val="center"/>
        <w:rPr>
          <w:rFonts w:ascii="方正黑体简体" w:hAnsi="方正黑体简体" w:eastAsia="方正黑体简体" w:cs="方正黑体简体"/>
          <w:bCs/>
          <w:sz w:val="24"/>
          <w:szCs w:val="24"/>
        </w:rPr>
      </w:pPr>
      <w:r>
        <w:rPr>
          <w:rFonts w:hint="eastAsia" w:ascii="方正黑体简体" w:hAnsi="方正黑体简体" w:eastAsia="方正黑体简体" w:cs="方正黑体简体"/>
          <w:bCs/>
          <w:kern w:val="0"/>
          <w:sz w:val="24"/>
          <w:szCs w:val="24"/>
        </w:rPr>
        <w:t>广播电视传输设备产品执行的标准及检</w:t>
      </w:r>
      <w:r>
        <w:rPr>
          <w:rFonts w:hint="eastAsia" w:ascii="方正黑体简体" w:hAnsi="方正黑体简体" w:eastAsia="方正黑体简体" w:cs="方正黑体简体"/>
          <w:bCs/>
          <w:sz w:val="24"/>
          <w:szCs w:val="24"/>
        </w:rPr>
        <w:t>验项目</w:t>
      </w:r>
    </w:p>
    <w:p>
      <w:pPr>
        <w:pStyle w:val="103"/>
        <w:spacing w:after="120" w:afterLines="50" w:line="400" w:lineRule="exact"/>
        <w:ind w:firstLine="0" w:firstLineChars="0"/>
        <w:jc w:val="center"/>
        <w:rPr>
          <w:rFonts w:ascii="宋体" w:hAnsi="宋体"/>
          <w:b/>
        </w:rPr>
      </w:pPr>
      <w:r>
        <w:rPr>
          <w:rFonts w:hint="eastAsia" w:ascii="方正楷体简体" w:hAnsi="方正楷体简体" w:eastAsia="方正楷体简体" w:cs="方正楷体简体"/>
          <w:bCs/>
        </w:rPr>
        <w:t>（本细则引用的标准一经修订，应按照新标准要求执行，企业应自标准实施之日起按新标准组织生产）</w:t>
      </w:r>
    </w:p>
    <w:tbl>
      <w:tblPr>
        <w:tblStyle w:val="45"/>
        <w:tblW w:w="14116"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
      <w:tblGrid>
        <w:gridCol w:w="624"/>
        <w:gridCol w:w="1781"/>
        <w:gridCol w:w="3464"/>
        <w:gridCol w:w="6378"/>
        <w:gridCol w:w="186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blHeader/>
          <w:jc w:val="center"/>
        </w:trPr>
        <w:tc>
          <w:tcPr>
            <w:tcW w:w="624"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序号</w:t>
            </w:r>
          </w:p>
        </w:tc>
        <w:tc>
          <w:tcPr>
            <w:tcW w:w="1781"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产品单元</w:t>
            </w:r>
          </w:p>
        </w:tc>
        <w:tc>
          <w:tcPr>
            <w:tcW w:w="3464"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szCs w:val="21"/>
              </w:rPr>
              <w:t>标准名称</w:t>
            </w:r>
          </w:p>
        </w:tc>
        <w:tc>
          <w:tcPr>
            <w:tcW w:w="6378" w:type="dxa"/>
            <w:tcBorders>
              <w:tl2br w:val="nil"/>
              <w:tr2bl w:val="nil"/>
            </w:tcBorders>
            <w:vAlign w:val="center"/>
          </w:tcPr>
          <w:p>
            <w:pPr>
              <w:spacing w:before="72" w:beforeLines="30" w:line="280" w:lineRule="exact"/>
              <w:jc w:val="center"/>
              <w:rPr>
                <w:rFonts w:ascii="宋体" w:hAnsi="宋体"/>
                <w:b/>
                <w:bCs/>
              </w:rPr>
            </w:pPr>
            <w:r>
              <w:rPr>
                <w:rFonts w:hint="eastAsia" w:ascii="宋体" w:hAnsi="宋体"/>
                <w:b/>
                <w:bCs/>
              </w:rPr>
              <w:t>检验项目</w:t>
            </w:r>
          </w:p>
        </w:tc>
        <w:tc>
          <w:tcPr>
            <w:tcW w:w="1869" w:type="dxa"/>
            <w:tcBorders>
              <w:tl2br w:val="nil"/>
              <w:tr2bl w:val="nil"/>
            </w:tcBorders>
            <w:vAlign w:val="center"/>
          </w:tcPr>
          <w:p>
            <w:pPr>
              <w:spacing w:before="72" w:beforeLines="30" w:line="280" w:lineRule="exact"/>
              <w:jc w:val="center"/>
              <w:rPr>
                <w:rFonts w:ascii="宋体" w:hAnsi="宋体"/>
                <w:b/>
                <w:bCs/>
              </w:rPr>
            </w:pPr>
            <w:r>
              <w:rPr>
                <w:rFonts w:hint="eastAsia" w:ascii="宋体" w:hAnsi="宋体"/>
                <w:b/>
                <w:bCs/>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vMerge w:val="restart"/>
            <w:tcBorders>
              <w:tl2br w:val="nil"/>
              <w:tr2bl w:val="nil"/>
            </w:tcBorders>
            <w:vAlign w:val="center"/>
          </w:tcPr>
          <w:p>
            <w:pPr>
              <w:spacing w:before="72" w:beforeLines="30" w:line="280" w:lineRule="exact"/>
              <w:jc w:val="center"/>
              <w:rPr>
                <w:rFonts w:ascii="宋体" w:hAnsi="宋体"/>
              </w:rPr>
            </w:pPr>
            <w:r>
              <w:rPr>
                <w:rFonts w:hint="eastAsia" w:ascii="宋体" w:hAnsi="宋体"/>
              </w:rPr>
              <w:t>1</w:t>
            </w:r>
          </w:p>
        </w:tc>
        <w:tc>
          <w:tcPr>
            <w:tcW w:w="1781" w:type="dxa"/>
            <w:vMerge w:val="restart"/>
            <w:tcBorders>
              <w:tl2br w:val="nil"/>
              <w:tr2bl w:val="nil"/>
            </w:tcBorders>
            <w:vAlign w:val="center"/>
          </w:tcPr>
          <w:p>
            <w:pPr>
              <w:spacing w:before="72" w:beforeLines="30" w:line="280" w:lineRule="exact"/>
              <w:jc w:val="center"/>
              <w:rPr>
                <w:rFonts w:ascii="宋体" w:hAnsi="宋体"/>
              </w:rPr>
            </w:pPr>
            <w:r>
              <w:rPr>
                <w:rFonts w:hint="eastAsia" w:ascii="宋体" w:hAnsi="宋体"/>
              </w:rPr>
              <w:t>中短波广播发射机</w:t>
            </w:r>
          </w:p>
        </w:tc>
        <w:tc>
          <w:tcPr>
            <w:tcW w:w="3464" w:type="dxa"/>
            <w:tcBorders>
              <w:tl2br w:val="nil"/>
              <w:tr2bl w:val="nil"/>
            </w:tcBorders>
            <w:vAlign w:val="center"/>
          </w:tcPr>
          <w:p>
            <w:pPr>
              <w:spacing w:before="72" w:beforeLines="30" w:line="280" w:lineRule="exact"/>
              <w:rPr>
                <w:rFonts w:asciiTheme="minorEastAsia" w:hAnsiTheme="minorEastAsia"/>
                <w:szCs w:val="21"/>
              </w:rPr>
            </w:pPr>
            <w:r>
              <w:rPr>
                <w:rFonts w:asciiTheme="minorEastAsia" w:hAnsiTheme="minorEastAsia"/>
                <w:szCs w:val="21"/>
              </w:rPr>
              <w:t>GY/T 225-2007</w:t>
            </w:r>
          </w:p>
          <w:p>
            <w:pPr>
              <w:spacing w:before="72" w:beforeLines="30" w:line="280" w:lineRule="exact"/>
              <w:rPr>
                <w:rFonts w:asciiTheme="minorEastAsia" w:hAnsiTheme="minorEastAsia"/>
                <w:szCs w:val="21"/>
              </w:rPr>
            </w:pPr>
            <w:r>
              <w:rPr>
                <w:rFonts w:asciiTheme="minorEastAsia" w:hAnsiTheme="minorEastAsia"/>
                <w:szCs w:val="21"/>
              </w:rPr>
              <w:t>中、短波调幅广播发射机技术要求和测量方法</w:t>
            </w:r>
          </w:p>
        </w:tc>
        <w:tc>
          <w:tcPr>
            <w:tcW w:w="6378"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频段范围、频率容限、载波输出功率变化、音频频率响应、谐波失真、信噪比</w:t>
            </w:r>
          </w:p>
        </w:tc>
        <w:tc>
          <w:tcPr>
            <w:tcW w:w="1869"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仅适用于中波调幅广播发射机和短波调幅广播发射机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vMerge w:val="continue"/>
            <w:tcBorders>
              <w:tl2br w:val="nil"/>
              <w:tr2bl w:val="nil"/>
            </w:tcBorders>
            <w:vAlign w:val="center"/>
          </w:tcPr>
          <w:p>
            <w:pPr>
              <w:spacing w:before="72" w:beforeLines="30" w:line="280" w:lineRule="exact"/>
              <w:jc w:val="center"/>
              <w:rPr>
                <w:rFonts w:ascii="宋体" w:hAnsi="宋体"/>
              </w:rPr>
            </w:pPr>
          </w:p>
        </w:tc>
        <w:tc>
          <w:tcPr>
            <w:tcW w:w="1781" w:type="dxa"/>
            <w:vMerge w:val="continue"/>
            <w:tcBorders>
              <w:tl2br w:val="nil"/>
              <w:tr2bl w:val="nil"/>
            </w:tcBorders>
            <w:vAlign w:val="center"/>
          </w:tcPr>
          <w:p>
            <w:pPr>
              <w:spacing w:before="72" w:beforeLines="30" w:line="280" w:lineRule="exact"/>
              <w:jc w:val="center"/>
              <w:rPr>
                <w:rFonts w:ascii="宋体" w:hAnsi="宋体"/>
              </w:rPr>
            </w:pPr>
          </w:p>
        </w:tc>
        <w:tc>
          <w:tcPr>
            <w:tcW w:w="3464"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GY/T 273-2013</w:t>
            </w:r>
          </w:p>
          <w:p>
            <w:pPr>
              <w:spacing w:before="72" w:beforeLines="30" w:line="280" w:lineRule="exact"/>
              <w:rPr>
                <w:rFonts w:asciiTheme="minorEastAsia" w:hAnsiTheme="minorEastAsia"/>
                <w:szCs w:val="21"/>
              </w:rPr>
            </w:pPr>
            <w:r>
              <w:rPr>
                <w:rFonts w:hint="eastAsia" w:asciiTheme="minorEastAsia" w:hAnsiTheme="minorEastAsia"/>
                <w:szCs w:val="21"/>
              </w:rPr>
              <w:t>小功率短波多频发射机技术要求和测量方法</w:t>
            </w:r>
          </w:p>
        </w:tc>
        <w:tc>
          <w:tcPr>
            <w:tcW w:w="6378"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调制方式、跳频频率数量、频段范围、载波频率步进、载波输出功率变化、信噪比、跳频工作时间</w:t>
            </w:r>
          </w:p>
        </w:tc>
        <w:tc>
          <w:tcPr>
            <w:tcW w:w="1869"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仅适用于</w:t>
            </w:r>
            <w:r>
              <w:rPr>
                <w:rFonts w:hint="eastAsia" w:asciiTheme="minorEastAsia" w:hAnsiTheme="minorEastAsia"/>
                <w:bCs/>
                <w:szCs w:val="21"/>
              </w:rPr>
              <w:t>小功率短波多频</w:t>
            </w:r>
            <w:r>
              <w:rPr>
                <w:rFonts w:hint="eastAsia" w:asciiTheme="minorEastAsia" w:hAnsiTheme="minorEastAsia"/>
                <w:szCs w:val="21"/>
              </w:rPr>
              <w:t>广播发射机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vMerge w:val="continue"/>
            <w:tcBorders>
              <w:tl2br w:val="nil"/>
              <w:tr2bl w:val="nil"/>
            </w:tcBorders>
            <w:vAlign w:val="center"/>
          </w:tcPr>
          <w:p>
            <w:pPr>
              <w:spacing w:before="72" w:beforeLines="30" w:line="280" w:lineRule="exact"/>
              <w:jc w:val="center"/>
              <w:rPr>
                <w:rFonts w:ascii="宋体" w:hAnsi="宋体"/>
              </w:rPr>
            </w:pPr>
          </w:p>
        </w:tc>
        <w:tc>
          <w:tcPr>
            <w:tcW w:w="1781" w:type="dxa"/>
            <w:vMerge w:val="continue"/>
            <w:tcBorders>
              <w:tl2br w:val="nil"/>
              <w:tr2bl w:val="nil"/>
            </w:tcBorders>
            <w:vAlign w:val="center"/>
          </w:tcPr>
          <w:p>
            <w:pPr>
              <w:spacing w:before="72" w:beforeLines="30" w:line="280" w:lineRule="exact"/>
              <w:jc w:val="center"/>
              <w:rPr>
                <w:rFonts w:ascii="宋体" w:hAnsi="宋体"/>
              </w:rPr>
            </w:pPr>
          </w:p>
        </w:tc>
        <w:tc>
          <w:tcPr>
            <w:tcW w:w="3464"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 xml:space="preserve">GB 9159-2008 </w:t>
            </w:r>
          </w:p>
          <w:p>
            <w:pPr>
              <w:spacing w:before="72" w:beforeLines="30" w:line="280" w:lineRule="exact"/>
              <w:rPr>
                <w:rFonts w:asciiTheme="minorEastAsia" w:hAnsiTheme="minorEastAsia"/>
                <w:szCs w:val="21"/>
              </w:rPr>
            </w:pPr>
            <w:r>
              <w:rPr>
                <w:rFonts w:hint="eastAsia" w:asciiTheme="minorEastAsia" w:hAnsiTheme="minorEastAsia"/>
                <w:szCs w:val="21"/>
              </w:rPr>
              <w:t>无线电发射设备安全要求</w:t>
            </w:r>
          </w:p>
        </w:tc>
        <w:tc>
          <w:tcPr>
            <w:tcW w:w="6378"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安全标记、接地、有害辐射</w:t>
            </w:r>
          </w:p>
        </w:tc>
        <w:tc>
          <w:tcPr>
            <w:tcW w:w="1869" w:type="dxa"/>
            <w:tcBorders>
              <w:tl2br w:val="nil"/>
              <w:tr2bl w:val="nil"/>
            </w:tcBorders>
            <w:vAlign w:val="center"/>
          </w:tcPr>
          <w:p>
            <w:pPr>
              <w:spacing w:before="72" w:beforeLines="30" w:line="280" w:lineRule="exact"/>
              <w:rPr>
                <w:rFonts w:asciiTheme="minorEastAsia" w:hAnsiTheme="minorEastAsia"/>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vMerge w:val="continue"/>
            <w:tcBorders>
              <w:tl2br w:val="nil"/>
              <w:tr2bl w:val="nil"/>
            </w:tcBorders>
            <w:vAlign w:val="center"/>
          </w:tcPr>
          <w:p>
            <w:pPr>
              <w:spacing w:before="72" w:beforeLines="30" w:line="280" w:lineRule="exact"/>
              <w:jc w:val="center"/>
              <w:rPr>
                <w:rFonts w:ascii="宋体" w:hAnsi="宋体"/>
              </w:rPr>
            </w:pPr>
          </w:p>
        </w:tc>
        <w:tc>
          <w:tcPr>
            <w:tcW w:w="1781" w:type="dxa"/>
            <w:vMerge w:val="continue"/>
            <w:tcBorders>
              <w:tl2br w:val="nil"/>
              <w:tr2bl w:val="nil"/>
            </w:tcBorders>
            <w:vAlign w:val="center"/>
          </w:tcPr>
          <w:p>
            <w:pPr>
              <w:spacing w:before="72" w:beforeLines="30" w:line="280" w:lineRule="exact"/>
              <w:jc w:val="center"/>
              <w:rPr>
                <w:rFonts w:ascii="宋体" w:hAnsi="宋体"/>
              </w:rPr>
            </w:pPr>
          </w:p>
        </w:tc>
        <w:tc>
          <w:tcPr>
            <w:tcW w:w="3464"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GB/T 12572-2008无线电发射设备参数通用要求和测量方法</w:t>
            </w:r>
          </w:p>
        </w:tc>
        <w:tc>
          <w:tcPr>
            <w:tcW w:w="6378"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杂散发射功率</w:t>
            </w:r>
          </w:p>
        </w:tc>
        <w:tc>
          <w:tcPr>
            <w:tcW w:w="1869" w:type="dxa"/>
            <w:tcBorders>
              <w:tl2br w:val="nil"/>
              <w:tr2bl w:val="nil"/>
            </w:tcBorders>
            <w:vAlign w:val="center"/>
          </w:tcPr>
          <w:p>
            <w:pPr>
              <w:spacing w:before="72" w:beforeLines="30" w:line="280" w:lineRule="exact"/>
              <w:rPr>
                <w:rFonts w:asciiTheme="minorEastAsia" w:hAnsiTheme="minorEastAsia"/>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vMerge w:val="restart"/>
            <w:tcBorders>
              <w:tl2br w:val="nil"/>
              <w:tr2bl w:val="nil"/>
            </w:tcBorders>
            <w:vAlign w:val="center"/>
          </w:tcPr>
          <w:p>
            <w:pPr>
              <w:spacing w:before="72" w:beforeLines="30" w:line="280" w:lineRule="exact"/>
              <w:jc w:val="center"/>
              <w:rPr>
                <w:rFonts w:ascii="宋体" w:hAnsi="宋体"/>
                <w:szCs w:val="21"/>
              </w:rPr>
            </w:pPr>
            <w:r>
              <w:rPr>
                <w:rFonts w:hint="eastAsia" w:ascii="宋体" w:hAnsi="宋体"/>
              </w:rPr>
              <w:t>2</w:t>
            </w:r>
          </w:p>
        </w:tc>
        <w:tc>
          <w:tcPr>
            <w:tcW w:w="1781" w:type="dxa"/>
            <w:vMerge w:val="restart"/>
            <w:tcBorders>
              <w:tl2br w:val="nil"/>
              <w:tr2bl w:val="nil"/>
            </w:tcBorders>
            <w:vAlign w:val="center"/>
          </w:tcPr>
          <w:p>
            <w:pPr>
              <w:spacing w:before="72" w:beforeLines="30" w:line="280" w:lineRule="exact"/>
              <w:jc w:val="center"/>
              <w:rPr>
                <w:rFonts w:ascii="宋体" w:hAnsi="宋体"/>
                <w:szCs w:val="21"/>
              </w:rPr>
            </w:pPr>
            <w:r>
              <w:rPr>
                <w:rFonts w:hint="eastAsia" w:ascii="宋体" w:hAnsi="宋体"/>
              </w:rPr>
              <w:t>调频频段广播发射机</w:t>
            </w:r>
          </w:p>
        </w:tc>
        <w:tc>
          <w:tcPr>
            <w:tcW w:w="3464"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GD/J 062-2014</w:t>
            </w:r>
          </w:p>
          <w:p>
            <w:pPr>
              <w:spacing w:before="72" w:beforeLines="30" w:line="280" w:lineRule="exact"/>
              <w:rPr>
                <w:rFonts w:asciiTheme="minorEastAsia" w:hAnsiTheme="minorEastAsia"/>
                <w:szCs w:val="21"/>
              </w:rPr>
            </w:pPr>
            <w:r>
              <w:rPr>
                <w:rFonts w:hint="eastAsia" w:asciiTheme="minorEastAsia" w:hAnsiTheme="minorEastAsia"/>
                <w:szCs w:val="21"/>
              </w:rPr>
              <w:t>调频频段数字音频广播发射机技术要求和测量方法</w:t>
            </w:r>
          </w:p>
        </w:tc>
        <w:tc>
          <w:tcPr>
            <w:tcW w:w="6378"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工作模式、功率控制、监测输出、组网方式</w:t>
            </w:r>
          </w:p>
          <w:p>
            <w:pPr>
              <w:pStyle w:val="2"/>
              <w:ind w:firstLine="0"/>
              <w:rPr>
                <w:rFonts w:asciiTheme="minorEastAsia" w:hAnsiTheme="minorEastAsia" w:eastAsiaTheme="minorEastAsia"/>
                <w:szCs w:val="21"/>
              </w:rPr>
            </w:pPr>
            <w:r>
              <w:rPr>
                <w:rFonts w:hint="eastAsia" w:asciiTheme="minorEastAsia" w:hAnsiTheme="minorEastAsia" w:eastAsiaTheme="minorEastAsia"/>
                <w:szCs w:val="21"/>
              </w:rPr>
              <w:t>工作频率、频率调整步长、频率准确度、相位噪声、频谱模板（数字）、带内频谱符合性（数字和模数同播）、子带间功率均匀性（模数同播）、带肩（数字）、邻频带内的无用发射功率（数字和模数同播）、邻频带外的无用发射功率（数字和模数同播）、射频有效带宽（数字和模数同播）、射频输出功率稳定度（数字和模数同播）</w:t>
            </w:r>
          </w:p>
        </w:tc>
        <w:tc>
          <w:tcPr>
            <w:tcW w:w="1869"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适用于调频频段数字音频广播发射机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vMerge w:val="continue"/>
            <w:tcBorders>
              <w:tl2br w:val="nil"/>
              <w:tr2bl w:val="nil"/>
            </w:tcBorders>
            <w:vAlign w:val="center"/>
          </w:tcPr>
          <w:p>
            <w:pPr>
              <w:spacing w:before="72" w:beforeLines="30" w:line="280" w:lineRule="exact"/>
              <w:jc w:val="center"/>
              <w:rPr>
                <w:rFonts w:ascii="宋体" w:hAnsi="宋体"/>
              </w:rPr>
            </w:pPr>
          </w:p>
        </w:tc>
        <w:tc>
          <w:tcPr>
            <w:tcW w:w="1781" w:type="dxa"/>
            <w:vMerge w:val="continue"/>
            <w:tcBorders>
              <w:tl2br w:val="nil"/>
              <w:tr2bl w:val="nil"/>
            </w:tcBorders>
            <w:vAlign w:val="center"/>
          </w:tcPr>
          <w:p>
            <w:pPr>
              <w:spacing w:before="72" w:beforeLines="30" w:line="280" w:lineRule="exact"/>
              <w:jc w:val="center"/>
              <w:rPr>
                <w:rFonts w:ascii="宋体" w:hAnsi="宋体"/>
              </w:rPr>
            </w:pPr>
          </w:p>
        </w:tc>
        <w:tc>
          <w:tcPr>
            <w:tcW w:w="3464"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GY/T 169-2001米波调频广播发射机技术要求和测量方法</w:t>
            </w:r>
          </w:p>
        </w:tc>
        <w:tc>
          <w:tcPr>
            <w:tcW w:w="6378"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载波频率允许偏差、寄生调幅噪声、输出功率允许偏差、失真、频率响应、信噪比、导频信号频率偏差（立体声）、左、右声道分离度（立体声）、左、右声道电平差（立体声）</w:t>
            </w:r>
          </w:p>
          <w:p>
            <w:pPr>
              <w:pStyle w:val="2"/>
              <w:ind w:firstLine="0"/>
              <w:rPr>
                <w:rFonts w:asciiTheme="minorEastAsia" w:hAnsiTheme="minorEastAsia" w:eastAsiaTheme="minorEastAsia"/>
                <w:szCs w:val="21"/>
              </w:rPr>
            </w:pPr>
          </w:p>
        </w:tc>
        <w:tc>
          <w:tcPr>
            <w:tcW w:w="1869"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1.适用于调频广播发射机；</w:t>
            </w:r>
          </w:p>
          <w:p>
            <w:pPr>
              <w:pStyle w:val="2"/>
              <w:ind w:firstLine="0"/>
              <w:rPr>
                <w:rFonts w:asciiTheme="minorEastAsia" w:hAnsiTheme="minorEastAsia" w:eastAsiaTheme="minorEastAsia"/>
                <w:szCs w:val="21"/>
              </w:rPr>
            </w:pPr>
            <w:r>
              <w:rPr>
                <w:rFonts w:hint="eastAsia" w:asciiTheme="minorEastAsia" w:hAnsiTheme="minorEastAsia" w:eastAsiaTheme="minorEastAsia"/>
                <w:szCs w:val="21"/>
              </w:rPr>
              <w:t>2.调频频段数字音频广播发射机在模拟工作模式下，需测量载波频率允许偏差、输出功率允许偏差、失真、频率响应、导频信号频率偏差。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vMerge w:val="continue"/>
            <w:tcBorders>
              <w:tl2br w:val="nil"/>
              <w:tr2bl w:val="nil"/>
            </w:tcBorders>
            <w:vAlign w:val="center"/>
          </w:tcPr>
          <w:p>
            <w:pPr>
              <w:spacing w:before="72" w:beforeLines="30" w:line="280" w:lineRule="exact"/>
              <w:jc w:val="center"/>
              <w:rPr>
                <w:rFonts w:ascii="宋体" w:hAnsi="宋体"/>
              </w:rPr>
            </w:pPr>
          </w:p>
        </w:tc>
        <w:tc>
          <w:tcPr>
            <w:tcW w:w="1781" w:type="dxa"/>
            <w:vMerge w:val="continue"/>
            <w:tcBorders>
              <w:tl2br w:val="nil"/>
              <w:tr2bl w:val="nil"/>
            </w:tcBorders>
            <w:vAlign w:val="center"/>
          </w:tcPr>
          <w:p>
            <w:pPr>
              <w:spacing w:before="72" w:beforeLines="30" w:line="280" w:lineRule="exact"/>
              <w:jc w:val="center"/>
              <w:rPr>
                <w:rFonts w:ascii="宋体" w:hAnsi="宋体"/>
              </w:rPr>
            </w:pPr>
          </w:p>
        </w:tc>
        <w:tc>
          <w:tcPr>
            <w:tcW w:w="3464" w:type="dxa"/>
            <w:tcBorders>
              <w:tl2br w:val="nil"/>
              <w:tr2bl w:val="nil"/>
            </w:tcBorders>
            <w:vAlign w:val="center"/>
          </w:tcPr>
          <w:p>
            <w:pPr>
              <w:rPr>
                <w:rFonts w:asciiTheme="minorEastAsia" w:hAnsiTheme="minorEastAsia"/>
                <w:szCs w:val="21"/>
              </w:rPr>
            </w:pPr>
            <w:r>
              <w:rPr>
                <w:rFonts w:hint="eastAsia" w:asciiTheme="minorEastAsia" w:hAnsiTheme="minorEastAsia"/>
                <w:szCs w:val="21"/>
              </w:rPr>
              <w:t xml:space="preserve">GB 9159-2008 </w:t>
            </w:r>
          </w:p>
          <w:p>
            <w:pPr>
              <w:rPr>
                <w:rFonts w:asciiTheme="minorEastAsia" w:hAnsiTheme="minorEastAsia"/>
                <w:szCs w:val="21"/>
              </w:rPr>
            </w:pPr>
            <w:r>
              <w:rPr>
                <w:rFonts w:hint="eastAsia" w:asciiTheme="minorEastAsia" w:hAnsiTheme="minorEastAsia"/>
                <w:szCs w:val="21"/>
              </w:rPr>
              <w:t>无线电发射设备安全要求</w:t>
            </w:r>
          </w:p>
        </w:tc>
        <w:tc>
          <w:tcPr>
            <w:tcW w:w="6378"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安全标记、接地、有害辐射</w:t>
            </w:r>
          </w:p>
        </w:tc>
        <w:tc>
          <w:tcPr>
            <w:tcW w:w="1869" w:type="dxa"/>
            <w:tcBorders>
              <w:tl2br w:val="nil"/>
              <w:tr2bl w:val="nil"/>
            </w:tcBorders>
            <w:vAlign w:val="center"/>
          </w:tcPr>
          <w:p>
            <w:pPr>
              <w:spacing w:before="72" w:beforeLines="30" w:line="280" w:lineRule="exact"/>
              <w:rPr>
                <w:rFonts w:asciiTheme="minorEastAsia" w:hAnsiTheme="minorEastAsia"/>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vMerge w:val="continue"/>
            <w:tcBorders>
              <w:tl2br w:val="nil"/>
              <w:tr2bl w:val="nil"/>
            </w:tcBorders>
            <w:vAlign w:val="center"/>
          </w:tcPr>
          <w:p>
            <w:pPr>
              <w:spacing w:before="72" w:beforeLines="30" w:line="280" w:lineRule="exact"/>
              <w:jc w:val="center"/>
              <w:rPr>
                <w:rFonts w:ascii="宋体" w:hAnsi="宋体"/>
              </w:rPr>
            </w:pPr>
          </w:p>
        </w:tc>
        <w:tc>
          <w:tcPr>
            <w:tcW w:w="1781" w:type="dxa"/>
            <w:vMerge w:val="continue"/>
            <w:tcBorders>
              <w:tl2br w:val="nil"/>
              <w:tr2bl w:val="nil"/>
            </w:tcBorders>
            <w:vAlign w:val="center"/>
          </w:tcPr>
          <w:p>
            <w:pPr>
              <w:spacing w:before="72" w:beforeLines="30" w:line="280" w:lineRule="exact"/>
              <w:jc w:val="center"/>
              <w:rPr>
                <w:rFonts w:ascii="宋体" w:hAnsi="宋体"/>
              </w:rPr>
            </w:pPr>
          </w:p>
        </w:tc>
        <w:tc>
          <w:tcPr>
            <w:tcW w:w="3464" w:type="dxa"/>
            <w:tcBorders>
              <w:tl2br w:val="nil"/>
              <w:tr2bl w:val="nil"/>
            </w:tcBorders>
            <w:vAlign w:val="center"/>
          </w:tcPr>
          <w:p>
            <w:pPr>
              <w:rPr>
                <w:rFonts w:asciiTheme="minorEastAsia" w:hAnsiTheme="minorEastAsia"/>
                <w:szCs w:val="21"/>
              </w:rPr>
            </w:pPr>
            <w:r>
              <w:rPr>
                <w:rFonts w:hint="eastAsia" w:asciiTheme="minorEastAsia" w:hAnsiTheme="minorEastAsia"/>
                <w:szCs w:val="21"/>
              </w:rPr>
              <w:t>GB/T 12572-2008</w:t>
            </w:r>
          </w:p>
          <w:p>
            <w:pPr>
              <w:rPr>
                <w:rFonts w:asciiTheme="minorEastAsia" w:hAnsiTheme="minorEastAsia"/>
                <w:szCs w:val="21"/>
              </w:rPr>
            </w:pPr>
            <w:r>
              <w:rPr>
                <w:rFonts w:hint="eastAsia" w:asciiTheme="minorEastAsia" w:hAnsiTheme="minorEastAsia"/>
                <w:szCs w:val="21"/>
              </w:rPr>
              <w:t>无线电发射设备参数通用要求和测量方法</w:t>
            </w:r>
          </w:p>
        </w:tc>
        <w:tc>
          <w:tcPr>
            <w:tcW w:w="6378"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杂散发射功率</w:t>
            </w:r>
          </w:p>
        </w:tc>
        <w:tc>
          <w:tcPr>
            <w:tcW w:w="1869" w:type="dxa"/>
            <w:tcBorders>
              <w:tl2br w:val="nil"/>
              <w:tr2bl w:val="nil"/>
            </w:tcBorders>
            <w:vAlign w:val="center"/>
          </w:tcPr>
          <w:p>
            <w:pPr>
              <w:spacing w:before="72" w:beforeLines="30" w:line="280" w:lineRule="exact"/>
              <w:rPr>
                <w:rFonts w:asciiTheme="minorEastAsia" w:hAnsiTheme="minorEastAsia"/>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vMerge w:val="restart"/>
            <w:tcBorders>
              <w:top w:val="single" w:color="auto" w:sz="4" w:space="0"/>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3</w:t>
            </w:r>
          </w:p>
        </w:tc>
        <w:tc>
          <w:tcPr>
            <w:tcW w:w="1781" w:type="dxa"/>
            <w:vMerge w:val="restart"/>
            <w:tcBorders>
              <w:top w:val="single" w:color="auto" w:sz="4" w:space="0"/>
              <w:tl2br w:val="nil"/>
              <w:tr2bl w:val="nil"/>
            </w:tcBorders>
            <w:vAlign w:val="center"/>
          </w:tcPr>
          <w:p>
            <w:pPr>
              <w:spacing w:before="72" w:beforeLines="30" w:line="280" w:lineRule="exact"/>
              <w:jc w:val="center"/>
              <w:rPr>
                <w:rFonts w:ascii="宋体" w:hAnsi="宋体"/>
                <w:szCs w:val="21"/>
              </w:rPr>
            </w:pPr>
            <w:r>
              <w:rPr>
                <w:rFonts w:hint="eastAsia" w:ascii="宋体" w:hAnsi="宋体"/>
              </w:rPr>
              <w:t>电视发射机</w:t>
            </w:r>
          </w:p>
        </w:tc>
        <w:tc>
          <w:tcPr>
            <w:tcW w:w="3464" w:type="dxa"/>
            <w:tcBorders>
              <w:tl2br w:val="nil"/>
              <w:tr2bl w:val="nil"/>
            </w:tcBorders>
            <w:vAlign w:val="center"/>
          </w:tcPr>
          <w:p>
            <w:pPr>
              <w:rPr>
                <w:rFonts w:asciiTheme="minorEastAsia" w:hAnsiTheme="minorEastAsia"/>
                <w:szCs w:val="21"/>
              </w:rPr>
            </w:pPr>
            <w:r>
              <w:rPr>
                <w:rFonts w:hint="eastAsia" w:asciiTheme="minorEastAsia" w:hAnsiTheme="minorEastAsia"/>
                <w:szCs w:val="21"/>
              </w:rPr>
              <w:t>SJ/T 10351-1993电视发射机通用技术条件</w:t>
            </w:r>
          </w:p>
        </w:tc>
        <w:tc>
          <w:tcPr>
            <w:tcW w:w="6378"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紧固部位无松动、载波频率偏差、图像发射机输出功率、图像发射机振幅—视频特性、群时延—频率特性、亮度信号的波形失真、亮—色时延差、亮—色增益差、亮度非线性、微分增益、微分相位、安全标记、绝缘电阻</w:t>
            </w:r>
          </w:p>
        </w:tc>
        <w:tc>
          <w:tcPr>
            <w:tcW w:w="1869"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适用于模拟电视发射机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vMerge w:val="continue"/>
            <w:tcBorders>
              <w:tl2br w:val="nil"/>
              <w:tr2bl w:val="nil"/>
            </w:tcBorders>
            <w:vAlign w:val="center"/>
          </w:tcPr>
          <w:p>
            <w:pPr>
              <w:widowControl/>
              <w:spacing w:before="72" w:beforeLines="30" w:line="280" w:lineRule="exact"/>
              <w:jc w:val="center"/>
              <w:rPr>
                <w:rFonts w:ascii="宋体" w:hAnsi="宋体"/>
                <w:szCs w:val="21"/>
              </w:rPr>
            </w:pPr>
          </w:p>
        </w:tc>
        <w:tc>
          <w:tcPr>
            <w:tcW w:w="1781" w:type="dxa"/>
            <w:vMerge w:val="continue"/>
            <w:tcBorders>
              <w:tl2br w:val="nil"/>
              <w:tr2bl w:val="nil"/>
            </w:tcBorders>
            <w:vAlign w:val="center"/>
          </w:tcPr>
          <w:p>
            <w:pPr>
              <w:widowControl/>
              <w:spacing w:before="72" w:beforeLines="30" w:line="280" w:lineRule="exact"/>
              <w:jc w:val="center"/>
              <w:rPr>
                <w:rFonts w:ascii="宋体" w:hAnsi="宋体"/>
                <w:b/>
              </w:rPr>
            </w:pPr>
          </w:p>
        </w:tc>
        <w:tc>
          <w:tcPr>
            <w:tcW w:w="3464" w:type="dxa"/>
            <w:tcBorders>
              <w:tl2br w:val="nil"/>
              <w:tr2bl w:val="nil"/>
            </w:tcBorders>
            <w:vAlign w:val="center"/>
          </w:tcPr>
          <w:p>
            <w:pPr>
              <w:spacing w:line="300" w:lineRule="exact"/>
              <w:rPr>
                <w:rFonts w:asciiTheme="minorEastAsia" w:hAnsiTheme="minorEastAsia"/>
                <w:szCs w:val="21"/>
              </w:rPr>
            </w:pPr>
            <w:r>
              <w:rPr>
                <w:rFonts w:hint="eastAsia" w:asciiTheme="minorEastAsia" w:hAnsiTheme="minorEastAsia"/>
                <w:szCs w:val="21"/>
              </w:rPr>
              <w:t>SJ/T 11574-2016数字电视地面广播发射机通用规范</w:t>
            </w:r>
          </w:p>
        </w:tc>
        <w:tc>
          <w:tcPr>
            <w:tcW w:w="6378"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紧固部位无松动、工作频率、单频网模式频率调节步长、频率偏差、相位噪声、射频输出功率偏差、射频输出功率稳定度、频谱模板、带肩、带内不平坦度、调制误差率、邻频道内的发射功率、邻频道外的发射功率、安全标记、绝缘电阻、保护接地端子、有害辐射、杂散发射功率</w:t>
            </w:r>
          </w:p>
        </w:tc>
        <w:tc>
          <w:tcPr>
            <w:tcW w:w="1869"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适用于地面数字电视发射机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vMerge w:val="continue"/>
            <w:tcBorders>
              <w:tl2br w:val="nil"/>
              <w:tr2bl w:val="nil"/>
            </w:tcBorders>
            <w:vAlign w:val="center"/>
          </w:tcPr>
          <w:p>
            <w:pPr>
              <w:widowControl/>
              <w:spacing w:before="72" w:beforeLines="30" w:line="280" w:lineRule="exact"/>
              <w:jc w:val="center"/>
              <w:rPr>
                <w:rFonts w:ascii="宋体" w:hAnsi="宋体"/>
                <w:szCs w:val="21"/>
              </w:rPr>
            </w:pPr>
          </w:p>
        </w:tc>
        <w:tc>
          <w:tcPr>
            <w:tcW w:w="1781" w:type="dxa"/>
            <w:vMerge w:val="continue"/>
            <w:tcBorders>
              <w:tl2br w:val="nil"/>
              <w:tr2bl w:val="nil"/>
            </w:tcBorders>
            <w:vAlign w:val="center"/>
          </w:tcPr>
          <w:p>
            <w:pPr>
              <w:widowControl/>
              <w:spacing w:before="72" w:beforeLines="30" w:line="280" w:lineRule="exact"/>
              <w:jc w:val="center"/>
              <w:rPr>
                <w:rFonts w:ascii="宋体" w:hAnsi="宋体"/>
                <w:b/>
              </w:rPr>
            </w:pPr>
          </w:p>
        </w:tc>
        <w:tc>
          <w:tcPr>
            <w:tcW w:w="3464" w:type="dxa"/>
            <w:tcBorders>
              <w:tl2br w:val="nil"/>
              <w:tr2bl w:val="nil"/>
            </w:tcBorders>
            <w:vAlign w:val="center"/>
          </w:tcPr>
          <w:p>
            <w:pPr>
              <w:rPr>
                <w:rFonts w:asciiTheme="minorEastAsia" w:hAnsiTheme="minorEastAsia"/>
                <w:szCs w:val="21"/>
              </w:rPr>
            </w:pPr>
            <w:r>
              <w:rPr>
                <w:rFonts w:hint="eastAsia" w:asciiTheme="minorEastAsia" w:hAnsiTheme="minorEastAsia"/>
                <w:szCs w:val="21"/>
              </w:rPr>
              <w:t>GB 9159-2008 无线电发射设备安全要求</w:t>
            </w:r>
          </w:p>
        </w:tc>
        <w:tc>
          <w:tcPr>
            <w:tcW w:w="6378"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接地、有害辐射</w:t>
            </w:r>
          </w:p>
        </w:tc>
        <w:tc>
          <w:tcPr>
            <w:tcW w:w="1869"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适用于模拟电视发射机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vMerge w:val="continue"/>
            <w:tcBorders>
              <w:tl2br w:val="nil"/>
              <w:tr2bl w:val="nil"/>
            </w:tcBorders>
            <w:vAlign w:val="center"/>
          </w:tcPr>
          <w:p>
            <w:pPr>
              <w:widowControl/>
              <w:spacing w:before="72" w:beforeLines="30" w:line="280" w:lineRule="exact"/>
              <w:jc w:val="center"/>
              <w:rPr>
                <w:rFonts w:ascii="宋体" w:hAnsi="宋体"/>
                <w:szCs w:val="21"/>
              </w:rPr>
            </w:pPr>
          </w:p>
        </w:tc>
        <w:tc>
          <w:tcPr>
            <w:tcW w:w="1781" w:type="dxa"/>
            <w:vMerge w:val="continue"/>
            <w:tcBorders>
              <w:tl2br w:val="nil"/>
              <w:tr2bl w:val="nil"/>
            </w:tcBorders>
            <w:vAlign w:val="center"/>
          </w:tcPr>
          <w:p>
            <w:pPr>
              <w:widowControl/>
              <w:spacing w:before="72" w:beforeLines="30" w:line="280" w:lineRule="exact"/>
              <w:jc w:val="center"/>
              <w:rPr>
                <w:rFonts w:ascii="宋体" w:hAnsi="宋体"/>
                <w:b/>
              </w:rPr>
            </w:pPr>
          </w:p>
        </w:tc>
        <w:tc>
          <w:tcPr>
            <w:tcW w:w="3464" w:type="dxa"/>
            <w:tcBorders>
              <w:tl2br w:val="nil"/>
              <w:tr2bl w:val="nil"/>
            </w:tcBorders>
            <w:vAlign w:val="center"/>
          </w:tcPr>
          <w:p>
            <w:pPr>
              <w:rPr>
                <w:rFonts w:asciiTheme="minorEastAsia" w:hAnsiTheme="minorEastAsia"/>
                <w:szCs w:val="21"/>
              </w:rPr>
            </w:pPr>
            <w:r>
              <w:rPr>
                <w:rFonts w:hint="eastAsia" w:asciiTheme="minorEastAsia" w:hAnsiTheme="minorEastAsia"/>
                <w:szCs w:val="21"/>
              </w:rPr>
              <w:t>GB/T 12572-2008无线电发射设备参数通用要求和测量方法</w:t>
            </w:r>
          </w:p>
        </w:tc>
        <w:tc>
          <w:tcPr>
            <w:tcW w:w="6378"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杂散发射功率</w:t>
            </w:r>
          </w:p>
        </w:tc>
        <w:tc>
          <w:tcPr>
            <w:tcW w:w="1869"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适用于模拟电视发射机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tcBorders>
              <w:tl2br w:val="nil"/>
              <w:tr2bl w:val="nil"/>
            </w:tcBorders>
            <w:vAlign w:val="center"/>
          </w:tcPr>
          <w:p>
            <w:pPr>
              <w:spacing w:before="72" w:beforeLines="30" w:line="280" w:lineRule="exact"/>
              <w:jc w:val="center"/>
              <w:rPr>
                <w:rFonts w:ascii="宋体" w:hAnsi="宋体"/>
                <w:szCs w:val="21"/>
              </w:rPr>
            </w:pPr>
            <w:r>
              <w:rPr>
                <w:rFonts w:ascii="宋体" w:hAnsi="宋体"/>
              </w:rPr>
              <w:t>4</w:t>
            </w:r>
          </w:p>
        </w:tc>
        <w:tc>
          <w:tcPr>
            <w:tcW w:w="1781" w:type="dxa"/>
            <w:tcBorders>
              <w:tl2br w:val="nil"/>
              <w:tr2bl w:val="nil"/>
            </w:tcBorders>
            <w:vAlign w:val="center"/>
          </w:tcPr>
          <w:p>
            <w:pPr>
              <w:spacing w:before="72" w:beforeLines="30" w:line="280" w:lineRule="exact"/>
              <w:jc w:val="center"/>
              <w:rPr>
                <w:rFonts w:ascii="宋体" w:hAnsi="宋体"/>
                <w:b/>
                <w:szCs w:val="21"/>
              </w:rPr>
            </w:pPr>
            <w:r>
              <w:rPr>
                <w:rFonts w:hint="eastAsia" w:ascii="宋体" w:hAnsi="宋体"/>
              </w:rPr>
              <w:t>卫星电视接收天线</w:t>
            </w:r>
          </w:p>
        </w:tc>
        <w:tc>
          <w:tcPr>
            <w:tcW w:w="3464" w:type="dxa"/>
            <w:tcBorders>
              <w:tl2br w:val="nil"/>
              <w:tr2bl w:val="nil"/>
            </w:tcBorders>
            <w:vAlign w:val="center"/>
          </w:tcPr>
          <w:p>
            <w:pPr>
              <w:spacing w:line="340" w:lineRule="exact"/>
              <w:rPr>
                <w:rFonts w:asciiTheme="minorEastAsia" w:hAnsiTheme="minorEastAsia"/>
                <w:szCs w:val="21"/>
              </w:rPr>
            </w:pPr>
            <w:r>
              <w:rPr>
                <w:rFonts w:hint="eastAsia" w:cs="宋体" w:asciiTheme="minorEastAsia" w:hAnsiTheme="minorEastAsia"/>
                <w:szCs w:val="21"/>
              </w:rPr>
              <w:t>C频段：</w:t>
            </w:r>
          </w:p>
          <w:p>
            <w:pPr>
              <w:spacing w:line="340" w:lineRule="exact"/>
              <w:rPr>
                <w:rFonts w:asciiTheme="minorEastAsia" w:hAnsiTheme="minorEastAsia"/>
                <w:szCs w:val="21"/>
              </w:rPr>
            </w:pPr>
            <w:r>
              <w:rPr>
                <w:rFonts w:hint="eastAsia" w:cs="宋体" w:asciiTheme="minorEastAsia" w:hAnsiTheme="minorEastAsia"/>
                <w:szCs w:val="21"/>
              </w:rPr>
              <w:t>GB/T 11442 – 2017 C频段卫星电视接收站通用规范</w:t>
            </w:r>
          </w:p>
          <w:p>
            <w:pPr>
              <w:spacing w:line="340" w:lineRule="exact"/>
              <w:rPr>
                <w:rFonts w:asciiTheme="minorEastAsia" w:hAnsiTheme="minorEastAsia"/>
                <w:szCs w:val="21"/>
              </w:rPr>
            </w:pPr>
            <w:r>
              <w:rPr>
                <w:rFonts w:hint="eastAsia" w:cs="宋体" w:asciiTheme="minorEastAsia" w:hAnsiTheme="minorEastAsia"/>
                <w:szCs w:val="21"/>
              </w:rPr>
              <w:t>Ku频段：</w:t>
            </w:r>
          </w:p>
          <w:p>
            <w:pPr>
              <w:spacing w:before="72" w:beforeLines="30" w:line="280" w:lineRule="exact"/>
              <w:rPr>
                <w:rFonts w:asciiTheme="minorEastAsia" w:hAnsiTheme="minorEastAsia"/>
                <w:szCs w:val="21"/>
              </w:rPr>
            </w:pPr>
            <w:r>
              <w:rPr>
                <w:rFonts w:hint="eastAsia" w:cs="宋体" w:asciiTheme="minorEastAsia" w:hAnsiTheme="minorEastAsia"/>
                <w:szCs w:val="21"/>
                <w:lang w:val="de-DE"/>
              </w:rPr>
              <w:t xml:space="preserve">GB/T 16954 </w:t>
            </w:r>
            <w:r>
              <w:rPr>
                <w:rFonts w:cs="Courier New" w:asciiTheme="minorEastAsia" w:hAnsiTheme="minorEastAsia"/>
                <w:szCs w:val="21"/>
                <w:lang w:val="de-DE"/>
              </w:rPr>
              <w:t>–</w:t>
            </w:r>
            <w:r>
              <w:rPr>
                <w:rFonts w:hint="eastAsia" w:cs="宋体" w:asciiTheme="minorEastAsia" w:hAnsiTheme="minorEastAsia"/>
                <w:szCs w:val="21"/>
                <w:lang w:val="de-DE"/>
              </w:rPr>
              <w:t xml:space="preserve"> 2017</w:t>
            </w:r>
            <w:r>
              <w:rPr>
                <w:rFonts w:hint="eastAsia" w:cs="宋体" w:asciiTheme="minorEastAsia" w:hAnsiTheme="minorEastAsia"/>
                <w:szCs w:val="21"/>
              </w:rPr>
              <w:t xml:space="preserve"> Ku频段卫星电视接收站通用规范</w:t>
            </w:r>
          </w:p>
        </w:tc>
        <w:tc>
          <w:tcPr>
            <w:tcW w:w="6378" w:type="dxa"/>
            <w:tcBorders>
              <w:tl2br w:val="nil"/>
              <w:tr2bl w:val="nil"/>
            </w:tcBorders>
            <w:vAlign w:val="center"/>
          </w:tcPr>
          <w:p>
            <w:pPr>
              <w:spacing w:before="72" w:beforeLines="30" w:line="280" w:lineRule="exact"/>
              <w:rPr>
                <w:rFonts w:asciiTheme="minorEastAsia" w:hAnsiTheme="minorEastAsia"/>
                <w:szCs w:val="21"/>
              </w:rPr>
            </w:pPr>
            <w:r>
              <w:rPr>
                <w:rFonts w:hint="eastAsia" w:asciiTheme="minorEastAsia" w:hAnsiTheme="minorEastAsia"/>
                <w:szCs w:val="21"/>
              </w:rPr>
              <w:t>反射面外观、反射面厚度、增益、第一旁瓣电平、交叉极化鉴别率、低温贮存：（表面起泡、变形）、高温贮存：（表面起泡、变形）</w:t>
            </w:r>
          </w:p>
        </w:tc>
        <w:tc>
          <w:tcPr>
            <w:tcW w:w="1869" w:type="dxa"/>
            <w:tcBorders>
              <w:tl2br w:val="nil"/>
              <w:tr2bl w:val="nil"/>
            </w:tcBorders>
            <w:vAlign w:val="center"/>
          </w:tcPr>
          <w:p>
            <w:pPr>
              <w:spacing w:before="72" w:beforeLines="30" w:line="280" w:lineRule="exact"/>
              <w:rPr>
                <w:rFonts w:asciiTheme="minorEastAsia" w:hAnsiTheme="minorEastAsia"/>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24" w:type="dxa"/>
            <w:tcBorders>
              <w:tl2br w:val="nil"/>
              <w:tr2bl w:val="nil"/>
            </w:tcBorders>
            <w:vAlign w:val="center"/>
          </w:tcPr>
          <w:p>
            <w:pPr>
              <w:spacing w:before="72" w:beforeLines="30" w:line="280" w:lineRule="exact"/>
              <w:jc w:val="center"/>
            </w:pPr>
            <w:r>
              <w:rPr>
                <w:rFonts w:hint="eastAsia" w:ascii="宋体" w:hAnsi="宋体"/>
              </w:rPr>
              <w:t>5</w:t>
            </w:r>
          </w:p>
        </w:tc>
        <w:tc>
          <w:tcPr>
            <w:tcW w:w="1781" w:type="dxa"/>
            <w:tcBorders>
              <w:tl2br w:val="nil"/>
              <w:tr2bl w:val="nil"/>
            </w:tcBorders>
            <w:vAlign w:val="center"/>
          </w:tcPr>
          <w:p>
            <w:pPr>
              <w:spacing w:before="72" w:beforeLines="30" w:line="280" w:lineRule="exact"/>
              <w:jc w:val="center"/>
              <w:rPr>
                <w:rFonts w:ascii="宋体" w:hAnsi="宋体" w:cs="宋体"/>
                <w:b/>
                <w:bCs/>
              </w:rPr>
            </w:pPr>
            <w:r>
              <w:rPr>
                <w:rFonts w:hint="eastAsia" w:ascii="宋体" w:hAnsi="宋体"/>
              </w:rPr>
              <w:t>卫星数字电视接收机</w:t>
            </w:r>
          </w:p>
        </w:tc>
        <w:tc>
          <w:tcPr>
            <w:tcW w:w="3464" w:type="dxa"/>
            <w:tcBorders>
              <w:tl2br w:val="nil"/>
              <w:tr2bl w:val="nil"/>
            </w:tcBorders>
            <w:vAlign w:val="center"/>
          </w:tcPr>
          <w:p>
            <w:pPr>
              <w:spacing w:line="320" w:lineRule="exact"/>
              <w:rPr>
                <w:rFonts w:ascii="宋体" w:hAnsi="宋体" w:cs="宋体"/>
              </w:rPr>
            </w:pPr>
            <w:r>
              <w:rPr>
                <w:rFonts w:hint="eastAsia" w:ascii="宋体" w:hAnsi="宋体" w:cs="宋体"/>
              </w:rPr>
              <w:t>C频段：</w:t>
            </w:r>
          </w:p>
          <w:p>
            <w:pPr>
              <w:spacing w:line="320" w:lineRule="exact"/>
              <w:rPr>
                <w:rFonts w:ascii="宋体"/>
              </w:rPr>
            </w:pPr>
            <w:r>
              <w:rPr>
                <w:rFonts w:hint="eastAsia" w:ascii="宋体" w:hAnsi="宋体" w:cs="宋体"/>
              </w:rPr>
              <w:t>GB/T 11442-2017 C频段卫星电视接收站通用规范</w:t>
            </w:r>
          </w:p>
          <w:p>
            <w:pPr>
              <w:spacing w:line="320" w:lineRule="exact"/>
              <w:rPr>
                <w:rFonts w:ascii="宋体" w:hAnsi="宋体" w:cs="宋体"/>
              </w:rPr>
            </w:pPr>
            <w:r>
              <w:rPr>
                <w:rFonts w:hint="eastAsia" w:ascii="宋体" w:hAnsi="宋体" w:cs="宋体"/>
              </w:rPr>
              <w:t>Ku频段：</w:t>
            </w:r>
          </w:p>
          <w:p>
            <w:pPr>
              <w:spacing w:line="320" w:lineRule="exact"/>
              <w:rPr>
                <w:rFonts w:ascii="宋体" w:hAnsi="宋体"/>
              </w:rPr>
            </w:pPr>
            <w:r>
              <w:rPr>
                <w:rFonts w:hint="eastAsia" w:ascii="宋体" w:hAnsi="宋体" w:cs="宋体"/>
              </w:rPr>
              <w:t>GB/T 16954-2017 Ku频段卫星电视接收站通用规范</w:t>
            </w:r>
          </w:p>
        </w:tc>
        <w:tc>
          <w:tcPr>
            <w:tcW w:w="6378" w:type="dxa"/>
            <w:tcBorders>
              <w:tl2br w:val="nil"/>
              <w:tr2bl w:val="nil"/>
            </w:tcBorders>
            <w:vAlign w:val="center"/>
          </w:tcPr>
          <w:p>
            <w:pPr>
              <w:spacing w:line="320" w:lineRule="exact"/>
              <w:jc w:val="left"/>
            </w:pPr>
            <w:r>
              <w:rPr>
                <w:rFonts w:hint="eastAsia" w:ascii="宋体" w:hAnsi="宋体"/>
              </w:rPr>
              <w:t>电源标记、室外单元垂直（右旋）/水平（左旋）极化供电电压、室外单元供电电压有短路保护措施、符号率范围、解调门限（Eb/N0）、K系数、行同步前沿抖动、伴音信噪比、伴音谐波失真、（</w:t>
            </w:r>
            <w:r>
              <w:rPr>
                <w:rFonts w:hint="eastAsia"/>
              </w:rPr>
              <w:t>Y/PR、Y/PB信号增益差</w:t>
            </w:r>
            <w:r>
              <w:rPr>
                <w:rFonts w:hint="eastAsia" w:ascii="宋体" w:hAnsi="宋体"/>
              </w:rPr>
              <w:t>）、（</w:t>
            </w:r>
            <w:r>
              <w:rPr>
                <w:rFonts w:hint="eastAsia"/>
              </w:rPr>
              <w:t>Y、PR、PB信号的信噪比</w:t>
            </w:r>
            <w:r>
              <w:rPr>
                <w:rFonts w:hint="eastAsia" w:ascii="宋体" w:hAnsi="宋体"/>
              </w:rPr>
              <w:t>）、（</w:t>
            </w:r>
            <w:r>
              <w:rPr>
                <w:rFonts w:hint="eastAsia"/>
              </w:rPr>
              <w:t>R、G、B信号的信噪比</w:t>
            </w:r>
            <w:r>
              <w:rPr>
                <w:rFonts w:hint="eastAsia" w:ascii="宋体" w:hAnsi="宋体"/>
              </w:rPr>
              <w:t>）、</w:t>
            </w:r>
            <w:r>
              <w:rPr>
                <w:rFonts w:hint="eastAsia"/>
              </w:rPr>
              <w:t>行同步前沿抖动、天线端骚扰、电源端骚扰、辐射骚扰、标志和说明书、绝缘和抗电强度、低温工作、低温贮存、高温工作、高温贮存、湿热试验、</w:t>
            </w:r>
            <w:r>
              <w:rPr>
                <w:rFonts w:hint="eastAsia" w:ascii="宋体" w:hAnsi="宋体" w:cs="宋体"/>
              </w:rPr>
              <w:t>环境适应性后外观结构表面处理（</w:t>
            </w:r>
            <w:r>
              <w:rPr>
                <w:rFonts w:hint="eastAsia"/>
              </w:rPr>
              <w:t>机壳变形和裂痕、印制电路板变形或断裂</w:t>
            </w:r>
            <w:r>
              <w:rPr>
                <w:rFonts w:hint="eastAsia" w:ascii="宋体" w:hAnsi="宋体" w:cs="宋体"/>
              </w:rPr>
              <w:t>）</w:t>
            </w:r>
            <w:r>
              <w:rPr>
                <w:rFonts w:hint="eastAsia"/>
              </w:rPr>
              <w:t>、</w:t>
            </w:r>
            <w:r>
              <w:rPr>
                <w:rFonts w:hint="eastAsia" w:ascii="宋体" w:hAnsi="宋体" w:cs="宋体"/>
              </w:rPr>
              <w:t>复合输出：（</w:t>
            </w:r>
            <w:r>
              <w:rPr>
                <w:rFonts w:hint="eastAsia"/>
              </w:rPr>
              <w:t>视频频率响应、伴音频率响应</w:t>
            </w:r>
            <w:r>
              <w:rPr>
                <w:rFonts w:hint="eastAsia" w:ascii="宋体" w:hAnsi="宋体" w:cs="宋体"/>
              </w:rPr>
              <w:t>）</w:t>
            </w:r>
            <w:r>
              <w:rPr>
                <w:rFonts w:hint="eastAsia"/>
              </w:rPr>
              <w:t>、（Y、PR、PB输出）：Y信号信噪比、RGB输出：G信号信噪比、伴音信号输出：伴音信噪比</w:t>
            </w:r>
          </w:p>
        </w:tc>
        <w:tc>
          <w:tcPr>
            <w:tcW w:w="1869" w:type="dxa"/>
            <w:tcBorders>
              <w:tl2br w:val="nil"/>
              <w:tr2bl w:val="nil"/>
            </w:tcBorders>
            <w:vAlign w:val="center"/>
          </w:tcPr>
          <w:p>
            <w:pPr>
              <w:spacing w:before="72" w:beforeLines="30" w:line="280" w:lineRule="exact"/>
              <w:rPr>
                <w:rFonts w:ascii="宋体" w:hAnsi="宋体"/>
              </w:rPr>
            </w:pPr>
            <w:r>
              <w:rPr>
                <w:rFonts w:hint="eastAsia" w:ascii="宋体" w:hAnsi="宋体" w:cs="宋体"/>
              </w:rPr>
              <w:t>常温电性能中的Y、P</w:t>
            </w:r>
            <w:r>
              <w:rPr>
                <w:rFonts w:hint="eastAsia" w:ascii="宋体" w:hAnsi="宋体" w:cs="宋体"/>
                <w:vertAlign w:val="subscript"/>
              </w:rPr>
              <w:t>R</w:t>
            </w:r>
            <w:r>
              <w:rPr>
                <w:rFonts w:hint="eastAsia" w:ascii="宋体" w:hAnsi="宋体" w:cs="宋体"/>
              </w:rPr>
              <w:t>、P</w:t>
            </w:r>
            <w:r>
              <w:rPr>
                <w:rFonts w:hint="eastAsia" w:ascii="宋体" w:hAnsi="宋体" w:cs="宋体"/>
                <w:vertAlign w:val="subscript"/>
              </w:rPr>
              <w:t>B</w:t>
            </w:r>
            <w:r>
              <w:rPr>
                <w:rFonts w:hint="eastAsia" w:ascii="宋体" w:hAnsi="宋体" w:cs="宋体"/>
              </w:rPr>
              <w:t>信号输出，R、G、B信号输出两种指标按照不同接口方式进行检验。</w:t>
            </w:r>
          </w:p>
        </w:tc>
      </w:tr>
    </w:tbl>
    <w:p>
      <w:pPr>
        <w:pStyle w:val="2"/>
      </w:pPr>
      <w:r>
        <w:rPr>
          <w:rFonts w:hint="eastAsia"/>
        </w:rPr>
        <w:t>注：企业在申请取证时应提交所申请产品单元内任一产品的检验报告；其中，委托检验报告和型式试验报告应当覆盖本表所列的检验项目。</w:t>
      </w:r>
    </w:p>
    <w:p>
      <w:pPr>
        <w:pStyle w:val="2"/>
      </w:pPr>
    </w:p>
    <w:sectPr>
      <w:pgSz w:w="16838" w:h="11906" w:orient="landscape"/>
      <w:pgMar w:top="1418" w:right="1418" w:bottom="1418" w:left="1418" w:header="851"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MS+Sans+Serif">
    <w:altName w:val="黑体"/>
    <w:panose1 w:val="00000000000000000000"/>
    <w:charset w:val="86"/>
    <w:family w:val="auto"/>
    <w:pitch w:val="default"/>
    <w:sig w:usb0="00000000" w:usb1="00000000" w:usb2="0000001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方正黑体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wordWrap w:val="0"/>
      <w:jc w:val="right"/>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wordWrap w:val="0"/>
      <w:jc w:val="right"/>
      <w:rPr>
        <w:sz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sz w:val="21"/>
      </w:rPr>
    </w:pPr>
    <w:r>
      <w:rPr>
        <w:sz w:val="21"/>
      </w:rPr>
      <w:pict>
        <v:shape id="文本框 1029" o:spid="_x0000_s2049" o:spt="202" type="#_x0000_t202" style="position:absolute;left:0pt;margin-top:0pt;height:12.8pt;width:10.65pt;mso-position-horizontal:center;mso-position-horizontal-relative:margin;mso-wrap-style:none;z-index:25169100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">
          <v:path/>
          <v:fill on="f" focussize="0,0"/>
          <v:stroke on="f" joinstyle="miter"/>
          <v:imagedata o:title=""/>
          <o:lock v:ext="edit"/>
          <v:textbox inset="0mm,0mm,0mm,0mm" style="mso-fit-shape-to-text:t;">
            <w:txbxContent>
              <w:p>
                <w:pPr>
                  <w:pStyle w:val="26"/>
                  <w:jc w:val="center"/>
                </w:pPr>
                <w:r>
                  <w:rPr>
                    <w:sz w:val="21"/>
                  </w:rPr>
                  <w:fldChar w:fldCharType="begin"/>
                </w:r>
                <w:r>
                  <w:rPr>
                    <w:rStyle w:val="40"/>
                    <w:sz w:val="21"/>
                  </w:rPr>
                  <w:instrText xml:space="preserve"> PAGE </w:instrText>
                </w:r>
                <w:r>
                  <w:rPr>
                    <w:sz w:val="21"/>
                  </w:rPr>
                  <w:fldChar w:fldCharType="separate"/>
                </w:r>
                <w:r>
                  <w:rPr>
                    <w:rStyle w:val="40"/>
                    <w:sz w:val="21"/>
                  </w:rPr>
                  <w:t>2</w:t>
                </w:r>
                <w:r>
                  <w:rPr>
                    <w:sz w:val="21"/>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134F1"/>
    <w:rsid w:val="00004A47"/>
    <w:rsid w:val="00023433"/>
    <w:rsid w:val="00033E78"/>
    <w:rsid w:val="00040CEB"/>
    <w:rsid w:val="00042A6F"/>
    <w:rsid w:val="000444A6"/>
    <w:rsid w:val="00052F51"/>
    <w:rsid w:val="000544B7"/>
    <w:rsid w:val="0006143F"/>
    <w:rsid w:val="00065137"/>
    <w:rsid w:val="00065F22"/>
    <w:rsid w:val="00080085"/>
    <w:rsid w:val="00081A76"/>
    <w:rsid w:val="00083CBE"/>
    <w:rsid w:val="000868E9"/>
    <w:rsid w:val="0009606B"/>
    <w:rsid w:val="000968EB"/>
    <w:rsid w:val="000A0544"/>
    <w:rsid w:val="000A1669"/>
    <w:rsid w:val="000B38E8"/>
    <w:rsid w:val="000B637A"/>
    <w:rsid w:val="000C6476"/>
    <w:rsid w:val="000C64AD"/>
    <w:rsid w:val="000E7114"/>
    <w:rsid w:val="000E7D01"/>
    <w:rsid w:val="000F3833"/>
    <w:rsid w:val="00103AA2"/>
    <w:rsid w:val="00103BEE"/>
    <w:rsid w:val="0010726F"/>
    <w:rsid w:val="001103BB"/>
    <w:rsid w:val="00116EE7"/>
    <w:rsid w:val="00122DD5"/>
    <w:rsid w:val="00123FB9"/>
    <w:rsid w:val="00124359"/>
    <w:rsid w:val="0012509F"/>
    <w:rsid w:val="00140EC7"/>
    <w:rsid w:val="001551D8"/>
    <w:rsid w:val="001554B2"/>
    <w:rsid w:val="001555D7"/>
    <w:rsid w:val="0015729A"/>
    <w:rsid w:val="00161F29"/>
    <w:rsid w:val="001675BA"/>
    <w:rsid w:val="001676EA"/>
    <w:rsid w:val="00191F47"/>
    <w:rsid w:val="00192429"/>
    <w:rsid w:val="001953BB"/>
    <w:rsid w:val="00196D3B"/>
    <w:rsid w:val="001A1B39"/>
    <w:rsid w:val="001A3D2B"/>
    <w:rsid w:val="001A4E65"/>
    <w:rsid w:val="001B6972"/>
    <w:rsid w:val="001C212E"/>
    <w:rsid w:val="001C31DB"/>
    <w:rsid w:val="001C691F"/>
    <w:rsid w:val="001D285F"/>
    <w:rsid w:val="001E3277"/>
    <w:rsid w:val="001E77FB"/>
    <w:rsid w:val="001F14A7"/>
    <w:rsid w:val="001F1F91"/>
    <w:rsid w:val="001F7A84"/>
    <w:rsid w:val="002001D6"/>
    <w:rsid w:val="0020634D"/>
    <w:rsid w:val="00206363"/>
    <w:rsid w:val="00215B76"/>
    <w:rsid w:val="00225D73"/>
    <w:rsid w:val="00225E1E"/>
    <w:rsid w:val="002367AA"/>
    <w:rsid w:val="00237457"/>
    <w:rsid w:val="00247F13"/>
    <w:rsid w:val="0025062E"/>
    <w:rsid w:val="002539CA"/>
    <w:rsid w:val="0029636A"/>
    <w:rsid w:val="00296E6B"/>
    <w:rsid w:val="002A336B"/>
    <w:rsid w:val="002C7911"/>
    <w:rsid w:val="002D01BC"/>
    <w:rsid w:val="002D315A"/>
    <w:rsid w:val="002D4B8B"/>
    <w:rsid w:val="002D7E24"/>
    <w:rsid w:val="002E25F8"/>
    <w:rsid w:val="002F1A40"/>
    <w:rsid w:val="002F355F"/>
    <w:rsid w:val="00304D4F"/>
    <w:rsid w:val="003104C8"/>
    <w:rsid w:val="00326E8E"/>
    <w:rsid w:val="003340F9"/>
    <w:rsid w:val="003402EF"/>
    <w:rsid w:val="003465DD"/>
    <w:rsid w:val="00361953"/>
    <w:rsid w:val="003658D2"/>
    <w:rsid w:val="0036661C"/>
    <w:rsid w:val="0037253B"/>
    <w:rsid w:val="003822D4"/>
    <w:rsid w:val="00390F03"/>
    <w:rsid w:val="00394E03"/>
    <w:rsid w:val="00395695"/>
    <w:rsid w:val="0039626D"/>
    <w:rsid w:val="003B133A"/>
    <w:rsid w:val="003B3BAF"/>
    <w:rsid w:val="003B7A7C"/>
    <w:rsid w:val="003C1535"/>
    <w:rsid w:val="003C48C7"/>
    <w:rsid w:val="003C5ABF"/>
    <w:rsid w:val="003C63E0"/>
    <w:rsid w:val="003D4D06"/>
    <w:rsid w:val="003D5DD3"/>
    <w:rsid w:val="003D691E"/>
    <w:rsid w:val="003E000D"/>
    <w:rsid w:val="003E0DEF"/>
    <w:rsid w:val="003E3EF8"/>
    <w:rsid w:val="003E488B"/>
    <w:rsid w:val="003E5868"/>
    <w:rsid w:val="003F39F9"/>
    <w:rsid w:val="003F6628"/>
    <w:rsid w:val="00402689"/>
    <w:rsid w:val="00422001"/>
    <w:rsid w:val="00422969"/>
    <w:rsid w:val="00424277"/>
    <w:rsid w:val="004259C0"/>
    <w:rsid w:val="004341C8"/>
    <w:rsid w:val="00434C9C"/>
    <w:rsid w:val="004350B4"/>
    <w:rsid w:val="00436B37"/>
    <w:rsid w:val="00441012"/>
    <w:rsid w:val="0044192A"/>
    <w:rsid w:val="0045536B"/>
    <w:rsid w:val="00465FA7"/>
    <w:rsid w:val="0046624D"/>
    <w:rsid w:val="00467D0E"/>
    <w:rsid w:val="0047086E"/>
    <w:rsid w:val="00472A72"/>
    <w:rsid w:val="00473CD4"/>
    <w:rsid w:val="00475125"/>
    <w:rsid w:val="00480712"/>
    <w:rsid w:val="004876A7"/>
    <w:rsid w:val="00487704"/>
    <w:rsid w:val="00494AAD"/>
    <w:rsid w:val="004A3072"/>
    <w:rsid w:val="004A5C77"/>
    <w:rsid w:val="004B07C0"/>
    <w:rsid w:val="004B32BC"/>
    <w:rsid w:val="004C00D2"/>
    <w:rsid w:val="004D1D49"/>
    <w:rsid w:val="004D72B6"/>
    <w:rsid w:val="004E0ED9"/>
    <w:rsid w:val="004E694A"/>
    <w:rsid w:val="004E7C04"/>
    <w:rsid w:val="004F19E1"/>
    <w:rsid w:val="004F3A9A"/>
    <w:rsid w:val="00500A9F"/>
    <w:rsid w:val="005101A4"/>
    <w:rsid w:val="00515440"/>
    <w:rsid w:val="005154AE"/>
    <w:rsid w:val="00520556"/>
    <w:rsid w:val="005227E1"/>
    <w:rsid w:val="0052673B"/>
    <w:rsid w:val="00526BC3"/>
    <w:rsid w:val="00526D60"/>
    <w:rsid w:val="00532793"/>
    <w:rsid w:val="005417B5"/>
    <w:rsid w:val="00553864"/>
    <w:rsid w:val="00553C57"/>
    <w:rsid w:val="00556477"/>
    <w:rsid w:val="00560180"/>
    <w:rsid w:val="005760B2"/>
    <w:rsid w:val="005819B4"/>
    <w:rsid w:val="00586D37"/>
    <w:rsid w:val="00587154"/>
    <w:rsid w:val="00590631"/>
    <w:rsid w:val="005909F1"/>
    <w:rsid w:val="00593BBE"/>
    <w:rsid w:val="005967BD"/>
    <w:rsid w:val="005A0C87"/>
    <w:rsid w:val="005B6A3A"/>
    <w:rsid w:val="005C228D"/>
    <w:rsid w:val="005C22FA"/>
    <w:rsid w:val="005C3056"/>
    <w:rsid w:val="005D390B"/>
    <w:rsid w:val="005E04E3"/>
    <w:rsid w:val="005E32FC"/>
    <w:rsid w:val="005E3CB5"/>
    <w:rsid w:val="005E55EE"/>
    <w:rsid w:val="005F1A7B"/>
    <w:rsid w:val="005F4519"/>
    <w:rsid w:val="006044C4"/>
    <w:rsid w:val="00604B5D"/>
    <w:rsid w:val="00604F13"/>
    <w:rsid w:val="00610835"/>
    <w:rsid w:val="00611549"/>
    <w:rsid w:val="006134F1"/>
    <w:rsid w:val="00617E92"/>
    <w:rsid w:val="00623684"/>
    <w:rsid w:val="00630742"/>
    <w:rsid w:val="00632C2E"/>
    <w:rsid w:val="00635576"/>
    <w:rsid w:val="006364CD"/>
    <w:rsid w:val="006378A4"/>
    <w:rsid w:val="00637946"/>
    <w:rsid w:val="006433DE"/>
    <w:rsid w:val="00643FDC"/>
    <w:rsid w:val="00657557"/>
    <w:rsid w:val="006624C9"/>
    <w:rsid w:val="00663D76"/>
    <w:rsid w:val="00671CCB"/>
    <w:rsid w:val="00673E37"/>
    <w:rsid w:val="006759F8"/>
    <w:rsid w:val="00691A08"/>
    <w:rsid w:val="006924FA"/>
    <w:rsid w:val="006A036B"/>
    <w:rsid w:val="006A1F91"/>
    <w:rsid w:val="006A222B"/>
    <w:rsid w:val="006A39F1"/>
    <w:rsid w:val="006A5029"/>
    <w:rsid w:val="006C5AE0"/>
    <w:rsid w:val="006E1E38"/>
    <w:rsid w:val="006F1D00"/>
    <w:rsid w:val="006F1F52"/>
    <w:rsid w:val="006F3DBC"/>
    <w:rsid w:val="006F79C6"/>
    <w:rsid w:val="00706950"/>
    <w:rsid w:val="00710D19"/>
    <w:rsid w:val="0071388F"/>
    <w:rsid w:val="007161FF"/>
    <w:rsid w:val="007178BA"/>
    <w:rsid w:val="00740618"/>
    <w:rsid w:val="007461EF"/>
    <w:rsid w:val="00747EE3"/>
    <w:rsid w:val="00752E32"/>
    <w:rsid w:val="00754438"/>
    <w:rsid w:val="00755E3B"/>
    <w:rsid w:val="007601D0"/>
    <w:rsid w:val="00764C05"/>
    <w:rsid w:val="0076623E"/>
    <w:rsid w:val="007741BB"/>
    <w:rsid w:val="007814AE"/>
    <w:rsid w:val="00782FBA"/>
    <w:rsid w:val="007851F4"/>
    <w:rsid w:val="00791B01"/>
    <w:rsid w:val="00797C61"/>
    <w:rsid w:val="007B0EBE"/>
    <w:rsid w:val="007D5503"/>
    <w:rsid w:val="007D63D3"/>
    <w:rsid w:val="007D742F"/>
    <w:rsid w:val="007E2755"/>
    <w:rsid w:val="007E6D43"/>
    <w:rsid w:val="007F374C"/>
    <w:rsid w:val="00812DAC"/>
    <w:rsid w:val="0081391B"/>
    <w:rsid w:val="00814670"/>
    <w:rsid w:val="00815131"/>
    <w:rsid w:val="00815736"/>
    <w:rsid w:val="00816FB7"/>
    <w:rsid w:val="00834312"/>
    <w:rsid w:val="00841B6A"/>
    <w:rsid w:val="00843FDA"/>
    <w:rsid w:val="00854743"/>
    <w:rsid w:val="008551E3"/>
    <w:rsid w:val="00861384"/>
    <w:rsid w:val="008671DF"/>
    <w:rsid w:val="00870950"/>
    <w:rsid w:val="00873EB5"/>
    <w:rsid w:val="00876BE1"/>
    <w:rsid w:val="00885158"/>
    <w:rsid w:val="008879C2"/>
    <w:rsid w:val="00891949"/>
    <w:rsid w:val="008A20DA"/>
    <w:rsid w:val="008A6C7D"/>
    <w:rsid w:val="008B3498"/>
    <w:rsid w:val="008D58C6"/>
    <w:rsid w:val="008D628B"/>
    <w:rsid w:val="008F0107"/>
    <w:rsid w:val="00910EF0"/>
    <w:rsid w:val="00913201"/>
    <w:rsid w:val="009176C9"/>
    <w:rsid w:val="009214F7"/>
    <w:rsid w:val="00921D41"/>
    <w:rsid w:val="009302B7"/>
    <w:rsid w:val="00943915"/>
    <w:rsid w:val="00947468"/>
    <w:rsid w:val="00953DB4"/>
    <w:rsid w:val="00953E20"/>
    <w:rsid w:val="00963E3B"/>
    <w:rsid w:val="00964502"/>
    <w:rsid w:val="00967418"/>
    <w:rsid w:val="00970EB6"/>
    <w:rsid w:val="00974C77"/>
    <w:rsid w:val="00976FC8"/>
    <w:rsid w:val="009800A1"/>
    <w:rsid w:val="009848E2"/>
    <w:rsid w:val="00986237"/>
    <w:rsid w:val="00987B00"/>
    <w:rsid w:val="009A6BEC"/>
    <w:rsid w:val="009D1F3B"/>
    <w:rsid w:val="009D5327"/>
    <w:rsid w:val="009E086A"/>
    <w:rsid w:val="009E40D1"/>
    <w:rsid w:val="009E5A32"/>
    <w:rsid w:val="009E5C79"/>
    <w:rsid w:val="009E683F"/>
    <w:rsid w:val="00A0738A"/>
    <w:rsid w:val="00A13D39"/>
    <w:rsid w:val="00A203BF"/>
    <w:rsid w:val="00A20E9B"/>
    <w:rsid w:val="00A22F5C"/>
    <w:rsid w:val="00A22FBF"/>
    <w:rsid w:val="00A24ECA"/>
    <w:rsid w:val="00A327E4"/>
    <w:rsid w:val="00A3330B"/>
    <w:rsid w:val="00A35CDB"/>
    <w:rsid w:val="00A37491"/>
    <w:rsid w:val="00A378A1"/>
    <w:rsid w:val="00A54161"/>
    <w:rsid w:val="00A55227"/>
    <w:rsid w:val="00A562A7"/>
    <w:rsid w:val="00A610CE"/>
    <w:rsid w:val="00A638D6"/>
    <w:rsid w:val="00A63952"/>
    <w:rsid w:val="00A76B69"/>
    <w:rsid w:val="00A81847"/>
    <w:rsid w:val="00A87386"/>
    <w:rsid w:val="00A902B8"/>
    <w:rsid w:val="00A90C09"/>
    <w:rsid w:val="00A9569F"/>
    <w:rsid w:val="00AA6C0F"/>
    <w:rsid w:val="00AC4468"/>
    <w:rsid w:val="00AC4599"/>
    <w:rsid w:val="00AC5924"/>
    <w:rsid w:val="00AC7FCE"/>
    <w:rsid w:val="00AD02DD"/>
    <w:rsid w:val="00AD2AB8"/>
    <w:rsid w:val="00AD55DF"/>
    <w:rsid w:val="00AD6BA3"/>
    <w:rsid w:val="00AE31E7"/>
    <w:rsid w:val="00AE5AEB"/>
    <w:rsid w:val="00AE6143"/>
    <w:rsid w:val="00B11178"/>
    <w:rsid w:val="00B12137"/>
    <w:rsid w:val="00B12D0D"/>
    <w:rsid w:val="00B144AD"/>
    <w:rsid w:val="00B17C49"/>
    <w:rsid w:val="00B26836"/>
    <w:rsid w:val="00B316E7"/>
    <w:rsid w:val="00B36480"/>
    <w:rsid w:val="00B44788"/>
    <w:rsid w:val="00B4564E"/>
    <w:rsid w:val="00B50C39"/>
    <w:rsid w:val="00B552CC"/>
    <w:rsid w:val="00B73BDB"/>
    <w:rsid w:val="00B74682"/>
    <w:rsid w:val="00B87BA5"/>
    <w:rsid w:val="00BA04F4"/>
    <w:rsid w:val="00BA0E22"/>
    <w:rsid w:val="00BA4942"/>
    <w:rsid w:val="00BB1600"/>
    <w:rsid w:val="00BB3A97"/>
    <w:rsid w:val="00BB5AE0"/>
    <w:rsid w:val="00BB5D8F"/>
    <w:rsid w:val="00BC4FAA"/>
    <w:rsid w:val="00BD0188"/>
    <w:rsid w:val="00BD167D"/>
    <w:rsid w:val="00BE5B4B"/>
    <w:rsid w:val="00BF205F"/>
    <w:rsid w:val="00BF3940"/>
    <w:rsid w:val="00BF65AF"/>
    <w:rsid w:val="00C059AA"/>
    <w:rsid w:val="00C07A98"/>
    <w:rsid w:val="00C104C9"/>
    <w:rsid w:val="00C17457"/>
    <w:rsid w:val="00C23472"/>
    <w:rsid w:val="00C3071D"/>
    <w:rsid w:val="00C3304D"/>
    <w:rsid w:val="00C330CE"/>
    <w:rsid w:val="00C37AF7"/>
    <w:rsid w:val="00C40FD2"/>
    <w:rsid w:val="00C44D4E"/>
    <w:rsid w:val="00C45B12"/>
    <w:rsid w:val="00C51B12"/>
    <w:rsid w:val="00C52051"/>
    <w:rsid w:val="00C536F6"/>
    <w:rsid w:val="00C567AB"/>
    <w:rsid w:val="00C57BC7"/>
    <w:rsid w:val="00C62CFF"/>
    <w:rsid w:val="00C7092B"/>
    <w:rsid w:val="00C7341D"/>
    <w:rsid w:val="00C76C2D"/>
    <w:rsid w:val="00C848AD"/>
    <w:rsid w:val="00C8514D"/>
    <w:rsid w:val="00C853AC"/>
    <w:rsid w:val="00C86203"/>
    <w:rsid w:val="00CA38BE"/>
    <w:rsid w:val="00CB0C89"/>
    <w:rsid w:val="00CC535F"/>
    <w:rsid w:val="00CD0DF3"/>
    <w:rsid w:val="00CD6B78"/>
    <w:rsid w:val="00CE067F"/>
    <w:rsid w:val="00CF3C3A"/>
    <w:rsid w:val="00CF4AB1"/>
    <w:rsid w:val="00D01B71"/>
    <w:rsid w:val="00D0298A"/>
    <w:rsid w:val="00D13EDE"/>
    <w:rsid w:val="00D16038"/>
    <w:rsid w:val="00D21FDA"/>
    <w:rsid w:val="00D27F64"/>
    <w:rsid w:val="00D30087"/>
    <w:rsid w:val="00D32744"/>
    <w:rsid w:val="00D37A44"/>
    <w:rsid w:val="00D46453"/>
    <w:rsid w:val="00D64DFB"/>
    <w:rsid w:val="00D667A8"/>
    <w:rsid w:val="00D7037A"/>
    <w:rsid w:val="00D751AD"/>
    <w:rsid w:val="00D831A2"/>
    <w:rsid w:val="00D85C42"/>
    <w:rsid w:val="00DA1E1E"/>
    <w:rsid w:val="00DA6775"/>
    <w:rsid w:val="00DA6E51"/>
    <w:rsid w:val="00DB3870"/>
    <w:rsid w:val="00DC2C1D"/>
    <w:rsid w:val="00DD17E2"/>
    <w:rsid w:val="00DD48F9"/>
    <w:rsid w:val="00DE27C0"/>
    <w:rsid w:val="00DE5561"/>
    <w:rsid w:val="00DF2273"/>
    <w:rsid w:val="00DF33DC"/>
    <w:rsid w:val="00DF5614"/>
    <w:rsid w:val="00DF65A1"/>
    <w:rsid w:val="00E017D4"/>
    <w:rsid w:val="00E0697D"/>
    <w:rsid w:val="00E10620"/>
    <w:rsid w:val="00E12FD5"/>
    <w:rsid w:val="00E244E8"/>
    <w:rsid w:val="00E3136A"/>
    <w:rsid w:val="00E31DAA"/>
    <w:rsid w:val="00E32AF6"/>
    <w:rsid w:val="00E35E0A"/>
    <w:rsid w:val="00E47929"/>
    <w:rsid w:val="00E51941"/>
    <w:rsid w:val="00E54DEE"/>
    <w:rsid w:val="00E57836"/>
    <w:rsid w:val="00E60206"/>
    <w:rsid w:val="00E63700"/>
    <w:rsid w:val="00E73701"/>
    <w:rsid w:val="00E743AB"/>
    <w:rsid w:val="00E8018F"/>
    <w:rsid w:val="00E80A8D"/>
    <w:rsid w:val="00E84EED"/>
    <w:rsid w:val="00E85BD8"/>
    <w:rsid w:val="00E86522"/>
    <w:rsid w:val="00E86C94"/>
    <w:rsid w:val="00E910A9"/>
    <w:rsid w:val="00E96E53"/>
    <w:rsid w:val="00EA6DA7"/>
    <w:rsid w:val="00EC0244"/>
    <w:rsid w:val="00EC256F"/>
    <w:rsid w:val="00EC36F2"/>
    <w:rsid w:val="00EC6F72"/>
    <w:rsid w:val="00ED6974"/>
    <w:rsid w:val="00EE0432"/>
    <w:rsid w:val="00EE39B4"/>
    <w:rsid w:val="00EE7A48"/>
    <w:rsid w:val="00EF4542"/>
    <w:rsid w:val="00F009FF"/>
    <w:rsid w:val="00F0458E"/>
    <w:rsid w:val="00F0539A"/>
    <w:rsid w:val="00F06596"/>
    <w:rsid w:val="00F1162C"/>
    <w:rsid w:val="00F17B45"/>
    <w:rsid w:val="00F213F5"/>
    <w:rsid w:val="00F216A2"/>
    <w:rsid w:val="00F2250D"/>
    <w:rsid w:val="00F3130B"/>
    <w:rsid w:val="00F47DFA"/>
    <w:rsid w:val="00F54C1F"/>
    <w:rsid w:val="00F57564"/>
    <w:rsid w:val="00F7366B"/>
    <w:rsid w:val="00F774AA"/>
    <w:rsid w:val="00F8053F"/>
    <w:rsid w:val="00F813C7"/>
    <w:rsid w:val="00F83A6C"/>
    <w:rsid w:val="00F85966"/>
    <w:rsid w:val="00F85E3E"/>
    <w:rsid w:val="00F92163"/>
    <w:rsid w:val="00F9357E"/>
    <w:rsid w:val="00FA080B"/>
    <w:rsid w:val="00FA2190"/>
    <w:rsid w:val="00FA2267"/>
    <w:rsid w:val="00FA3204"/>
    <w:rsid w:val="00FA71E9"/>
    <w:rsid w:val="00FC55F4"/>
    <w:rsid w:val="00FC7061"/>
    <w:rsid w:val="00FC7B40"/>
    <w:rsid w:val="00FD0885"/>
    <w:rsid w:val="00FD4A0A"/>
    <w:rsid w:val="00FD69D3"/>
    <w:rsid w:val="00FE32B3"/>
    <w:rsid w:val="00FE60B0"/>
    <w:rsid w:val="01DF5389"/>
    <w:rsid w:val="02925989"/>
    <w:rsid w:val="02C42617"/>
    <w:rsid w:val="02E76343"/>
    <w:rsid w:val="056D5C40"/>
    <w:rsid w:val="05EE70C3"/>
    <w:rsid w:val="06355DC4"/>
    <w:rsid w:val="06731CA1"/>
    <w:rsid w:val="06BD037C"/>
    <w:rsid w:val="0A416D76"/>
    <w:rsid w:val="0EA916A2"/>
    <w:rsid w:val="0F1659D0"/>
    <w:rsid w:val="0F3A26EF"/>
    <w:rsid w:val="134D6087"/>
    <w:rsid w:val="1AC565A2"/>
    <w:rsid w:val="1AE07EF2"/>
    <w:rsid w:val="1D046EF0"/>
    <w:rsid w:val="1DB05EAF"/>
    <w:rsid w:val="1E077D7A"/>
    <w:rsid w:val="20B44A5E"/>
    <w:rsid w:val="210C3DA5"/>
    <w:rsid w:val="236A104E"/>
    <w:rsid w:val="23747D76"/>
    <w:rsid w:val="23FB5EA2"/>
    <w:rsid w:val="25D36D89"/>
    <w:rsid w:val="25EA6651"/>
    <w:rsid w:val="26A83228"/>
    <w:rsid w:val="2859279A"/>
    <w:rsid w:val="28801A6A"/>
    <w:rsid w:val="2B157CDE"/>
    <w:rsid w:val="2E8268EE"/>
    <w:rsid w:val="349540FB"/>
    <w:rsid w:val="34F44584"/>
    <w:rsid w:val="376D75F3"/>
    <w:rsid w:val="39B64CF0"/>
    <w:rsid w:val="3A772B05"/>
    <w:rsid w:val="3BC94896"/>
    <w:rsid w:val="3EED4233"/>
    <w:rsid w:val="42A82ED9"/>
    <w:rsid w:val="48153312"/>
    <w:rsid w:val="49833796"/>
    <w:rsid w:val="4A936D60"/>
    <w:rsid w:val="4EBB7198"/>
    <w:rsid w:val="4F467E61"/>
    <w:rsid w:val="53193EC8"/>
    <w:rsid w:val="53497D7A"/>
    <w:rsid w:val="567F0A9A"/>
    <w:rsid w:val="56860DF9"/>
    <w:rsid w:val="593948AB"/>
    <w:rsid w:val="5BCD6F77"/>
    <w:rsid w:val="5CA0313D"/>
    <w:rsid w:val="5DF67D68"/>
    <w:rsid w:val="61780C61"/>
    <w:rsid w:val="6E076897"/>
    <w:rsid w:val="6FED2B37"/>
    <w:rsid w:val="702131C1"/>
    <w:rsid w:val="71262E2A"/>
    <w:rsid w:val="72530709"/>
    <w:rsid w:val="758B0631"/>
    <w:rsid w:val="76C32E4F"/>
    <w:rsid w:val="78810EEE"/>
    <w:rsid w:val="7B3B112E"/>
    <w:rsid w:val="7BD755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7"/>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48"/>
    <w:qFormat/>
    <w:uiPriority w:val="0"/>
    <w:pPr>
      <w:keepNext/>
      <w:keepLines/>
      <w:spacing w:before="260" w:after="260" w:line="416" w:lineRule="auto"/>
      <w:outlineLvl w:val="1"/>
    </w:pPr>
    <w:rPr>
      <w:rFonts w:ascii="Arial" w:hAnsi="Arial" w:eastAsia="黑体" w:cs="Times New Roman"/>
      <w:b/>
      <w:bCs/>
      <w:sz w:val="32"/>
      <w:szCs w:val="32"/>
    </w:rPr>
  </w:style>
  <w:style w:type="paragraph" w:styleId="5">
    <w:name w:val="heading 3"/>
    <w:basedOn w:val="1"/>
    <w:next w:val="1"/>
    <w:link w:val="74"/>
    <w:qFormat/>
    <w:uiPriority w:val="0"/>
    <w:pPr>
      <w:keepNext/>
      <w:keepLines/>
      <w:spacing w:line="440" w:lineRule="exact"/>
      <w:outlineLvl w:val="2"/>
    </w:pPr>
    <w:rPr>
      <w:rFonts w:ascii="Times New Roman" w:hAnsi="Times New Roman" w:eastAsia="宋体" w:cs="Times New Roman"/>
      <w:b/>
      <w:bCs/>
      <w:sz w:val="30"/>
      <w:szCs w:val="32"/>
    </w:rPr>
  </w:style>
  <w:style w:type="paragraph" w:styleId="6">
    <w:name w:val="heading 4"/>
    <w:next w:val="1"/>
    <w:link w:val="50"/>
    <w:qFormat/>
    <w:uiPriority w:val="0"/>
    <w:pPr>
      <w:wordWrap w:val="0"/>
      <w:spacing w:after="160"/>
      <w:ind w:left="1600" w:hanging="400"/>
      <w:jc w:val="both"/>
      <w:outlineLvl w:val="3"/>
    </w:pPr>
    <w:rPr>
      <w:rFonts w:ascii="Calibri" w:hAnsi="Calibri" w:eastAsia="宋体" w:cs="Times New Roman"/>
      <w:b/>
      <w:sz w:val="21"/>
      <w:lang w:val="en-US" w:eastAsia="zh-CN" w:bidi="ar-SA"/>
    </w:rPr>
  </w:style>
  <w:style w:type="paragraph" w:styleId="7">
    <w:name w:val="heading 5"/>
    <w:next w:val="1"/>
    <w:link w:val="51"/>
    <w:qFormat/>
    <w:uiPriority w:val="0"/>
    <w:pPr>
      <w:wordWrap w:val="0"/>
      <w:spacing w:after="160"/>
      <w:ind w:left="1800" w:hanging="400"/>
      <w:jc w:val="both"/>
      <w:outlineLvl w:val="4"/>
    </w:pPr>
    <w:rPr>
      <w:rFonts w:ascii="Calibri" w:hAnsi="Calibri" w:eastAsia="宋体" w:cs="Times New Roman"/>
      <w:sz w:val="21"/>
      <w:lang w:val="en-US" w:eastAsia="zh-CN" w:bidi="ar-SA"/>
    </w:rPr>
  </w:style>
  <w:style w:type="paragraph" w:styleId="8">
    <w:name w:val="heading 6"/>
    <w:next w:val="1"/>
    <w:link w:val="52"/>
    <w:qFormat/>
    <w:uiPriority w:val="0"/>
    <w:pPr>
      <w:wordWrap w:val="0"/>
      <w:spacing w:after="160"/>
      <w:ind w:left="2000" w:hanging="400"/>
      <w:jc w:val="both"/>
      <w:outlineLvl w:val="5"/>
    </w:pPr>
    <w:rPr>
      <w:rFonts w:ascii="Calibri" w:hAnsi="Calibri" w:eastAsia="宋体" w:cs="Times New Roman"/>
      <w:b/>
      <w:sz w:val="21"/>
      <w:lang w:val="en-US" w:eastAsia="zh-CN" w:bidi="ar-SA"/>
    </w:rPr>
  </w:style>
  <w:style w:type="paragraph" w:styleId="9">
    <w:name w:val="heading 7"/>
    <w:next w:val="1"/>
    <w:link w:val="53"/>
    <w:qFormat/>
    <w:uiPriority w:val="0"/>
    <w:pPr>
      <w:wordWrap w:val="0"/>
      <w:spacing w:after="160"/>
      <w:ind w:left="2200" w:hanging="400"/>
      <w:jc w:val="both"/>
      <w:outlineLvl w:val="6"/>
    </w:pPr>
    <w:rPr>
      <w:rFonts w:ascii="Calibri" w:hAnsi="Calibri" w:eastAsia="宋体" w:cs="Times New Roman"/>
      <w:sz w:val="21"/>
      <w:lang w:val="en-US" w:eastAsia="zh-CN" w:bidi="ar-SA"/>
    </w:rPr>
  </w:style>
  <w:style w:type="paragraph" w:styleId="10">
    <w:name w:val="heading 8"/>
    <w:next w:val="1"/>
    <w:link w:val="54"/>
    <w:qFormat/>
    <w:uiPriority w:val="0"/>
    <w:pPr>
      <w:wordWrap w:val="0"/>
      <w:spacing w:after="160"/>
      <w:ind w:left="2400" w:hanging="400"/>
      <w:jc w:val="both"/>
      <w:outlineLvl w:val="7"/>
    </w:pPr>
    <w:rPr>
      <w:rFonts w:ascii="Calibri" w:hAnsi="Calibri" w:eastAsia="宋体" w:cs="Times New Roman"/>
      <w:sz w:val="21"/>
      <w:lang w:val="en-US" w:eastAsia="zh-CN" w:bidi="ar-SA"/>
    </w:rPr>
  </w:style>
  <w:style w:type="paragraph" w:styleId="11">
    <w:name w:val="heading 9"/>
    <w:next w:val="1"/>
    <w:link w:val="55"/>
    <w:qFormat/>
    <w:uiPriority w:val="0"/>
    <w:pPr>
      <w:wordWrap w:val="0"/>
      <w:spacing w:after="160"/>
      <w:ind w:left="2600" w:hanging="400"/>
      <w:jc w:val="both"/>
      <w:outlineLvl w:val="8"/>
    </w:pPr>
    <w:rPr>
      <w:rFonts w:ascii="Calibri" w:hAnsi="Calibri" w:eastAsia="宋体" w:cs="Times New Roman"/>
      <w:sz w:val="21"/>
      <w:lang w:val="en-US" w:eastAsia="zh-CN" w:bidi="ar-SA"/>
    </w:rPr>
  </w:style>
  <w:style w:type="character" w:default="1" w:styleId="38">
    <w:name w:val="Default Paragraph Font"/>
    <w:semiHidden/>
    <w:unhideWhenUsed/>
    <w:qFormat/>
    <w:uiPriority w:val="1"/>
  </w:style>
  <w:style w:type="table" w:default="1" w:styleId="45">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eastAsia="宋体" w:cs="Times New Roman"/>
      <w:szCs w:val="20"/>
    </w:rPr>
  </w:style>
  <w:style w:type="paragraph" w:styleId="12">
    <w:name w:val="annotation subject"/>
    <w:basedOn w:val="13"/>
    <w:next w:val="13"/>
    <w:link w:val="64"/>
    <w:qFormat/>
    <w:uiPriority w:val="0"/>
    <w:rPr>
      <w:b/>
      <w:bCs/>
    </w:rPr>
  </w:style>
  <w:style w:type="paragraph" w:styleId="13">
    <w:name w:val="annotation text"/>
    <w:basedOn w:val="1"/>
    <w:link w:val="67"/>
    <w:qFormat/>
    <w:uiPriority w:val="0"/>
    <w:pPr>
      <w:jc w:val="left"/>
    </w:pPr>
  </w:style>
  <w:style w:type="paragraph" w:styleId="14">
    <w:name w:val="toc 7"/>
    <w:next w:val="1"/>
    <w:qFormat/>
    <w:uiPriority w:val="0"/>
    <w:pPr>
      <w:wordWrap w:val="0"/>
      <w:ind w:left="2125"/>
      <w:jc w:val="both"/>
    </w:pPr>
    <w:rPr>
      <w:rFonts w:ascii="Calibri" w:hAnsi="Calibri" w:eastAsia="宋体" w:cs="Times New Roman"/>
      <w:sz w:val="21"/>
      <w:lang w:val="en-US" w:eastAsia="zh-CN" w:bidi="ar-SA"/>
    </w:rPr>
  </w:style>
  <w:style w:type="paragraph" w:styleId="15">
    <w:name w:val="Document Map"/>
    <w:basedOn w:val="1"/>
    <w:link w:val="92"/>
    <w:qFormat/>
    <w:uiPriority w:val="0"/>
    <w:pPr>
      <w:shd w:val="clear" w:color="auto" w:fill="000080"/>
    </w:pPr>
    <w:rPr>
      <w:rFonts w:ascii="Times New Roman" w:hAnsi="Times New Roman" w:eastAsia="宋体" w:cs="Times New Roman"/>
      <w:szCs w:val="20"/>
    </w:rPr>
  </w:style>
  <w:style w:type="paragraph" w:styleId="16">
    <w:name w:val="Body Text 3"/>
    <w:basedOn w:val="1"/>
    <w:link w:val="61"/>
    <w:unhideWhenUsed/>
    <w:qFormat/>
    <w:uiPriority w:val="99"/>
    <w:pPr>
      <w:spacing w:after="120"/>
    </w:pPr>
    <w:rPr>
      <w:sz w:val="16"/>
      <w:szCs w:val="16"/>
    </w:rPr>
  </w:style>
  <w:style w:type="paragraph" w:styleId="17">
    <w:name w:val="Body Text"/>
    <w:basedOn w:val="1"/>
    <w:link w:val="89"/>
    <w:qFormat/>
    <w:uiPriority w:val="0"/>
    <w:rPr>
      <w:rFonts w:ascii="宋体" w:hAnsi="宋体" w:eastAsia="宋体" w:cs="Times New Roman"/>
      <w:i/>
      <w:iCs/>
      <w:szCs w:val="21"/>
    </w:rPr>
  </w:style>
  <w:style w:type="paragraph" w:styleId="18">
    <w:name w:val="Body Text Indent"/>
    <w:basedOn w:val="1"/>
    <w:link w:val="91"/>
    <w:qFormat/>
    <w:uiPriority w:val="0"/>
    <w:pPr>
      <w:spacing w:after="120"/>
      <w:ind w:left="420" w:leftChars="200"/>
    </w:pPr>
    <w:rPr>
      <w:rFonts w:ascii="Times New Roman" w:hAnsi="Times New Roman" w:eastAsia="宋体" w:cs="Times New Roman"/>
      <w:szCs w:val="24"/>
    </w:rPr>
  </w:style>
  <w:style w:type="paragraph" w:styleId="19">
    <w:name w:val="toc 5"/>
    <w:next w:val="1"/>
    <w:qFormat/>
    <w:uiPriority w:val="0"/>
    <w:pPr>
      <w:wordWrap w:val="0"/>
      <w:ind w:left="1275"/>
      <w:jc w:val="both"/>
    </w:pPr>
    <w:rPr>
      <w:rFonts w:ascii="Calibri" w:hAnsi="Calibri" w:eastAsia="宋体" w:cs="Times New Roman"/>
      <w:sz w:val="21"/>
      <w:lang w:val="en-US" w:eastAsia="zh-CN" w:bidi="ar-SA"/>
    </w:rPr>
  </w:style>
  <w:style w:type="paragraph" w:styleId="20">
    <w:name w:val="toc 3"/>
    <w:basedOn w:val="1"/>
    <w:next w:val="1"/>
    <w:qFormat/>
    <w:uiPriority w:val="39"/>
    <w:pPr>
      <w:spacing w:line="460" w:lineRule="exact"/>
    </w:pPr>
    <w:rPr>
      <w:rFonts w:ascii="Times New Roman" w:hAnsi="Times New Roman" w:eastAsia="宋体" w:cs="Times New Roman"/>
      <w:sz w:val="24"/>
      <w:szCs w:val="20"/>
    </w:rPr>
  </w:style>
  <w:style w:type="paragraph" w:styleId="21">
    <w:name w:val="Plain Text"/>
    <w:basedOn w:val="1"/>
    <w:link w:val="79"/>
    <w:qFormat/>
    <w:uiPriority w:val="0"/>
    <w:rPr>
      <w:rFonts w:ascii="宋体" w:hAnsi="Courier New" w:eastAsia="宋体" w:cs="Courier New"/>
      <w:szCs w:val="21"/>
    </w:rPr>
  </w:style>
  <w:style w:type="paragraph" w:styleId="22">
    <w:name w:val="toc 8"/>
    <w:next w:val="1"/>
    <w:qFormat/>
    <w:uiPriority w:val="0"/>
    <w:pPr>
      <w:wordWrap w:val="0"/>
      <w:ind w:left="2550"/>
      <w:jc w:val="both"/>
    </w:pPr>
    <w:rPr>
      <w:rFonts w:ascii="Calibri" w:hAnsi="Calibri" w:eastAsia="宋体" w:cs="Times New Roman"/>
      <w:sz w:val="21"/>
      <w:lang w:val="en-US" w:eastAsia="zh-CN" w:bidi="ar-SA"/>
    </w:rPr>
  </w:style>
  <w:style w:type="paragraph" w:styleId="23">
    <w:name w:val="Date"/>
    <w:basedOn w:val="1"/>
    <w:next w:val="1"/>
    <w:link w:val="95"/>
    <w:qFormat/>
    <w:uiPriority w:val="0"/>
    <w:pPr>
      <w:ind w:left="100" w:leftChars="2500"/>
    </w:pPr>
    <w:rPr>
      <w:rFonts w:ascii="Times New Roman" w:hAnsi="Times New Roman" w:eastAsia="宋体" w:cs="Times New Roman"/>
      <w:szCs w:val="20"/>
    </w:rPr>
  </w:style>
  <w:style w:type="paragraph" w:styleId="24">
    <w:name w:val="Body Text Indent 2"/>
    <w:basedOn w:val="1"/>
    <w:link w:val="73"/>
    <w:qFormat/>
    <w:uiPriority w:val="0"/>
    <w:pPr>
      <w:spacing w:after="120" w:line="480" w:lineRule="auto"/>
      <w:ind w:left="420" w:leftChars="200"/>
    </w:pPr>
  </w:style>
  <w:style w:type="paragraph" w:styleId="25">
    <w:name w:val="Balloon Text"/>
    <w:basedOn w:val="1"/>
    <w:link w:val="94"/>
    <w:qFormat/>
    <w:uiPriority w:val="0"/>
    <w:rPr>
      <w:rFonts w:ascii="Times New Roman" w:hAnsi="Times New Roman" w:eastAsia="宋体" w:cs="Times New Roman"/>
      <w:sz w:val="18"/>
      <w:szCs w:val="18"/>
    </w:rPr>
  </w:style>
  <w:style w:type="paragraph" w:styleId="26">
    <w:name w:val="footer"/>
    <w:basedOn w:val="1"/>
    <w:link w:val="65"/>
    <w:qFormat/>
    <w:uiPriority w:val="0"/>
    <w:pPr>
      <w:tabs>
        <w:tab w:val="center" w:pos="4153"/>
        <w:tab w:val="right" w:pos="8306"/>
      </w:tabs>
      <w:snapToGrid w:val="0"/>
      <w:jc w:val="left"/>
    </w:pPr>
    <w:rPr>
      <w:sz w:val="18"/>
    </w:rPr>
  </w:style>
  <w:style w:type="paragraph" w:styleId="27">
    <w:name w:val="header"/>
    <w:basedOn w:val="1"/>
    <w:link w:val="72"/>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line="400" w:lineRule="exact"/>
    </w:pPr>
    <w:rPr>
      <w:rFonts w:ascii="Times New Roman" w:hAnsi="Times New Roman" w:eastAsia="宋体" w:cs="Times New Roman"/>
      <w:sz w:val="24"/>
      <w:szCs w:val="20"/>
    </w:rPr>
  </w:style>
  <w:style w:type="paragraph" w:styleId="29">
    <w:name w:val="toc 4"/>
    <w:next w:val="1"/>
    <w:qFormat/>
    <w:uiPriority w:val="0"/>
    <w:pPr>
      <w:wordWrap w:val="0"/>
      <w:ind w:left="850"/>
      <w:jc w:val="both"/>
    </w:pPr>
    <w:rPr>
      <w:rFonts w:ascii="Calibri" w:hAnsi="Calibri" w:eastAsia="宋体" w:cs="Times New Roman"/>
      <w:sz w:val="21"/>
      <w:lang w:val="en-US" w:eastAsia="zh-CN" w:bidi="ar-SA"/>
    </w:rPr>
  </w:style>
  <w:style w:type="paragraph" w:styleId="30">
    <w:name w:val="Subtitle"/>
    <w:next w:val="1"/>
    <w:link w:val="62"/>
    <w:qFormat/>
    <w:uiPriority w:val="0"/>
    <w:pPr>
      <w:wordWrap w:val="0"/>
      <w:spacing w:after="60"/>
      <w:jc w:val="center"/>
    </w:pPr>
    <w:rPr>
      <w:rFonts w:ascii="Calibri" w:hAnsi="Calibri" w:eastAsiaTheme="minorEastAsia" w:cstheme="minorBidi"/>
      <w:kern w:val="2"/>
      <w:sz w:val="24"/>
      <w:szCs w:val="22"/>
      <w:lang w:val="en-US" w:eastAsia="zh-CN" w:bidi="ar-SA"/>
    </w:rPr>
  </w:style>
  <w:style w:type="paragraph" w:styleId="31">
    <w:name w:val="footnote text"/>
    <w:basedOn w:val="1"/>
    <w:link w:val="188"/>
    <w:qFormat/>
    <w:uiPriority w:val="0"/>
    <w:pPr>
      <w:snapToGrid w:val="0"/>
      <w:jc w:val="left"/>
    </w:pPr>
    <w:rPr>
      <w:sz w:val="18"/>
      <w:szCs w:val="18"/>
    </w:rPr>
  </w:style>
  <w:style w:type="paragraph" w:styleId="32">
    <w:name w:val="toc 6"/>
    <w:basedOn w:val="1"/>
    <w:next w:val="1"/>
    <w:qFormat/>
    <w:uiPriority w:val="0"/>
    <w:pPr>
      <w:ind w:left="2100" w:leftChars="1000"/>
    </w:pPr>
    <w:rPr>
      <w:rFonts w:ascii="Times New Roman" w:hAnsi="Times New Roman" w:eastAsia="宋体" w:cs="Times New Roman"/>
      <w:szCs w:val="24"/>
    </w:rPr>
  </w:style>
  <w:style w:type="paragraph" w:styleId="33">
    <w:name w:val="Body Text Indent 3"/>
    <w:basedOn w:val="1"/>
    <w:next w:val="1"/>
    <w:link w:val="85"/>
    <w:qFormat/>
    <w:uiPriority w:val="0"/>
    <w:pPr>
      <w:spacing w:line="300" w:lineRule="auto"/>
      <w:ind w:firstLine="480"/>
    </w:pPr>
    <w:rPr>
      <w:rFonts w:ascii="仿宋_GB2312" w:hAnsi="Calibri" w:eastAsia="仿宋_GB2312"/>
      <w:color w:val="000000"/>
      <w:sz w:val="24"/>
    </w:rPr>
  </w:style>
  <w:style w:type="paragraph" w:styleId="34">
    <w:name w:val="toc 2"/>
    <w:basedOn w:val="1"/>
    <w:next w:val="1"/>
    <w:qFormat/>
    <w:uiPriority w:val="0"/>
    <w:pPr>
      <w:tabs>
        <w:tab w:val="right" w:leader="dot" w:pos="9060"/>
      </w:tabs>
      <w:spacing w:line="460" w:lineRule="exact"/>
    </w:pPr>
    <w:rPr>
      <w:rFonts w:ascii="Times New Roman" w:hAnsi="Times New Roman" w:eastAsia="宋体" w:cs="Times New Roman"/>
      <w:color w:val="7030A0"/>
      <w:sz w:val="24"/>
      <w:szCs w:val="21"/>
    </w:rPr>
  </w:style>
  <w:style w:type="paragraph" w:styleId="35">
    <w:name w:val="toc 9"/>
    <w:next w:val="1"/>
    <w:qFormat/>
    <w:uiPriority w:val="0"/>
    <w:pPr>
      <w:wordWrap w:val="0"/>
      <w:ind w:left="2975"/>
      <w:jc w:val="both"/>
    </w:pPr>
    <w:rPr>
      <w:rFonts w:ascii="Calibri" w:hAnsi="Calibri" w:eastAsia="宋体" w:cs="Times New Roman"/>
      <w:sz w:val="21"/>
      <w:lang w:val="en-US" w:eastAsia="zh-CN" w:bidi="ar-SA"/>
    </w:rPr>
  </w:style>
  <w:style w:type="paragraph" w:styleId="36">
    <w:name w:val="Body Text 2"/>
    <w:basedOn w:val="1"/>
    <w:link w:val="96"/>
    <w:qFormat/>
    <w:uiPriority w:val="0"/>
    <w:pPr>
      <w:spacing w:after="120" w:line="480" w:lineRule="auto"/>
    </w:pPr>
    <w:rPr>
      <w:rFonts w:ascii="Times New Roman" w:hAnsi="Times New Roman" w:eastAsia="宋体" w:cs="Times New Roman"/>
      <w:szCs w:val="20"/>
    </w:rPr>
  </w:style>
  <w:style w:type="paragraph" w:styleId="3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39">
    <w:name w:val="Strong"/>
    <w:qFormat/>
    <w:uiPriority w:val="0"/>
    <w:rPr>
      <w:b/>
      <w:sz w:val="20"/>
    </w:rPr>
  </w:style>
  <w:style w:type="character" w:styleId="40">
    <w:name w:val="page number"/>
    <w:basedOn w:val="38"/>
    <w:qFormat/>
    <w:uiPriority w:val="0"/>
  </w:style>
  <w:style w:type="character" w:styleId="41">
    <w:name w:val="Emphasis"/>
    <w:qFormat/>
    <w:uiPriority w:val="0"/>
    <w:rPr>
      <w:i/>
      <w:sz w:val="21"/>
    </w:rPr>
  </w:style>
  <w:style w:type="character" w:styleId="42">
    <w:name w:val="Hyperlink"/>
    <w:qFormat/>
    <w:uiPriority w:val="99"/>
    <w:rPr>
      <w:color w:val="0000FF"/>
      <w:u w:val="single"/>
    </w:rPr>
  </w:style>
  <w:style w:type="character" w:styleId="43">
    <w:name w:val="annotation reference"/>
    <w:qFormat/>
    <w:uiPriority w:val="0"/>
    <w:rPr>
      <w:sz w:val="21"/>
      <w:szCs w:val="21"/>
    </w:rPr>
  </w:style>
  <w:style w:type="character" w:styleId="44">
    <w:name w:val="footnote reference"/>
    <w:qFormat/>
    <w:uiPriority w:val="0"/>
    <w:rPr>
      <w:vertAlign w:val="superscript"/>
    </w:rPr>
  </w:style>
  <w:style w:type="table" w:styleId="46">
    <w:name w:val="Table Grid"/>
    <w:basedOn w:val="4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7">
    <w:name w:val="标题 1 字符"/>
    <w:basedOn w:val="38"/>
    <w:link w:val="3"/>
    <w:qFormat/>
    <w:uiPriority w:val="0"/>
    <w:rPr>
      <w:rFonts w:ascii="Times New Roman" w:hAnsi="Times New Roman" w:eastAsia="宋体" w:cs="Times New Roman"/>
      <w:b/>
      <w:bCs/>
      <w:kern w:val="44"/>
      <w:sz w:val="44"/>
      <w:szCs w:val="44"/>
    </w:rPr>
  </w:style>
  <w:style w:type="character" w:customStyle="1" w:styleId="48">
    <w:name w:val="标题 2 字符"/>
    <w:basedOn w:val="38"/>
    <w:link w:val="4"/>
    <w:qFormat/>
    <w:uiPriority w:val="0"/>
    <w:rPr>
      <w:rFonts w:ascii="Arial" w:hAnsi="Arial" w:eastAsia="黑体" w:cs="Times New Roman"/>
      <w:b/>
      <w:bCs/>
      <w:sz w:val="32"/>
      <w:szCs w:val="32"/>
    </w:rPr>
  </w:style>
  <w:style w:type="character" w:customStyle="1" w:styleId="49">
    <w:name w:val="标题 3 Char"/>
    <w:basedOn w:val="38"/>
    <w:qFormat/>
    <w:uiPriority w:val="0"/>
    <w:rPr>
      <w:b/>
      <w:bCs/>
      <w:sz w:val="32"/>
      <w:szCs w:val="32"/>
    </w:rPr>
  </w:style>
  <w:style w:type="character" w:customStyle="1" w:styleId="50">
    <w:name w:val="标题 4 字符"/>
    <w:basedOn w:val="38"/>
    <w:link w:val="6"/>
    <w:qFormat/>
    <w:uiPriority w:val="0"/>
    <w:rPr>
      <w:rFonts w:ascii="Calibri" w:hAnsi="Calibri" w:eastAsia="宋体" w:cs="Times New Roman"/>
      <w:b/>
      <w:kern w:val="0"/>
      <w:szCs w:val="20"/>
    </w:rPr>
  </w:style>
  <w:style w:type="character" w:customStyle="1" w:styleId="51">
    <w:name w:val="标题 5 字符"/>
    <w:basedOn w:val="38"/>
    <w:link w:val="7"/>
    <w:qFormat/>
    <w:uiPriority w:val="0"/>
    <w:rPr>
      <w:rFonts w:ascii="Calibri" w:hAnsi="Calibri" w:eastAsia="宋体" w:cs="Times New Roman"/>
      <w:kern w:val="0"/>
      <w:szCs w:val="20"/>
    </w:rPr>
  </w:style>
  <w:style w:type="character" w:customStyle="1" w:styleId="52">
    <w:name w:val="标题 6 字符"/>
    <w:basedOn w:val="38"/>
    <w:link w:val="8"/>
    <w:qFormat/>
    <w:uiPriority w:val="0"/>
    <w:rPr>
      <w:rFonts w:ascii="Calibri" w:hAnsi="Calibri" w:eastAsia="宋体" w:cs="Times New Roman"/>
      <w:b/>
      <w:kern w:val="0"/>
      <w:szCs w:val="20"/>
    </w:rPr>
  </w:style>
  <w:style w:type="character" w:customStyle="1" w:styleId="53">
    <w:name w:val="标题 7 字符"/>
    <w:basedOn w:val="38"/>
    <w:link w:val="9"/>
    <w:qFormat/>
    <w:uiPriority w:val="0"/>
    <w:rPr>
      <w:rFonts w:ascii="Calibri" w:hAnsi="Calibri" w:eastAsia="宋体" w:cs="Times New Roman"/>
      <w:kern w:val="0"/>
      <w:szCs w:val="20"/>
    </w:rPr>
  </w:style>
  <w:style w:type="character" w:customStyle="1" w:styleId="54">
    <w:name w:val="标题 8 字符"/>
    <w:basedOn w:val="38"/>
    <w:link w:val="10"/>
    <w:qFormat/>
    <w:uiPriority w:val="0"/>
    <w:rPr>
      <w:rFonts w:ascii="Calibri" w:hAnsi="Calibri" w:eastAsia="宋体" w:cs="Times New Roman"/>
      <w:kern w:val="0"/>
      <w:szCs w:val="20"/>
    </w:rPr>
  </w:style>
  <w:style w:type="character" w:customStyle="1" w:styleId="55">
    <w:name w:val="标题 9 字符"/>
    <w:basedOn w:val="38"/>
    <w:link w:val="11"/>
    <w:qFormat/>
    <w:uiPriority w:val="0"/>
    <w:rPr>
      <w:rFonts w:ascii="Calibri" w:hAnsi="Calibri" w:eastAsia="宋体" w:cs="Times New Roman"/>
      <w:kern w:val="0"/>
      <w:szCs w:val="20"/>
    </w:rPr>
  </w:style>
  <w:style w:type="character" w:customStyle="1" w:styleId="56">
    <w:name w:val="页眉 字符"/>
    <w:qFormat/>
    <w:uiPriority w:val="0"/>
    <w:rPr>
      <w:kern w:val="2"/>
      <w:sz w:val="18"/>
      <w:szCs w:val="18"/>
    </w:rPr>
  </w:style>
  <w:style w:type="character" w:customStyle="1" w:styleId="57">
    <w:name w:val="不明显参考1"/>
    <w:qFormat/>
    <w:uiPriority w:val="0"/>
    <w:rPr>
      <w:color w:val="auto"/>
      <w:sz w:val="21"/>
    </w:rPr>
  </w:style>
  <w:style w:type="character" w:customStyle="1" w:styleId="58">
    <w:name w:val="引用 字符"/>
    <w:link w:val="59"/>
    <w:qFormat/>
    <w:uiPriority w:val="0"/>
    <w:rPr>
      <w:rFonts w:ascii="Calibri" w:hAnsi="Calibri"/>
      <w:i/>
    </w:rPr>
  </w:style>
  <w:style w:type="paragraph" w:styleId="59">
    <w:name w:val="Quote"/>
    <w:next w:val="1"/>
    <w:link w:val="58"/>
    <w:qFormat/>
    <w:uiPriority w:val="0"/>
    <w:pPr>
      <w:wordWrap w:val="0"/>
      <w:spacing w:before="200" w:after="160"/>
      <w:ind w:left="864" w:right="864"/>
      <w:jc w:val="center"/>
    </w:pPr>
    <w:rPr>
      <w:rFonts w:ascii="Calibri" w:hAnsi="Calibri" w:eastAsiaTheme="minorEastAsia" w:cstheme="minorBidi"/>
      <w:i/>
      <w:kern w:val="2"/>
      <w:sz w:val="21"/>
      <w:szCs w:val="22"/>
      <w:lang w:val="en-US" w:eastAsia="zh-CN" w:bidi="ar-SA"/>
    </w:rPr>
  </w:style>
  <w:style w:type="character" w:customStyle="1" w:styleId="60">
    <w:name w:val="明显强调1"/>
    <w:qFormat/>
    <w:uiPriority w:val="0"/>
    <w:rPr>
      <w:i/>
      <w:color w:val="auto"/>
      <w:sz w:val="21"/>
    </w:rPr>
  </w:style>
  <w:style w:type="character" w:customStyle="1" w:styleId="61">
    <w:name w:val="正文文本 3 字符"/>
    <w:link w:val="16"/>
    <w:qFormat/>
    <w:uiPriority w:val="99"/>
    <w:rPr>
      <w:sz w:val="16"/>
      <w:szCs w:val="16"/>
    </w:rPr>
  </w:style>
  <w:style w:type="character" w:customStyle="1" w:styleId="62">
    <w:name w:val="副标题 字符"/>
    <w:link w:val="30"/>
    <w:qFormat/>
    <w:uiPriority w:val="0"/>
    <w:rPr>
      <w:rFonts w:ascii="Calibri" w:hAnsi="Calibri"/>
      <w:sz w:val="24"/>
    </w:rPr>
  </w:style>
  <w:style w:type="character" w:customStyle="1" w:styleId="63">
    <w:name w:val="明显参考1"/>
    <w:qFormat/>
    <w:uiPriority w:val="0"/>
    <w:rPr>
      <w:b/>
      <w:color w:val="auto"/>
      <w:sz w:val="21"/>
    </w:rPr>
  </w:style>
  <w:style w:type="character" w:customStyle="1" w:styleId="64">
    <w:name w:val="批注主题 字符"/>
    <w:link w:val="12"/>
    <w:qFormat/>
    <w:uiPriority w:val="0"/>
    <w:rPr>
      <w:b/>
      <w:bCs/>
    </w:rPr>
  </w:style>
  <w:style w:type="character" w:customStyle="1" w:styleId="65">
    <w:name w:val="页脚 字符1"/>
    <w:link w:val="26"/>
    <w:qFormat/>
    <w:uiPriority w:val="0"/>
    <w:rPr>
      <w:sz w:val="18"/>
    </w:rPr>
  </w:style>
  <w:style w:type="character" w:customStyle="1" w:styleId="66">
    <w:name w:val="Hyperlink.0"/>
    <w:qFormat/>
    <w:uiPriority w:val="0"/>
    <w:rPr>
      <w:rFonts w:ascii="方正仿宋简体" w:hAnsi="方正仿宋简体" w:eastAsia="方正仿宋简体" w:cs="方正仿宋简体"/>
      <w:sz w:val="32"/>
      <w:szCs w:val="32"/>
      <w:lang w:val="en-US"/>
    </w:rPr>
  </w:style>
  <w:style w:type="character" w:customStyle="1" w:styleId="67">
    <w:name w:val="批注文字 字符"/>
    <w:link w:val="13"/>
    <w:qFormat/>
    <w:uiPriority w:val="0"/>
  </w:style>
  <w:style w:type="character" w:customStyle="1" w:styleId="68">
    <w:name w:val="样式 (符号) 宋体 小四"/>
    <w:qFormat/>
    <w:uiPriority w:val="0"/>
    <w:rPr>
      <w:rFonts w:eastAsia="宋体"/>
      <w:sz w:val="24"/>
    </w:rPr>
  </w:style>
  <w:style w:type="character" w:customStyle="1" w:styleId="69">
    <w:name w:val="high-light-bg4"/>
    <w:basedOn w:val="38"/>
    <w:qFormat/>
    <w:uiPriority w:val="0"/>
  </w:style>
  <w:style w:type="character" w:customStyle="1" w:styleId="70">
    <w:name w:val="无"/>
    <w:qFormat/>
    <w:uiPriority w:val="0"/>
  </w:style>
  <w:style w:type="character" w:customStyle="1" w:styleId="71">
    <w:name w:val="unnamed11"/>
    <w:qFormat/>
    <w:uiPriority w:val="0"/>
    <w:rPr>
      <w:spacing w:val="12"/>
      <w:sz w:val="22"/>
      <w:szCs w:val="22"/>
    </w:rPr>
  </w:style>
  <w:style w:type="character" w:customStyle="1" w:styleId="72">
    <w:name w:val="页眉 字符1"/>
    <w:link w:val="27"/>
    <w:qFormat/>
    <w:uiPriority w:val="0"/>
    <w:rPr>
      <w:sz w:val="18"/>
      <w:szCs w:val="18"/>
    </w:rPr>
  </w:style>
  <w:style w:type="character" w:customStyle="1" w:styleId="73">
    <w:name w:val="正文文本缩进 2 字符"/>
    <w:link w:val="24"/>
    <w:qFormat/>
    <w:uiPriority w:val="0"/>
  </w:style>
  <w:style w:type="character" w:customStyle="1" w:styleId="74">
    <w:name w:val="标题 3 字符1"/>
    <w:link w:val="5"/>
    <w:qFormat/>
    <w:locked/>
    <w:uiPriority w:val="0"/>
    <w:rPr>
      <w:rFonts w:ascii="Times New Roman" w:hAnsi="Times New Roman" w:eastAsia="宋体" w:cs="Times New Roman"/>
      <w:b/>
      <w:bCs/>
      <w:sz w:val="30"/>
      <w:szCs w:val="32"/>
    </w:rPr>
  </w:style>
  <w:style w:type="character" w:customStyle="1" w:styleId="75">
    <w:name w:val="三级条标题 Char"/>
    <w:link w:val="76"/>
    <w:qFormat/>
    <w:uiPriority w:val="0"/>
    <w:rPr>
      <w:rFonts w:eastAsia="黑体"/>
    </w:rPr>
  </w:style>
  <w:style w:type="paragraph" w:customStyle="1" w:styleId="76">
    <w:name w:val="三级条标题"/>
    <w:basedOn w:val="1"/>
    <w:next w:val="1"/>
    <w:link w:val="75"/>
    <w:qFormat/>
    <w:uiPriority w:val="0"/>
    <w:pPr>
      <w:widowControl/>
      <w:ind w:left="945"/>
      <w:jc w:val="left"/>
      <w:outlineLvl w:val="4"/>
    </w:pPr>
    <w:rPr>
      <w:rFonts w:eastAsia="黑体"/>
    </w:rPr>
  </w:style>
  <w:style w:type="character" w:customStyle="1" w:styleId="77">
    <w:name w:val="样式 宋体 小四"/>
    <w:qFormat/>
    <w:uiPriority w:val="0"/>
    <w:rPr>
      <w:rFonts w:ascii="宋体" w:hAnsi="宋体" w:eastAsia="宋体"/>
      <w:sz w:val="21"/>
    </w:rPr>
  </w:style>
  <w:style w:type="character" w:customStyle="1" w:styleId="78">
    <w:name w:val="clabel1"/>
    <w:qFormat/>
    <w:uiPriority w:val="0"/>
    <w:rPr>
      <w:color w:val="FF0000"/>
    </w:rPr>
  </w:style>
  <w:style w:type="character" w:customStyle="1" w:styleId="79">
    <w:name w:val="纯文本 字符"/>
    <w:link w:val="21"/>
    <w:qFormat/>
    <w:uiPriority w:val="0"/>
    <w:rPr>
      <w:rFonts w:ascii="宋体" w:hAnsi="Courier New" w:eastAsia="宋体" w:cs="Courier New"/>
      <w:szCs w:val="21"/>
    </w:rPr>
  </w:style>
  <w:style w:type="character" w:customStyle="1" w:styleId="80">
    <w:name w:val="页脚 字符"/>
    <w:qFormat/>
    <w:uiPriority w:val="99"/>
    <w:rPr>
      <w:kern w:val="2"/>
      <w:sz w:val="18"/>
    </w:rPr>
  </w:style>
  <w:style w:type="character" w:customStyle="1" w:styleId="81">
    <w:name w:val="标题 3 字符"/>
    <w:qFormat/>
    <w:locked/>
    <w:uiPriority w:val="0"/>
    <w:rPr>
      <w:rFonts w:eastAsia="宋体"/>
      <w:b/>
      <w:bCs/>
      <w:kern w:val="2"/>
      <w:sz w:val="30"/>
      <w:szCs w:val="32"/>
      <w:lang w:val="en-US" w:eastAsia="zh-CN" w:bidi="ar-SA"/>
    </w:rPr>
  </w:style>
  <w:style w:type="character" w:customStyle="1" w:styleId="82">
    <w:name w:val="书籍标题1"/>
    <w:qFormat/>
    <w:uiPriority w:val="0"/>
    <w:rPr>
      <w:b/>
      <w:i/>
      <w:sz w:val="21"/>
    </w:rPr>
  </w:style>
  <w:style w:type="character" w:customStyle="1" w:styleId="83">
    <w:name w:val="word131"/>
    <w:qFormat/>
    <w:uiPriority w:val="0"/>
    <w:rPr>
      <w:color w:val="333333"/>
      <w:sz w:val="20"/>
      <w:u w:val="none"/>
    </w:rPr>
  </w:style>
  <w:style w:type="character" w:customStyle="1" w:styleId="84">
    <w:name w:val="不明显强调1"/>
    <w:qFormat/>
    <w:uiPriority w:val="0"/>
    <w:rPr>
      <w:i/>
      <w:color w:val="808080"/>
      <w:sz w:val="20"/>
    </w:rPr>
  </w:style>
  <w:style w:type="character" w:customStyle="1" w:styleId="85">
    <w:name w:val="正文文本缩进 3 字符"/>
    <w:link w:val="33"/>
    <w:qFormat/>
    <w:uiPriority w:val="0"/>
    <w:rPr>
      <w:rFonts w:ascii="仿宋_GB2312" w:hAnsi="Calibri" w:eastAsia="仿宋_GB2312"/>
      <w:color w:val="000000"/>
      <w:sz w:val="24"/>
    </w:rPr>
  </w:style>
  <w:style w:type="character" w:customStyle="1" w:styleId="86">
    <w:name w:val="明显引用 字符"/>
    <w:link w:val="87"/>
    <w:qFormat/>
    <w:uiPriority w:val="0"/>
    <w:rPr>
      <w:rFonts w:ascii="Calibri" w:hAnsi="Calibri"/>
      <w:i/>
    </w:rPr>
  </w:style>
  <w:style w:type="paragraph" w:styleId="87">
    <w:name w:val="Intense Quote"/>
    <w:next w:val="1"/>
    <w:link w:val="86"/>
    <w:qFormat/>
    <w:uiPriority w:val="0"/>
    <w:pPr>
      <w:wordWrap w:val="0"/>
      <w:spacing w:before="360" w:after="360"/>
      <w:ind w:left="950" w:right="950"/>
      <w:jc w:val="center"/>
    </w:pPr>
    <w:rPr>
      <w:rFonts w:ascii="Calibri" w:hAnsi="Calibri" w:eastAsiaTheme="minorEastAsia" w:cstheme="minorBidi"/>
      <w:i/>
      <w:kern w:val="2"/>
      <w:sz w:val="21"/>
      <w:szCs w:val="22"/>
      <w:lang w:val="en-US" w:eastAsia="zh-CN" w:bidi="ar-SA"/>
    </w:rPr>
  </w:style>
  <w:style w:type="character" w:customStyle="1" w:styleId="88">
    <w:name w:val="批注文字 Char1"/>
    <w:basedOn w:val="38"/>
    <w:semiHidden/>
    <w:qFormat/>
    <w:uiPriority w:val="99"/>
  </w:style>
  <w:style w:type="character" w:customStyle="1" w:styleId="89">
    <w:name w:val="正文文本 字符"/>
    <w:basedOn w:val="38"/>
    <w:link w:val="17"/>
    <w:qFormat/>
    <w:uiPriority w:val="0"/>
    <w:rPr>
      <w:rFonts w:ascii="宋体" w:hAnsi="宋体" w:eastAsia="宋体" w:cs="Times New Roman"/>
      <w:i/>
      <w:iCs/>
      <w:szCs w:val="21"/>
    </w:rPr>
  </w:style>
  <w:style w:type="character" w:customStyle="1" w:styleId="90">
    <w:name w:val="纯文本 Char1"/>
    <w:basedOn w:val="38"/>
    <w:semiHidden/>
    <w:qFormat/>
    <w:uiPriority w:val="99"/>
    <w:rPr>
      <w:rFonts w:ascii="宋体" w:hAnsi="Courier New" w:eastAsia="宋体" w:cs="Courier New"/>
      <w:szCs w:val="21"/>
    </w:rPr>
  </w:style>
  <w:style w:type="character" w:customStyle="1" w:styleId="91">
    <w:name w:val="正文文本缩进 字符"/>
    <w:basedOn w:val="38"/>
    <w:link w:val="18"/>
    <w:qFormat/>
    <w:uiPriority w:val="0"/>
    <w:rPr>
      <w:rFonts w:ascii="Times New Roman" w:hAnsi="Times New Roman" w:eastAsia="宋体" w:cs="Times New Roman"/>
      <w:szCs w:val="24"/>
    </w:rPr>
  </w:style>
  <w:style w:type="character" w:customStyle="1" w:styleId="92">
    <w:name w:val="文档结构图 字符"/>
    <w:basedOn w:val="38"/>
    <w:link w:val="15"/>
    <w:qFormat/>
    <w:uiPriority w:val="0"/>
    <w:rPr>
      <w:rFonts w:ascii="Times New Roman" w:hAnsi="Times New Roman" w:eastAsia="宋体" w:cs="Times New Roman"/>
      <w:szCs w:val="20"/>
      <w:shd w:val="clear" w:color="auto" w:fill="000080"/>
    </w:rPr>
  </w:style>
  <w:style w:type="character" w:customStyle="1" w:styleId="93">
    <w:name w:val="正文文本 3 Char1"/>
    <w:basedOn w:val="38"/>
    <w:semiHidden/>
    <w:qFormat/>
    <w:uiPriority w:val="99"/>
    <w:rPr>
      <w:sz w:val="16"/>
      <w:szCs w:val="16"/>
    </w:rPr>
  </w:style>
  <w:style w:type="character" w:customStyle="1" w:styleId="94">
    <w:name w:val="批注框文本 字符"/>
    <w:basedOn w:val="38"/>
    <w:link w:val="25"/>
    <w:qFormat/>
    <w:uiPriority w:val="0"/>
    <w:rPr>
      <w:rFonts w:ascii="Times New Roman" w:hAnsi="Times New Roman" w:eastAsia="宋体" w:cs="Times New Roman"/>
      <w:sz w:val="18"/>
      <w:szCs w:val="18"/>
    </w:rPr>
  </w:style>
  <w:style w:type="character" w:customStyle="1" w:styleId="95">
    <w:name w:val="日期 字符"/>
    <w:basedOn w:val="38"/>
    <w:link w:val="23"/>
    <w:qFormat/>
    <w:uiPriority w:val="0"/>
    <w:rPr>
      <w:rFonts w:ascii="Times New Roman" w:hAnsi="Times New Roman" w:eastAsia="宋体" w:cs="Times New Roman"/>
      <w:szCs w:val="20"/>
    </w:rPr>
  </w:style>
  <w:style w:type="character" w:customStyle="1" w:styleId="96">
    <w:name w:val="正文文本 2 字符"/>
    <w:basedOn w:val="38"/>
    <w:link w:val="36"/>
    <w:qFormat/>
    <w:uiPriority w:val="0"/>
    <w:rPr>
      <w:rFonts w:ascii="Times New Roman" w:hAnsi="Times New Roman" w:eastAsia="宋体" w:cs="Times New Roman"/>
      <w:szCs w:val="20"/>
    </w:rPr>
  </w:style>
  <w:style w:type="character" w:customStyle="1" w:styleId="97">
    <w:name w:val="页眉 Char1"/>
    <w:basedOn w:val="38"/>
    <w:semiHidden/>
    <w:qFormat/>
    <w:uiPriority w:val="99"/>
    <w:rPr>
      <w:sz w:val="18"/>
      <w:szCs w:val="18"/>
    </w:rPr>
  </w:style>
  <w:style w:type="character" w:customStyle="1" w:styleId="98">
    <w:name w:val="正文文本缩进 2 Char1"/>
    <w:basedOn w:val="38"/>
    <w:semiHidden/>
    <w:qFormat/>
    <w:uiPriority w:val="99"/>
  </w:style>
  <w:style w:type="character" w:customStyle="1" w:styleId="99">
    <w:name w:val="页脚 Char1"/>
    <w:basedOn w:val="38"/>
    <w:semiHidden/>
    <w:qFormat/>
    <w:uiPriority w:val="99"/>
    <w:rPr>
      <w:sz w:val="18"/>
      <w:szCs w:val="18"/>
    </w:rPr>
  </w:style>
  <w:style w:type="character" w:customStyle="1" w:styleId="100">
    <w:name w:val="副标题 Char1"/>
    <w:basedOn w:val="38"/>
    <w:qFormat/>
    <w:uiPriority w:val="11"/>
    <w:rPr>
      <w:rFonts w:eastAsia="宋体" w:asciiTheme="majorHAnsi" w:hAnsiTheme="majorHAnsi" w:cstheme="majorBidi"/>
      <w:b/>
      <w:bCs/>
      <w:kern w:val="28"/>
      <w:sz w:val="32"/>
      <w:szCs w:val="32"/>
    </w:rPr>
  </w:style>
  <w:style w:type="character" w:customStyle="1" w:styleId="101">
    <w:name w:val="批注主题 Char1"/>
    <w:basedOn w:val="88"/>
    <w:semiHidden/>
    <w:qFormat/>
    <w:uiPriority w:val="99"/>
    <w:rPr>
      <w:b/>
      <w:bCs/>
    </w:rPr>
  </w:style>
  <w:style w:type="character" w:customStyle="1" w:styleId="102">
    <w:name w:val="正文文本缩进 3 Char1"/>
    <w:basedOn w:val="38"/>
    <w:semiHidden/>
    <w:qFormat/>
    <w:uiPriority w:val="99"/>
    <w:rPr>
      <w:sz w:val="16"/>
      <w:szCs w:val="16"/>
    </w:rPr>
  </w:style>
  <w:style w:type="paragraph" w:customStyle="1" w:styleId="103">
    <w:name w:val="列出段落1"/>
    <w:basedOn w:val="1"/>
    <w:qFormat/>
    <w:uiPriority w:val="0"/>
    <w:pPr>
      <w:ind w:firstLine="420" w:firstLineChars="200"/>
    </w:pPr>
    <w:rPr>
      <w:rFonts w:ascii="Calibri" w:hAnsi="Calibri" w:eastAsia="宋体" w:cs="Calibri"/>
      <w:szCs w:val="21"/>
    </w:rPr>
  </w:style>
  <w:style w:type="paragraph" w:customStyle="1" w:styleId="104">
    <w:name w:val="样式 样式 样式 样式 样式 标题 2 + 首行缩进:  2 字符 + 首行缩进:  2 字符1 + 首行缩进:  2 字符 +..."/>
    <w:basedOn w:val="1"/>
    <w:qFormat/>
    <w:uiPriority w:val="0"/>
    <w:pPr>
      <w:keepNext/>
      <w:keepLines/>
      <w:autoSpaceDE w:val="0"/>
      <w:autoSpaceDN w:val="0"/>
      <w:adjustRightInd w:val="0"/>
      <w:spacing w:before="100" w:beforeAutospacing="1" w:after="100" w:afterAutospacing="1" w:line="360" w:lineRule="auto"/>
      <w:outlineLvl w:val="1"/>
    </w:pPr>
    <w:rPr>
      <w:rFonts w:ascii="Arial" w:hAnsi="Arial" w:eastAsia="黑体" w:cs="宋体"/>
      <w:kern w:val="0"/>
      <w:sz w:val="28"/>
      <w:szCs w:val="20"/>
    </w:rPr>
  </w:style>
  <w:style w:type="paragraph" w:customStyle="1" w:styleId="105">
    <w:name w:val="样式 标题 1 + 段前: 0 磅 段后: 0 磅 行距: 单倍行距"/>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06">
    <w:name w:val="样式 标题 1 + (西文) Times New Roman (中文) 黑体 左 段前: 12 磅 段后: 12 磅 ..."/>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07">
    <w:name w:val="样式 标题 1 + 首行缩进:  2 字符3"/>
    <w:basedOn w:val="3"/>
    <w:qFormat/>
    <w:uiPriority w:val="0"/>
    <w:pPr>
      <w:keepNext w:val="0"/>
      <w:keepLines w:val="0"/>
      <w:widowControl/>
      <w:spacing w:before="100" w:after="100" w:line="240" w:lineRule="auto"/>
      <w:jc w:val="left"/>
    </w:pPr>
    <w:rPr>
      <w:rFonts w:ascii="宋体" w:hAnsi="宋体" w:cs="宋体"/>
      <w:b w:val="0"/>
      <w:bCs w:val="0"/>
      <w:kern w:val="36"/>
      <w:sz w:val="21"/>
      <w:szCs w:val="20"/>
    </w:rPr>
  </w:style>
  <w:style w:type="paragraph" w:customStyle="1" w:styleId="108">
    <w:name w:val="样式 标题 3 + 黑色"/>
    <w:basedOn w:val="5"/>
    <w:qFormat/>
    <w:uiPriority w:val="0"/>
    <w:pPr>
      <w:keepLines w:val="0"/>
      <w:widowControl/>
      <w:tabs>
        <w:tab w:val="left" w:pos="720"/>
      </w:tabs>
      <w:overflowPunct w:val="0"/>
      <w:autoSpaceDE w:val="0"/>
      <w:autoSpaceDN w:val="0"/>
      <w:adjustRightInd w:val="0"/>
      <w:ind w:firstLine="200" w:firstLineChars="200"/>
      <w:jc w:val="center"/>
      <w:textAlignment w:val="baseline"/>
    </w:pPr>
    <w:rPr>
      <w:rFonts w:cs="宋体"/>
      <w:b w:val="0"/>
      <w:color w:val="000000"/>
      <w:sz w:val="28"/>
      <w:szCs w:val="20"/>
    </w:rPr>
  </w:style>
  <w:style w:type="paragraph" w:styleId="109">
    <w:name w:val="List Paragraph"/>
    <w:basedOn w:val="1"/>
    <w:qFormat/>
    <w:uiPriority w:val="34"/>
    <w:pPr>
      <w:ind w:firstLine="420" w:firstLineChars="200"/>
    </w:pPr>
    <w:rPr>
      <w:rFonts w:ascii="Calibri" w:hAnsi="Calibri" w:eastAsia="宋体" w:cs="Times New Roman"/>
    </w:rPr>
  </w:style>
  <w:style w:type="paragraph" w:customStyle="1" w:styleId="110">
    <w:name w:val="列出段落12"/>
    <w:basedOn w:val="1"/>
    <w:qFormat/>
    <w:uiPriority w:val="0"/>
    <w:pPr>
      <w:ind w:firstLine="420" w:firstLineChars="200"/>
    </w:pPr>
    <w:rPr>
      <w:rFonts w:ascii="Calibri" w:hAnsi="Calibri" w:eastAsia="宋体" w:cs="Times New Roman"/>
    </w:rPr>
  </w:style>
  <w:style w:type="paragraph" w:customStyle="1" w:styleId="111">
    <w:name w:val="样式 标题 3 + 段前: 12 磅 段后: 12 磅 行距: 1.5 倍行距 首行缩进:  2 字符"/>
    <w:basedOn w:val="5"/>
    <w:qFormat/>
    <w:uiPriority w:val="0"/>
    <w:pPr>
      <w:jc w:val="center"/>
    </w:pPr>
    <w:rPr>
      <w:rFonts w:cs="宋体"/>
      <w:b w:val="0"/>
      <w:sz w:val="28"/>
      <w:szCs w:val="20"/>
    </w:rPr>
  </w:style>
  <w:style w:type="paragraph" w:customStyle="1" w:styleId="112">
    <w:name w:val="表文"/>
    <w:basedOn w:val="1"/>
    <w:qFormat/>
    <w:uiPriority w:val="0"/>
    <w:pPr>
      <w:topLinePunct/>
    </w:pPr>
    <w:rPr>
      <w:rFonts w:ascii="Times New Roman" w:hAnsi="Times New Roman" w:eastAsia="宋体" w:cs="Times New Roman"/>
      <w:kern w:val="0"/>
      <w:sz w:val="18"/>
      <w:szCs w:val="18"/>
    </w:rPr>
  </w:style>
  <w:style w:type="paragraph" w:customStyle="1" w:styleId="113">
    <w:name w:val="段"/>
    <w:link w:val="178"/>
    <w:qFormat/>
    <w:uiPriority w:val="0"/>
    <w:pPr>
      <w:autoSpaceDE w:val="0"/>
      <w:autoSpaceDN w:val="0"/>
      <w:jc w:val="center"/>
    </w:pPr>
    <w:rPr>
      <w:rFonts w:ascii="宋体" w:hAnsi="Times New Roman" w:eastAsia="宋体" w:cs="Times New Roman"/>
      <w:sz w:val="21"/>
      <w:lang w:val="en-US" w:eastAsia="zh-CN" w:bidi="ar-SA"/>
    </w:rPr>
  </w:style>
  <w:style w:type="paragraph" w:customStyle="1" w:styleId="114">
    <w:name w:val="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15">
    <w:name w:val="样式 标题 1 + 行距: 1.5 倍行距"/>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16">
    <w:name w:val="样式 标题 2 + 小三"/>
    <w:basedOn w:val="4"/>
    <w:qFormat/>
    <w:uiPriority w:val="0"/>
    <w:pPr>
      <w:keepNext w:val="0"/>
      <w:spacing w:before="240" w:after="240" w:line="360" w:lineRule="auto"/>
    </w:pPr>
    <w:rPr>
      <w:b w:val="0"/>
      <w:sz w:val="30"/>
    </w:rPr>
  </w:style>
  <w:style w:type="paragraph" w:customStyle="1" w:styleId="117">
    <w:name w:val="样式 样式 样式 样式 样式 标题 1 + 首行缩进:  2 字符 + 首行缩进:  2 字符 + 首行缩进:  2 字符 + ..."/>
    <w:basedOn w:val="1"/>
    <w:qFormat/>
    <w:uiPriority w:val="0"/>
    <w:pPr>
      <w:keepNext/>
      <w:keepLines/>
      <w:autoSpaceDE w:val="0"/>
      <w:autoSpaceDN w:val="0"/>
      <w:adjustRightInd w:val="0"/>
      <w:spacing w:before="100" w:beforeAutospacing="1" w:after="100" w:afterAutospacing="1" w:line="360" w:lineRule="auto"/>
      <w:outlineLvl w:val="0"/>
    </w:pPr>
    <w:rPr>
      <w:rFonts w:ascii="Calibri" w:hAnsi="Calibri" w:eastAsia="黑体" w:cs="宋体"/>
      <w:b/>
      <w:bCs/>
      <w:kern w:val="44"/>
      <w:sz w:val="32"/>
      <w:szCs w:val="20"/>
    </w:rPr>
  </w:style>
  <w:style w:type="paragraph" w:customStyle="1" w:styleId="118">
    <w:name w:val="样式 标题 1 + 三号"/>
    <w:basedOn w:val="3"/>
    <w:qFormat/>
    <w:uiPriority w:val="0"/>
    <w:pPr>
      <w:keepNext w:val="0"/>
      <w:keepLines w:val="0"/>
      <w:widowControl/>
      <w:spacing w:before="0" w:after="0" w:line="240" w:lineRule="auto"/>
      <w:jc w:val="left"/>
    </w:pPr>
    <w:rPr>
      <w:rFonts w:cs="宋体"/>
      <w:kern w:val="36"/>
      <w:sz w:val="32"/>
      <w:szCs w:val="48"/>
    </w:rPr>
  </w:style>
  <w:style w:type="paragraph" w:customStyle="1" w:styleId="119">
    <w:name w:val="样式 样式 标题 3 + 黑色 + 首行缩进:  2 字符"/>
    <w:basedOn w:val="108"/>
    <w:qFormat/>
    <w:uiPriority w:val="0"/>
    <w:pPr>
      <w:spacing w:beforeAutospacing="1" w:afterAutospacing="1"/>
      <w:ind w:firstLine="643"/>
    </w:pPr>
    <w:rPr>
      <w:kern w:val="0"/>
    </w:rPr>
  </w:style>
  <w:style w:type="paragraph" w:customStyle="1" w:styleId="120">
    <w:name w:val="样式 标题 1 + 首行缩进:  2 字符1"/>
    <w:basedOn w:val="3"/>
    <w:qFormat/>
    <w:uiPriority w:val="0"/>
    <w:pPr>
      <w:keepNext w:val="0"/>
      <w:keepLines w:val="0"/>
      <w:widowControl/>
      <w:spacing w:before="0" w:after="0" w:line="240" w:lineRule="auto"/>
    </w:pPr>
    <w:rPr>
      <w:rFonts w:ascii="宋体" w:hAnsi="宋体" w:cs="宋体"/>
      <w:bCs w:val="0"/>
      <w:kern w:val="36"/>
      <w:sz w:val="21"/>
      <w:szCs w:val="20"/>
    </w:rPr>
  </w:style>
  <w:style w:type="paragraph" w:customStyle="1" w:styleId="121">
    <w:name w:val="样式 样式 标题 1 + 首行缩进:  2 字符 + 首行缩进:  2 字符"/>
    <w:basedOn w:val="122"/>
    <w:qFormat/>
    <w:uiPriority w:val="0"/>
    <w:pPr>
      <w:ind w:firstLine="0" w:firstLineChars="0"/>
    </w:pPr>
  </w:style>
  <w:style w:type="paragraph" w:customStyle="1" w:styleId="122">
    <w:name w:val="样式 标题 1 + 首行缩进:  2 字符"/>
    <w:basedOn w:val="3"/>
    <w:qFormat/>
    <w:uiPriority w:val="0"/>
    <w:pPr>
      <w:keepNext w:val="0"/>
      <w:keepLines w:val="0"/>
      <w:widowControl/>
      <w:spacing w:before="0" w:after="0" w:line="240" w:lineRule="auto"/>
      <w:ind w:firstLine="562" w:firstLineChars="200"/>
      <w:jc w:val="left"/>
    </w:pPr>
    <w:rPr>
      <w:rFonts w:ascii="宋体" w:hAnsi="宋体" w:cs="宋体"/>
      <w:b w:val="0"/>
      <w:bCs w:val="0"/>
      <w:kern w:val="36"/>
      <w:sz w:val="21"/>
      <w:szCs w:val="20"/>
    </w:rPr>
  </w:style>
  <w:style w:type="paragraph" w:customStyle="1" w:styleId="123">
    <w:name w:val="样式 样式 样式 标题 1 + 首行缩进:  2 字符 + 首行缩进:  2 字符 + 首行缩进:  2 字符"/>
    <w:basedOn w:val="121"/>
    <w:qFormat/>
    <w:uiPriority w:val="0"/>
    <w:pPr>
      <w:spacing w:beforeAutospacing="1" w:afterAutospacing="1"/>
      <w:ind w:firstLine="643"/>
    </w:pPr>
    <w:rPr>
      <w:bCs/>
    </w:rPr>
  </w:style>
  <w:style w:type="paragraph" w:customStyle="1" w:styleId="124">
    <w:name w:val="样式 样式 样式 样式 标题 1 + 首行缩进:  2 字符 + 首行缩进:  2 字符 + 首行缩进:  2 字符 + 首行缩...1"/>
    <w:basedOn w:val="123"/>
    <w:qFormat/>
    <w:uiPriority w:val="0"/>
    <w:pPr>
      <w:spacing w:before="100" w:after="100"/>
      <w:ind w:firstLine="0"/>
      <w:jc w:val="both"/>
    </w:pPr>
    <w:rPr>
      <w:rFonts w:ascii="Calibri" w:hAnsi="Calibri"/>
      <w:bCs w:val="0"/>
    </w:rPr>
  </w:style>
  <w:style w:type="paragraph" w:customStyle="1" w:styleId="125">
    <w:name w:val="样式 标题 3 + (中文) 黑体 四号"/>
    <w:basedOn w:val="5"/>
    <w:qFormat/>
    <w:uiPriority w:val="0"/>
    <w:pPr>
      <w:jc w:val="center"/>
    </w:pPr>
    <w:rPr>
      <w:b w:val="0"/>
      <w:kern w:val="0"/>
      <w:sz w:val="28"/>
      <w:szCs w:val="28"/>
    </w:rPr>
  </w:style>
  <w:style w:type="paragraph" w:customStyle="1" w:styleId="126">
    <w:name w:val="样式 标题 2 + 段前: 12 磅 段后: 12 磅 行距: 1.5 倍行距"/>
    <w:basedOn w:val="4"/>
    <w:qFormat/>
    <w:uiPriority w:val="0"/>
    <w:pPr>
      <w:keepNext w:val="0"/>
      <w:adjustRightInd w:val="0"/>
      <w:spacing w:before="240" w:after="240" w:line="360" w:lineRule="auto"/>
    </w:pPr>
    <w:rPr>
      <w:rFonts w:ascii="Cambria" w:hAnsi="Cambria" w:cs="宋体"/>
      <w:b w:val="0"/>
      <w:sz w:val="28"/>
      <w:szCs w:val="20"/>
    </w:rPr>
  </w:style>
  <w:style w:type="paragraph" w:customStyle="1" w:styleId="127">
    <w:name w:val="样式 标题 1 + 加粗 首行缩进:  2 字符"/>
    <w:basedOn w:val="3"/>
    <w:qFormat/>
    <w:uiPriority w:val="0"/>
    <w:pPr>
      <w:keepNext w:val="0"/>
      <w:keepLines w:val="0"/>
      <w:widowControl/>
      <w:spacing w:before="0" w:after="0" w:line="240" w:lineRule="auto"/>
      <w:ind w:firstLine="643"/>
      <w:jc w:val="left"/>
    </w:pPr>
    <w:rPr>
      <w:rFonts w:ascii="宋体" w:hAnsi="宋体" w:cs="宋体"/>
      <w:kern w:val="36"/>
      <w:sz w:val="21"/>
      <w:szCs w:val="20"/>
    </w:rPr>
  </w:style>
  <w:style w:type="paragraph" w:customStyle="1" w:styleId="128">
    <w:name w:val="样式 标题 2 + 首行缩进:  2 字符"/>
    <w:basedOn w:val="4"/>
    <w:qFormat/>
    <w:uiPriority w:val="0"/>
    <w:pPr>
      <w:keepNext w:val="0"/>
      <w:spacing w:before="240" w:after="240" w:line="360" w:lineRule="auto"/>
      <w:ind w:firstLine="562"/>
    </w:pPr>
    <w:rPr>
      <w:rFonts w:cs="宋体"/>
      <w:sz w:val="28"/>
      <w:szCs w:val="20"/>
    </w:rPr>
  </w:style>
  <w:style w:type="paragraph" w:customStyle="1" w:styleId="129">
    <w:name w:val="xl32"/>
    <w:basedOn w:val="1"/>
    <w:next w:val="32"/>
    <w:qFormat/>
    <w:uiPriority w:val="0"/>
    <w:pPr>
      <w:widowControl/>
      <w:spacing w:before="280" w:after="280"/>
    </w:pPr>
    <w:rPr>
      <w:rFonts w:ascii="宋体" w:hAnsi="Calibri" w:eastAsia="宋体" w:cs="Times New Roman"/>
      <w:kern w:val="0"/>
      <w:sz w:val="32"/>
      <w:szCs w:val="20"/>
    </w:rPr>
  </w:style>
  <w:style w:type="paragraph" w:customStyle="1" w:styleId="130">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31">
    <w:name w:val="xl31"/>
    <w:basedOn w:val="1"/>
    <w:next w:val="1"/>
    <w:qFormat/>
    <w:uiPriority w:val="0"/>
    <w:pPr>
      <w:widowControl/>
      <w:spacing w:before="280" w:after="280"/>
    </w:pPr>
    <w:rPr>
      <w:rFonts w:ascii="宋体" w:hAnsi="Calibri" w:eastAsia="宋体" w:cs="Times New Roman"/>
      <w:kern w:val="0"/>
      <w:sz w:val="32"/>
      <w:szCs w:val="20"/>
    </w:rPr>
  </w:style>
  <w:style w:type="paragraph" w:customStyle="1" w:styleId="132">
    <w:name w:val="样式 样式 标题 2 + 小三 + 首行缩进:  2 字符 段前: 7.8 磅 段后: 7.8 磅"/>
    <w:basedOn w:val="116"/>
    <w:qFormat/>
    <w:uiPriority w:val="0"/>
    <w:pPr>
      <w:keepNext/>
    </w:pPr>
    <w:rPr>
      <w:rFonts w:cs="宋体"/>
      <w:bCs w:val="0"/>
      <w:sz w:val="28"/>
      <w:szCs w:val="20"/>
    </w:rPr>
  </w:style>
  <w:style w:type="paragraph" w:customStyle="1" w:styleId="133">
    <w:name w:val="样式 标题 2 + 加粗 首行缩进:  2 字符"/>
    <w:basedOn w:val="4"/>
    <w:qFormat/>
    <w:uiPriority w:val="0"/>
    <w:pPr>
      <w:keepNext w:val="0"/>
      <w:spacing w:before="240" w:after="240" w:line="360" w:lineRule="auto"/>
      <w:ind w:firstLine="602"/>
    </w:pPr>
    <w:rPr>
      <w:b w:val="0"/>
      <w:sz w:val="28"/>
      <w:szCs w:val="20"/>
    </w:rPr>
  </w:style>
  <w:style w:type="paragraph" w:customStyle="1" w:styleId="134">
    <w:name w:val="样式 标题 1 + 加粗 居中 首行缩进:  2 字符"/>
    <w:basedOn w:val="3"/>
    <w:qFormat/>
    <w:uiPriority w:val="0"/>
    <w:pPr>
      <w:keepNext w:val="0"/>
      <w:keepLines w:val="0"/>
      <w:widowControl/>
      <w:spacing w:before="0" w:after="0" w:line="240" w:lineRule="auto"/>
      <w:ind w:firstLine="562" w:firstLineChars="200"/>
      <w:jc w:val="center"/>
    </w:pPr>
    <w:rPr>
      <w:rFonts w:ascii="宋体" w:hAnsi="宋体" w:cs="宋体"/>
      <w:kern w:val="36"/>
      <w:sz w:val="21"/>
      <w:szCs w:val="20"/>
    </w:rPr>
  </w:style>
  <w:style w:type="paragraph" w:customStyle="1" w:styleId="135">
    <w:name w:val="纯文本1"/>
    <w:basedOn w:val="1"/>
    <w:qFormat/>
    <w:uiPriority w:val="0"/>
    <w:pPr>
      <w:adjustRightInd w:val="0"/>
      <w:textAlignment w:val="baseline"/>
    </w:pPr>
    <w:rPr>
      <w:rFonts w:ascii="宋体" w:hAnsi="Courier New" w:eastAsia="宋体" w:cs="Times New Roman"/>
      <w:szCs w:val="20"/>
    </w:rPr>
  </w:style>
  <w:style w:type="paragraph" w:customStyle="1" w:styleId="136">
    <w:name w:val="样式 标题 2 +"/>
    <w:basedOn w:val="4"/>
    <w:qFormat/>
    <w:uiPriority w:val="0"/>
    <w:pPr>
      <w:spacing w:before="0" w:after="0" w:line="440" w:lineRule="exact"/>
      <w:ind w:firstLine="422" w:firstLineChars="200"/>
    </w:pPr>
    <w:rPr>
      <w:rFonts w:ascii="宋体" w:hAnsi="宋体" w:eastAsia="宋体"/>
      <w:bCs w:val="0"/>
      <w:sz w:val="21"/>
      <w:szCs w:val="20"/>
    </w:rPr>
  </w:style>
  <w:style w:type="paragraph" w:customStyle="1" w:styleId="137">
    <w:name w:val="样式 标题 3 + 首行缩进:  0 字符"/>
    <w:basedOn w:val="5"/>
    <w:qFormat/>
    <w:uiPriority w:val="0"/>
    <w:pPr>
      <w:adjustRightInd w:val="0"/>
      <w:jc w:val="center"/>
    </w:pPr>
    <w:rPr>
      <w:rFonts w:cs="宋体"/>
      <w:b w:val="0"/>
      <w:bCs w:val="0"/>
      <w:sz w:val="28"/>
      <w:szCs w:val="20"/>
    </w:rPr>
  </w:style>
  <w:style w:type="paragraph" w:customStyle="1" w:styleId="138">
    <w:name w:val="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39">
    <w:name w:val="样式 标题 1 + (中文) 黑体 四号 非加粗1"/>
    <w:basedOn w:val="3"/>
    <w:qFormat/>
    <w:uiPriority w:val="0"/>
    <w:pPr>
      <w:keepNext w:val="0"/>
      <w:keepLines w:val="0"/>
      <w:widowControl/>
      <w:spacing w:before="0" w:after="0" w:line="240" w:lineRule="auto"/>
    </w:pPr>
    <w:rPr>
      <w:rFonts w:ascii="宋体" w:hAnsi="宋体" w:cs="宋体"/>
      <w:b w:val="0"/>
      <w:bCs w:val="0"/>
      <w:kern w:val="36"/>
      <w:sz w:val="21"/>
      <w:szCs w:val="20"/>
    </w:rPr>
  </w:style>
  <w:style w:type="paragraph" w:customStyle="1" w:styleId="140">
    <w:name w:val="样式 标题 1 +"/>
    <w:basedOn w:val="3"/>
    <w:qFormat/>
    <w:uiPriority w:val="0"/>
    <w:pPr>
      <w:spacing w:before="0" w:after="0" w:line="440" w:lineRule="exact"/>
      <w:ind w:firstLine="420" w:firstLineChars="200"/>
    </w:pPr>
    <w:rPr>
      <w:rFonts w:eastAsia="黑体"/>
      <w:b w:val="0"/>
      <w:kern w:val="0"/>
      <w:sz w:val="21"/>
    </w:rPr>
  </w:style>
  <w:style w:type="paragraph" w:customStyle="1" w:styleId="141">
    <w:name w:val="样式 样式 标题 2 + 首行缩进:  2 字符 + 首行缩进:  2 字符"/>
    <w:basedOn w:val="128"/>
    <w:qFormat/>
    <w:uiPriority w:val="0"/>
    <w:pPr>
      <w:ind w:firstLine="200" w:firstLineChars="200"/>
    </w:pPr>
    <w:rPr>
      <w:b w:val="0"/>
    </w:rPr>
  </w:style>
  <w:style w:type="paragraph" w:customStyle="1" w:styleId="142">
    <w:name w:val="样式 样式 样式 样式 标题 3 + 黑色 + 首行缩进:  2 字符 + 段前: 自动 段后: 自动 + 首行缩进:  2 字符"/>
    <w:basedOn w:val="1"/>
    <w:qFormat/>
    <w:uiPriority w:val="0"/>
    <w:pPr>
      <w:keepNext/>
      <w:widowControl/>
      <w:tabs>
        <w:tab w:val="left" w:pos="720"/>
      </w:tabs>
      <w:overflowPunct w:val="0"/>
      <w:autoSpaceDE w:val="0"/>
      <w:autoSpaceDN w:val="0"/>
      <w:adjustRightInd w:val="0"/>
      <w:spacing w:before="100" w:beforeAutospacing="1" w:after="100" w:afterAutospacing="1" w:line="360" w:lineRule="auto"/>
      <w:textAlignment w:val="baseline"/>
      <w:outlineLvl w:val="2"/>
    </w:pPr>
    <w:rPr>
      <w:rFonts w:ascii="宋体" w:hAnsi="宋体" w:eastAsia="黑体" w:cs="宋体"/>
      <w:color w:val="000000"/>
      <w:kern w:val="0"/>
      <w:sz w:val="24"/>
      <w:szCs w:val="20"/>
    </w:rPr>
  </w:style>
  <w:style w:type="paragraph" w:customStyle="1" w:styleId="143">
    <w:name w:val="样式 段 + 首行缩进:  2 字符"/>
    <w:basedOn w:val="1"/>
    <w:qFormat/>
    <w:uiPriority w:val="0"/>
    <w:pPr>
      <w:widowControl/>
      <w:autoSpaceDE w:val="0"/>
      <w:autoSpaceDN w:val="0"/>
      <w:spacing w:line="360" w:lineRule="auto"/>
      <w:ind w:firstLine="200" w:firstLineChars="200"/>
    </w:pPr>
    <w:rPr>
      <w:rFonts w:ascii="宋体" w:hAnsi="Times New Roman" w:eastAsia="宋体" w:cs="宋体"/>
      <w:kern w:val="0"/>
      <w:szCs w:val="20"/>
    </w:rPr>
  </w:style>
  <w:style w:type="paragraph" w:customStyle="1" w:styleId="144">
    <w:name w:val="样式 样式 样式 标题 2 + 首行缩进:  2 字符 + 首行缩进:  2 字符1 + 首行缩进:  2 字符"/>
    <w:basedOn w:val="145"/>
    <w:qFormat/>
    <w:uiPriority w:val="0"/>
    <w:pPr>
      <w:spacing w:beforeAutospacing="1" w:afterAutospacing="1"/>
      <w:ind w:firstLine="602"/>
    </w:pPr>
    <w:rPr>
      <w:bCs/>
    </w:rPr>
  </w:style>
  <w:style w:type="paragraph" w:customStyle="1" w:styleId="145">
    <w:name w:val="样式 样式 标题 2 + 首行缩进:  2 字符 + 首行缩进:  2 字符1"/>
    <w:basedOn w:val="128"/>
    <w:qFormat/>
    <w:uiPriority w:val="0"/>
    <w:pPr>
      <w:autoSpaceDE w:val="0"/>
      <w:autoSpaceDN w:val="0"/>
      <w:adjustRightInd w:val="0"/>
      <w:ind w:firstLine="200"/>
    </w:pPr>
    <w:rPr>
      <w:b w:val="0"/>
      <w:bCs w:val="0"/>
      <w:kern w:val="0"/>
      <w:sz w:val="30"/>
    </w:rPr>
  </w:style>
  <w:style w:type="paragraph" w:customStyle="1" w:styleId="146">
    <w:name w:val="样式 标题 1 + (中文) 黑体 四号 非加粗"/>
    <w:basedOn w:val="3"/>
    <w:qFormat/>
    <w:uiPriority w:val="0"/>
    <w:pPr>
      <w:keepNext w:val="0"/>
      <w:keepLines w:val="0"/>
      <w:widowControl/>
      <w:spacing w:before="0" w:after="0" w:line="240" w:lineRule="auto"/>
    </w:pPr>
    <w:rPr>
      <w:rFonts w:ascii="宋体" w:hAnsi="宋体" w:cs="宋体"/>
      <w:b w:val="0"/>
      <w:bCs w:val="0"/>
      <w:kern w:val="36"/>
      <w:sz w:val="21"/>
      <w:szCs w:val="20"/>
    </w:rPr>
  </w:style>
  <w:style w:type="paragraph" w:customStyle="1" w:styleId="147">
    <w:name w:val="样式 标题 1 + (中文) 黑体 四号 非加粗 左 段前: 12 磅 段后: 12 磅 行距: 1.5 倍行距"/>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48">
    <w:name w:val="样式 标题 1 + 首行缩进:  0.74 厘米"/>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49">
    <w:name w:val="Char2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50">
    <w:name w:val="Plain Text1"/>
    <w:basedOn w:val="1"/>
    <w:qFormat/>
    <w:uiPriority w:val="0"/>
    <w:pPr>
      <w:adjustRightInd w:val="0"/>
    </w:pPr>
    <w:rPr>
      <w:rFonts w:ascii="宋体" w:hAnsi="Courier New" w:eastAsia="宋体" w:cs="Times New Roman"/>
      <w:szCs w:val="20"/>
    </w:rPr>
  </w:style>
  <w:style w:type="paragraph" w:customStyle="1" w:styleId="151">
    <w:name w:val="ordinary-output target-output clearfi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2">
    <w:name w:val="纯文本2"/>
    <w:basedOn w:val="1"/>
    <w:qFormat/>
    <w:uiPriority w:val="0"/>
    <w:pPr>
      <w:adjustRightInd w:val="0"/>
      <w:textAlignment w:val="baseline"/>
    </w:pPr>
    <w:rPr>
      <w:rFonts w:ascii="宋体" w:hAnsi="Courier New" w:eastAsia="宋体" w:cs="Times New Roman"/>
      <w:szCs w:val="20"/>
    </w:rPr>
  </w:style>
  <w:style w:type="paragraph" w:customStyle="1" w:styleId="153">
    <w:name w:val="样式 标题 2 + 行距: 1.5 倍行距"/>
    <w:basedOn w:val="4"/>
    <w:qFormat/>
    <w:uiPriority w:val="0"/>
    <w:pPr>
      <w:keepNext w:val="0"/>
      <w:spacing w:before="240" w:after="240" w:line="360" w:lineRule="auto"/>
    </w:pPr>
    <w:rPr>
      <w:rFonts w:cs="宋体"/>
      <w:b w:val="0"/>
      <w:sz w:val="28"/>
      <w:szCs w:val="20"/>
    </w:rPr>
  </w:style>
  <w:style w:type="paragraph" w:customStyle="1" w:styleId="154">
    <w:name w:val="样式 标题 2 + 首行缩进:  2 字符1"/>
    <w:basedOn w:val="4"/>
    <w:qFormat/>
    <w:uiPriority w:val="0"/>
    <w:pPr>
      <w:keepNext w:val="0"/>
      <w:spacing w:before="0" w:after="0" w:line="360" w:lineRule="auto"/>
    </w:pPr>
    <w:rPr>
      <w:rFonts w:cs="宋体"/>
      <w:b w:val="0"/>
      <w:bCs w:val="0"/>
      <w:sz w:val="28"/>
      <w:szCs w:val="20"/>
    </w:rPr>
  </w:style>
  <w:style w:type="paragraph" w:customStyle="1" w:styleId="155">
    <w:name w:val="正文（生产细则）"/>
    <w:basedOn w:val="1"/>
    <w:qFormat/>
    <w:uiPriority w:val="0"/>
    <w:pPr>
      <w:adjustRightInd w:val="0"/>
      <w:snapToGrid w:val="0"/>
      <w:spacing w:line="300" w:lineRule="auto"/>
      <w:ind w:firstLine="200" w:firstLineChars="200"/>
    </w:pPr>
    <w:rPr>
      <w:rFonts w:ascii="Times New Roman" w:hAnsi="Times New Roman" w:eastAsia="仿宋_GB2312" w:cs="Times New Roman"/>
      <w:color w:val="000000"/>
      <w:sz w:val="24"/>
      <w:szCs w:val="24"/>
    </w:rPr>
  </w:style>
  <w:style w:type="paragraph" w:customStyle="1" w:styleId="156">
    <w:name w:val="默认段落字体 Para Char Char Char Char Char Char Char"/>
    <w:basedOn w:val="1"/>
    <w:qFormat/>
    <w:uiPriority w:val="0"/>
    <w:rPr>
      <w:rFonts w:ascii="Tahoma" w:hAnsi="Tahoma" w:eastAsia="宋体" w:cs="Times New Roman"/>
      <w:sz w:val="24"/>
      <w:szCs w:val="20"/>
    </w:rPr>
  </w:style>
  <w:style w:type="paragraph" w:customStyle="1" w:styleId="157">
    <w:name w:val="样式 小四 首行缩进:  0.74 厘米 行距: 1.5 倍行距"/>
    <w:basedOn w:val="1"/>
    <w:qFormat/>
    <w:uiPriority w:val="0"/>
    <w:pPr>
      <w:spacing w:line="360" w:lineRule="auto"/>
    </w:pPr>
    <w:rPr>
      <w:rFonts w:ascii="Times New Roman" w:hAnsi="Times New Roman" w:eastAsia="宋体" w:cs="宋体"/>
      <w:szCs w:val="20"/>
    </w:rPr>
  </w:style>
  <w:style w:type="paragraph" w:customStyle="1" w:styleId="158">
    <w:name w:val="样式 标题 1 + 两端对齐 左侧:  0 厘米"/>
    <w:basedOn w:val="3"/>
    <w:qFormat/>
    <w:uiPriority w:val="0"/>
    <w:pPr>
      <w:keepNext w:val="0"/>
      <w:keepLines w:val="0"/>
      <w:widowControl/>
      <w:spacing w:before="0" w:after="0" w:line="240" w:lineRule="auto"/>
    </w:pPr>
    <w:rPr>
      <w:rFonts w:ascii="宋体" w:hAnsi="宋体" w:cs="宋体"/>
      <w:bCs w:val="0"/>
      <w:kern w:val="36"/>
      <w:sz w:val="21"/>
      <w:szCs w:val="20"/>
    </w:rPr>
  </w:style>
  <w:style w:type="paragraph" w:customStyle="1" w:styleId="159">
    <w:name w:val="样式 标题 3 + 左侧:  0 厘米"/>
    <w:basedOn w:val="5"/>
    <w:qFormat/>
    <w:uiPriority w:val="0"/>
    <w:pPr>
      <w:spacing w:before="100" w:after="100"/>
      <w:jc w:val="center"/>
    </w:pPr>
    <w:rPr>
      <w:rFonts w:cs="宋体"/>
      <w:b w:val="0"/>
      <w:bCs w:val="0"/>
      <w:sz w:val="28"/>
      <w:szCs w:val="20"/>
    </w:rPr>
  </w:style>
  <w:style w:type="paragraph" w:customStyle="1" w:styleId="160">
    <w:name w:val="样式 章标题 + 小四 段前: 0.5 行 段后: 0.5 行"/>
    <w:basedOn w:val="1"/>
    <w:qFormat/>
    <w:uiPriority w:val="0"/>
    <w:pPr>
      <w:widowControl/>
      <w:spacing w:beforeLines="50" w:afterLines="50"/>
      <w:outlineLvl w:val="1"/>
    </w:pPr>
    <w:rPr>
      <w:rFonts w:ascii="黑体" w:hAnsi="Times New Roman" w:eastAsia="黑体" w:cs="宋体"/>
      <w:kern w:val="0"/>
      <w:szCs w:val="20"/>
    </w:rPr>
  </w:style>
  <w:style w:type="paragraph" w:customStyle="1" w:styleId="161">
    <w:name w:val="样式 标题 1 + 首行缩进:  2 字符2"/>
    <w:basedOn w:val="3"/>
    <w:qFormat/>
    <w:uiPriority w:val="0"/>
    <w:pPr>
      <w:keepNext w:val="0"/>
      <w:keepLines w:val="0"/>
      <w:widowControl/>
      <w:spacing w:before="0" w:after="0" w:line="240" w:lineRule="auto"/>
      <w:jc w:val="left"/>
    </w:pPr>
    <w:rPr>
      <w:rFonts w:ascii="宋体" w:hAnsi="宋体" w:cs="宋体"/>
      <w:bCs w:val="0"/>
      <w:kern w:val="36"/>
      <w:sz w:val="21"/>
      <w:szCs w:val="20"/>
    </w:rPr>
  </w:style>
  <w:style w:type="paragraph" w:customStyle="1" w:styleId="162">
    <w:name w:val="1"/>
    <w:basedOn w:val="1"/>
    <w:next w:val="1"/>
    <w:qFormat/>
    <w:uiPriority w:val="39"/>
    <w:pPr>
      <w:spacing w:line="400" w:lineRule="exact"/>
    </w:pPr>
    <w:rPr>
      <w:rFonts w:ascii="Times New Roman" w:hAnsi="Times New Roman" w:eastAsia="宋体" w:cs="Times New Roman"/>
      <w:sz w:val="24"/>
      <w:szCs w:val="20"/>
    </w:rPr>
  </w:style>
  <w:style w:type="paragraph" w:customStyle="1" w:styleId="163">
    <w:name w:val="xl28"/>
    <w:basedOn w:val="1"/>
    <w:next w:val="164"/>
    <w:qFormat/>
    <w:uiPriority w:val="0"/>
    <w:pPr>
      <w:widowControl/>
      <w:spacing w:before="280" w:after="280"/>
    </w:pPr>
    <w:rPr>
      <w:rFonts w:ascii="Times New Roman" w:hAnsi="Calibri" w:eastAsia="宋体" w:cs="Times New Roman"/>
      <w:color w:val="000000"/>
      <w:kern w:val="0"/>
      <w:sz w:val="24"/>
      <w:szCs w:val="20"/>
    </w:rPr>
  </w:style>
  <w:style w:type="paragraph" w:customStyle="1" w:styleId="164">
    <w:name w:val="xl24"/>
    <w:basedOn w:val="1"/>
    <w:next w:val="1"/>
    <w:qFormat/>
    <w:uiPriority w:val="0"/>
    <w:pPr>
      <w:widowControl/>
      <w:spacing w:before="280" w:after="280"/>
      <w:jc w:val="center"/>
    </w:pPr>
    <w:rPr>
      <w:rFonts w:ascii="宋体" w:hAnsi="Calibri" w:eastAsia="宋体" w:cs="Times New Roman"/>
      <w:color w:val="000000"/>
      <w:kern w:val="0"/>
      <w:sz w:val="24"/>
      <w:szCs w:val="20"/>
    </w:rPr>
  </w:style>
  <w:style w:type="paragraph" w:customStyle="1" w:styleId="165">
    <w:name w:val="Char Char8 Char Char"/>
    <w:basedOn w:val="1"/>
    <w:next w:val="166"/>
    <w:qFormat/>
    <w:uiPriority w:val="0"/>
    <w:rPr>
      <w:rFonts w:ascii="Times New Roman" w:hAnsi="Calibri" w:eastAsia="宋体" w:cs="Times New Roman"/>
      <w:kern w:val="0"/>
      <w:szCs w:val="20"/>
    </w:rPr>
  </w:style>
  <w:style w:type="paragraph" w:customStyle="1" w:styleId="166">
    <w:name w:val="xl26"/>
    <w:basedOn w:val="1"/>
    <w:next w:val="34"/>
    <w:qFormat/>
    <w:uiPriority w:val="0"/>
    <w:pPr>
      <w:widowControl/>
      <w:spacing w:before="280" w:after="280"/>
    </w:pPr>
    <w:rPr>
      <w:rFonts w:ascii="宋体" w:hAnsi="Calibri" w:eastAsia="宋体" w:cs="Times New Roman"/>
      <w:color w:val="000000"/>
      <w:kern w:val="0"/>
      <w:sz w:val="22"/>
      <w:szCs w:val="20"/>
    </w:rPr>
  </w:style>
  <w:style w:type="paragraph" w:customStyle="1" w:styleId="167">
    <w:name w:val="xl30"/>
    <w:basedOn w:val="1"/>
    <w:next w:val="138"/>
    <w:qFormat/>
    <w:uiPriority w:val="0"/>
    <w:pPr>
      <w:widowControl/>
      <w:spacing w:before="280" w:after="280"/>
    </w:pPr>
    <w:rPr>
      <w:rFonts w:ascii="宋体" w:hAnsi="Calibri" w:eastAsia="宋体" w:cs="Times New Roman"/>
      <w:color w:val="000000"/>
      <w:kern w:val="0"/>
      <w:sz w:val="32"/>
      <w:szCs w:val="20"/>
    </w:rPr>
  </w:style>
  <w:style w:type="paragraph" w:customStyle="1" w:styleId="168">
    <w:name w:val="font5"/>
    <w:basedOn w:val="1"/>
    <w:next w:val="23"/>
    <w:qFormat/>
    <w:uiPriority w:val="0"/>
    <w:pPr>
      <w:widowControl/>
      <w:spacing w:before="280" w:after="280"/>
    </w:pPr>
    <w:rPr>
      <w:rFonts w:ascii="宋体" w:hAnsi="Calibri" w:eastAsia="宋体" w:cs="Times New Roman"/>
      <w:kern w:val="0"/>
      <w:sz w:val="18"/>
      <w:szCs w:val="20"/>
    </w:rPr>
  </w:style>
  <w:style w:type="paragraph" w:customStyle="1" w:styleId="169">
    <w:name w:val="xl29"/>
    <w:basedOn w:val="1"/>
    <w:next w:val="1"/>
    <w:qFormat/>
    <w:uiPriority w:val="0"/>
    <w:pPr>
      <w:widowControl/>
      <w:spacing w:before="280" w:after="280"/>
    </w:pPr>
    <w:rPr>
      <w:rFonts w:ascii="宋体" w:hAnsi="Calibri" w:eastAsia="宋体" w:cs="Times New Roman"/>
      <w:color w:val="000000"/>
      <w:kern w:val="0"/>
      <w:sz w:val="24"/>
      <w:szCs w:val="20"/>
      <w:u w:val="single"/>
    </w:rPr>
  </w:style>
  <w:style w:type="paragraph" w:customStyle="1" w:styleId="170">
    <w:name w:val="xl25"/>
    <w:basedOn w:val="1"/>
    <w:next w:val="171"/>
    <w:qFormat/>
    <w:uiPriority w:val="0"/>
    <w:pPr>
      <w:widowControl/>
      <w:spacing w:before="280" w:after="280"/>
    </w:pPr>
    <w:rPr>
      <w:rFonts w:ascii="宋体" w:hAnsi="Calibri" w:eastAsia="宋体" w:cs="Times New Roman"/>
      <w:color w:val="000000"/>
      <w:kern w:val="0"/>
      <w:sz w:val="24"/>
      <w:szCs w:val="20"/>
    </w:rPr>
  </w:style>
  <w:style w:type="paragraph" w:customStyle="1" w:styleId="171">
    <w:name w:val="Char Char Char Char1"/>
    <w:basedOn w:val="1"/>
    <w:next w:val="1"/>
    <w:qFormat/>
    <w:uiPriority w:val="0"/>
    <w:pPr>
      <w:widowControl/>
      <w:spacing w:after="160" w:line="240" w:lineRule="exact"/>
    </w:pPr>
    <w:rPr>
      <w:rFonts w:ascii="Arial" w:hAnsi="Calibri" w:eastAsia="Times New Roman" w:cs="Times New Roman"/>
      <w:b/>
      <w:kern w:val="0"/>
      <w:sz w:val="24"/>
      <w:szCs w:val="20"/>
    </w:rPr>
  </w:style>
  <w:style w:type="paragraph" w:customStyle="1" w:styleId="172">
    <w:name w:val="font6"/>
    <w:basedOn w:val="1"/>
    <w:next w:val="16"/>
    <w:qFormat/>
    <w:uiPriority w:val="0"/>
    <w:pPr>
      <w:widowControl/>
      <w:spacing w:before="280" w:after="280"/>
    </w:pPr>
    <w:rPr>
      <w:rFonts w:ascii="宋体" w:hAnsi="Calibri" w:eastAsia="宋体" w:cs="Times New Roman"/>
      <w:color w:val="000000"/>
      <w:kern w:val="0"/>
      <w:sz w:val="24"/>
      <w:szCs w:val="20"/>
    </w:rPr>
  </w:style>
  <w:style w:type="character" w:customStyle="1" w:styleId="173">
    <w:name w:val="引用 Char1"/>
    <w:basedOn w:val="38"/>
    <w:qFormat/>
    <w:uiPriority w:val="29"/>
    <w:rPr>
      <w:i/>
      <w:iCs/>
      <w:color w:val="000000" w:themeColor="text1"/>
    </w:rPr>
  </w:style>
  <w:style w:type="paragraph" w:customStyle="1" w:styleId="174">
    <w:name w:val="font7"/>
    <w:basedOn w:val="1"/>
    <w:next w:val="24"/>
    <w:qFormat/>
    <w:uiPriority w:val="0"/>
    <w:pPr>
      <w:widowControl/>
      <w:spacing w:before="280" w:after="280"/>
    </w:pPr>
    <w:rPr>
      <w:rFonts w:ascii="Times New Roman" w:hAnsi="Calibri" w:eastAsia="宋体" w:cs="Times New Roman"/>
      <w:color w:val="000000"/>
      <w:kern w:val="0"/>
      <w:sz w:val="24"/>
      <w:szCs w:val="20"/>
    </w:rPr>
  </w:style>
  <w:style w:type="character" w:customStyle="1" w:styleId="175">
    <w:name w:val="明显引用 Char1"/>
    <w:basedOn w:val="38"/>
    <w:qFormat/>
    <w:uiPriority w:val="30"/>
    <w:rPr>
      <w:b/>
      <w:bCs/>
      <w:i/>
      <w:iCs/>
      <w:color w:val="4F81BD" w:themeColor="accent1"/>
    </w:rPr>
  </w:style>
  <w:style w:type="paragraph" w:customStyle="1" w:styleId="176">
    <w:name w:val="List Paragraph1"/>
    <w:basedOn w:val="1"/>
    <w:next w:val="25"/>
    <w:qFormat/>
    <w:uiPriority w:val="0"/>
    <w:pPr>
      <w:ind w:firstLine="420"/>
    </w:pPr>
    <w:rPr>
      <w:rFonts w:ascii="Calibri" w:hAnsi="Calibri" w:eastAsia="宋体" w:cs="Times New Roman"/>
      <w:kern w:val="0"/>
      <w:szCs w:val="20"/>
    </w:rPr>
  </w:style>
  <w:style w:type="paragraph" w:customStyle="1" w:styleId="177">
    <w:name w:val="xl27"/>
    <w:basedOn w:val="1"/>
    <w:next w:val="17"/>
    <w:qFormat/>
    <w:uiPriority w:val="0"/>
    <w:pPr>
      <w:widowControl/>
      <w:spacing w:before="280" w:after="280"/>
    </w:pPr>
    <w:rPr>
      <w:rFonts w:ascii="宋体" w:hAnsi="Calibri" w:eastAsia="宋体" w:cs="Times New Roman"/>
      <w:color w:val="000000"/>
      <w:kern w:val="0"/>
      <w:sz w:val="24"/>
      <w:szCs w:val="20"/>
    </w:rPr>
  </w:style>
  <w:style w:type="character" w:customStyle="1" w:styleId="178">
    <w:name w:val="段 Char"/>
    <w:link w:val="113"/>
    <w:qFormat/>
    <w:uiPriority w:val="0"/>
    <w:rPr>
      <w:rFonts w:ascii="宋体" w:hAnsi="Times New Roman" w:eastAsia="宋体" w:cs="Times New Roman"/>
      <w:kern w:val="0"/>
      <w:szCs w:val="20"/>
    </w:rPr>
  </w:style>
  <w:style w:type="paragraph" w:customStyle="1" w:styleId="179">
    <w:name w:val="Char Char Char"/>
    <w:basedOn w:val="1"/>
    <w:qFormat/>
    <w:uiPriority w:val="0"/>
    <w:pPr>
      <w:tabs>
        <w:tab w:val="left" w:pos="360"/>
      </w:tabs>
    </w:pPr>
    <w:rPr>
      <w:rFonts w:ascii="Times New Roman" w:hAnsi="Times New Roman" w:eastAsia="宋体" w:cs="Times New Roman"/>
      <w:sz w:val="24"/>
      <w:szCs w:val="24"/>
    </w:rPr>
  </w:style>
  <w:style w:type="paragraph" w:customStyle="1" w:styleId="180">
    <w:name w:val="Char Char1 Char Char"/>
    <w:basedOn w:val="1"/>
    <w:semiHidden/>
    <w:qFormat/>
    <w:uiPriority w:val="0"/>
    <w:pPr>
      <w:widowControl/>
      <w:spacing w:after="160" w:line="240" w:lineRule="exact"/>
      <w:jc w:val="left"/>
    </w:pPr>
    <w:rPr>
      <w:rFonts w:ascii="Verdana" w:hAnsi="Verdana" w:eastAsia="仿宋_GB2312" w:cs="Times New Roman"/>
      <w:kern w:val="0"/>
      <w:sz w:val="30"/>
      <w:szCs w:val="30"/>
      <w:lang w:eastAsia="en-US"/>
    </w:rPr>
  </w:style>
  <w:style w:type="paragraph" w:customStyle="1" w:styleId="181">
    <w:name w:val="列出段落11"/>
    <w:basedOn w:val="1"/>
    <w:qFormat/>
    <w:uiPriority w:val="0"/>
    <w:pPr>
      <w:ind w:firstLine="420" w:firstLineChars="200"/>
    </w:pPr>
    <w:rPr>
      <w:rFonts w:ascii="Calibri" w:hAnsi="Calibri" w:eastAsia="宋体" w:cs="Calibri"/>
      <w:szCs w:val="21"/>
    </w:rPr>
  </w:style>
  <w:style w:type="paragraph" w:customStyle="1" w:styleId="182">
    <w:name w:val="reader-word-layer reader-word-s1-1"/>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83">
    <w:name w:val="2"/>
    <w:basedOn w:val="1"/>
    <w:qFormat/>
    <w:uiPriority w:val="0"/>
    <w:pPr>
      <w:widowControl/>
      <w:adjustRightInd w:val="0"/>
      <w:snapToGrid w:val="0"/>
      <w:spacing w:after="160" w:line="240" w:lineRule="exact"/>
      <w:jc w:val="left"/>
      <w:textAlignment w:val="baseline"/>
    </w:pPr>
    <w:rPr>
      <w:rFonts w:ascii="Times New Roman" w:hAnsi="Times New Roman" w:eastAsia="宋体" w:cs="Times New Roman"/>
      <w:kern w:val="0"/>
      <w:szCs w:val="20"/>
    </w:rPr>
  </w:style>
  <w:style w:type="paragraph" w:customStyle="1" w:styleId="184">
    <w:name w:val="_Style 86"/>
    <w:basedOn w:val="1"/>
    <w:next w:val="1"/>
    <w:qFormat/>
    <w:uiPriority w:val="39"/>
    <w:pPr>
      <w:spacing w:line="400" w:lineRule="exact"/>
    </w:pPr>
    <w:rPr>
      <w:rFonts w:ascii="Times New Roman" w:hAnsi="Times New Roman" w:eastAsia="宋体" w:cs="Times New Roman"/>
      <w:sz w:val="24"/>
      <w:szCs w:val="20"/>
    </w:rPr>
  </w:style>
  <w:style w:type="paragraph" w:customStyle="1" w:styleId="185">
    <w:name w:val="列出段落2"/>
    <w:basedOn w:val="1"/>
    <w:qFormat/>
    <w:uiPriority w:val="0"/>
    <w:pPr>
      <w:ind w:firstLine="420" w:firstLineChars="200"/>
    </w:pPr>
    <w:rPr>
      <w:rFonts w:ascii="Calibri" w:hAnsi="Calibri" w:eastAsia="宋体" w:cs="Times New Roman"/>
    </w:rPr>
  </w:style>
  <w:style w:type="paragraph" w:customStyle="1" w:styleId="186">
    <w:name w:val="列表段落1"/>
    <w:basedOn w:val="1"/>
    <w:qFormat/>
    <w:uiPriority w:val="0"/>
    <w:pPr>
      <w:ind w:firstLine="420" w:firstLineChars="200"/>
    </w:pPr>
    <w:rPr>
      <w:rFonts w:ascii="Times New Roman" w:hAnsi="Times New Roman" w:eastAsia="宋体" w:cs="Times New Roman"/>
    </w:rPr>
  </w:style>
  <w:style w:type="character" w:customStyle="1" w:styleId="187">
    <w:name w:val="Footer Char"/>
    <w:qFormat/>
    <w:uiPriority w:val="0"/>
    <w:rPr>
      <w:rFonts w:eastAsia="宋体"/>
      <w:kern w:val="2"/>
      <w:sz w:val="18"/>
      <w:lang w:val="en-US" w:eastAsia="zh-CN" w:bidi="ar-SA"/>
    </w:rPr>
  </w:style>
  <w:style w:type="character" w:customStyle="1" w:styleId="188">
    <w:name w:val="脚注文本 字符"/>
    <w:link w:val="31"/>
    <w:qFormat/>
    <w:uiPriority w:val="0"/>
    <w:rPr>
      <w:sz w:val="18"/>
      <w:szCs w:val="18"/>
    </w:rPr>
  </w:style>
  <w:style w:type="paragraph" w:customStyle="1" w:styleId="189">
    <w:name w:val="Char2"/>
    <w:basedOn w:val="1"/>
    <w:qFormat/>
    <w:uiPriority w:val="0"/>
    <w:pPr>
      <w:widowControl/>
      <w:spacing w:after="160" w:line="240" w:lineRule="exact"/>
      <w:jc w:val="left"/>
    </w:pPr>
    <w:rPr>
      <w:rFonts w:ascii="Verdana" w:hAnsi="Verdana" w:eastAsia="宋体" w:cs="Times New Roman"/>
      <w:kern w:val="0"/>
      <w:sz w:val="18"/>
      <w:szCs w:val="20"/>
      <w:lang w:eastAsia="en-US"/>
    </w:rPr>
  </w:style>
  <w:style w:type="paragraph" w:customStyle="1" w:styleId="190">
    <w:name w:val="Char1"/>
    <w:basedOn w:val="1"/>
    <w:qFormat/>
    <w:uiPriority w:val="0"/>
    <w:pPr>
      <w:widowControl/>
      <w:spacing w:after="160" w:line="240" w:lineRule="exact"/>
      <w:jc w:val="left"/>
    </w:pPr>
    <w:rPr>
      <w:rFonts w:ascii="Verdana" w:hAnsi="Verdana" w:eastAsia="宋体" w:cs="Times New Roman"/>
      <w:kern w:val="0"/>
      <w:sz w:val="20"/>
      <w:szCs w:val="20"/>
      <w:lang w:eastAsia="en-US"/>
    </w:rPr>
  </w:style>
  <w:style w:type="character" w:customStyle="1" w:styleId="191">
    <w:name w:val="脚注文本 Char1"/>
    <w:basedOn w:val="38"/>
    <w:semiHidden/>
    <w:qFormat/>
    <w:uiPriority w:val="99"/>
    <w:rPr>
      <w:sz w:val="18"/>
      <w:szCs w:val="18"/>
    </w:rPr>
  </w:style>
  <w:style w:type="paragraph" w:customStyle="1" w:styleId="192">
    <w:name w:val="p0"/>
    <w:basedOn w:val="1"/>
    <w:qFormat/>
    <w:uiPriority w:val="0"/>
    <w:pPr>
      <w:widowControl/>
    </w:pPr>
    <w:rPr>
      <w:rFonts w:ascii="Calibri" w:hAnsi="Calibri" w:eastAsia="宋体" w:cs="宋体"/>
      <w:kern w:val="0"/>
      <w:szCs w:val="21"/>
    </w:rPr>
  </w:style>
  <w:style w:type="paragraph" w:customStyle="1" w:styleId="193">
    <w:name w:val="Char2 Char Char 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94">
    <w:name w:val="修订1"/>
    <w:unhideWhenUsed/>
    <w:qFormat/>
    <w:uiPriority w:val="99"/>
    <w:rPr>
      <w:rFonts w:ascii="Times New Roman" w:hAnsi="Times New Roman" w:eastAsia="宋体" w:cs="Times New Roman"/>
      <w:kern w:val="2"/>
      <w:sz w:val="21"/>
      <w:lang w:val="en-US" w:eastAsia="zh-CN" w:bidi="ar-SA"/>
    </w:rPr>
  </w:style>
  <w:style w:type="character" w:customStyle="1" w:styleId="195">
    <w:name w:val="txtgreen11"/>
    <w:qFormat/>
    <w:uiPriority w:val="0"/>
    <w:rPr>
      <w:color w:val="3E804B"/>
    </w:rPr>
  </w:style>
  <w:style w:type="character" w:customStyle="1" w:styleId="196">
    <w:name w:val="Header Char"/>
    <w:qFormat/>
    <w:locked/>
    <w:uiPriority w:val="0"/>
    <w:rPr>
      <w:rFonts w:eastAsia="宋体"/>
      <w:kern w:val="2"/>
      <w:sz w:val="18"/>
      <w:szCs w:val="18"/>
      <w:lang w:val="en-US" w:eastAsia="zh-CN" w:bidi="ar-SA"/>
    </w:rPr>
  </w:style>
  <w:style w:type="character" w:customStyle="1" w:styleId="197">
    <w:name w:val="Heading 3 Char"/>
    <w:qFormat/>
    <w:locked/>
    <w:uiPriority w:val="0"/>
    <w:rPr>
      <w:rFonts w:eastAsia="宋体"/>
      <w:b/>
      <w:bCs/>
      <w:kern w:val="2"/>
      <w:sz w:val="30"/>
      <w:szCs w:val="32"/>
      <w:lang w:val="en-US" w:eastAsia="zh-CN" w:bidi="ar-SA"/>
    </w:rPr>
  </w:style>
  <w:style w:type="paragraph" w:customStyle="1" w:styleId="19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99">
    <w:name w:val="Char2 Char Char Char1"/>
    <w:basedOn w:val="1"/>
    <w:qFormat/>
    <w:uiPriority w:val="0"/>
    <w:pPr>
      <w:widowControl/>
      <w:spacing w:after="160" w:line="240" w:lineRule="exact"/>
      <w:jc w:val="left"/>
    </w:pPr>
    <w:rPr>
      <w:rFonts w:ascii="Verdana" w:hAnsi="Verdana" w:eastAsia="宋体" w:cs="Times New Roman"/>
      <w:kern w:val="0"/>
      <w:sz w:val="20"/>
      <w:szCs w:val="20"/>
      <w:lang w:eastAsia="en-US"/>
    </w:rPr>
  </w:style>
  <w:style w:type="character" w:customStyle="1" w:styleId="200">
    <w:name w:val="段 Char Char"/>
    <w:qFormat/>
    <w:uiPriority w:val="0"/>
    <w:rPr>
      <w:rFonts w:ascii="宋体"/>
      <w:sz w:val="21"/>
      <w:lang w:val="en-US" w:eastAsia="zh-CN" w:bidi="ar-SA"/>
    </w:rPr>
  </w:style>
  <w:style w:type="character" w:customStyle="1" w:styleId="201">
    <w:name w:val="正文文本 2 Char1"/>
    <w:basedOn w:val="38"/>
    <w:semiHidden/>
    <w:qFormat/>
    <w:locked/>
    <w:uiPriority w:val="0"/>
    <w:rPr>
      <w:kern w:val="2"/>
      <w:sz w:val="21"/>
    </w:rPr>
  </w:style>
  <w:style w:type="paragraph" w:customStyle="1" w:styleId="202">
    <w:name w:val="列出段落3"/>
    <w:basedOn w:val="1"/>
    <w:qFormat/>
    <w:uiPriority w:val="0"/>
    <w:pPr>
      <w:ind w:firstLine="420" w:firstLineChars="200"/>
    </w:pPr>
    <w:rPr>
      <w:rFonts w:ascii="Calibri" w:hAnsi="Calibri" w:eastAsia="宋体" w:cs="Calibri"/>
      <w:szCs w:val="21"/>
    </w:rPr>
  </w:style>
  <w:style w:type="paragraph" w:customStyle="1" w:styleId="203">
    <w:name w:val="Char3"/>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04">
    <w:name w:val="Char Char8 Char Char1"/>
    <w:basedOn w:val="1"/>
    <w:next w:val="166"/>
    <w:qFormat/>
    <w:uiPriority w:val="0"/>
    <w:rPr>
      <w:rFonts w:ascii="Times New Roman" w:hAnsi="Calibri" w:eastAsia="宋体" w:cs="Times New Roman"/>
      <w:kern w:val="0"/>
      <w:szCs w:val="20"/>
    </w:rPr>
  </w:style>
  <w:style w:type="paragraph" w:customStyle="1" w:styleId="205">
    <w:name w:val="Char Char Char Char2"/>
    <w:basedOn w:val="1"/>
    <w:next w:val="1"/>
    <w:qFormat/>
    <w:uiPriority w:val="0"/>
    <w:pPr>
      <w:widowControl/>
      <w:spacing w:after="160" w:line="240" w:lineRule="exact"/>
    </w:pPr>
    <w:rPr>
      <w:rFonts w:ascii="Arial" w:hAnsi="Calibri" w:eastAsia="Times New Roman" w:cs="Times New Roman"/>
      <w:b/>
      <w:kern w:val="0"/>
      <w:sz w:val="24"/>
      <w:szCs w:val="20"/>
    </w:rPr>
  </w:style>
  <w:style w:type="paragraph" w:customStyle="1" w:styleId="206">
    <w:name w:val="纯文本3"/>
    <w:basedOn w:val="1"/>
    <w:qFormat/>
    <w:uiPriority w:val="0"/>
    <w:pPr>
      <w:adjustRightInd w:val="0"/>
      <w:textAlignment w:val="baseline"/>
    </w:pPr>
    <w:rPr>
      <w:rFonts w:ascii="宋体" w:hAnsi="Courier New" w:eastAsia="宋体" w:cs="Times New Roman"/>
      <w:szCs w:val="20"/>
    </w:rPr>
  </w:style>
  <w:style w:type="paragraph" w:customStyle="1" w:styleId="207">
    <w:name w:val="Char2 Char Char Char2"/>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08">
    <w:name w:val="Char11"/>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09">
    <w:name w:val="列出段落4"/>
    <w:basedOn w:val="1"/>
    <w:qFormat/>
    <w:uiPriority w:val="0"/>
    <w:pPr>
      <w:ind w:firstLine="420" w:firstLineChars="200"/>
    </w:pPr>
    <w:rPr>
      <w:rFonts w:ascii="Calibri" w:hAnsi="Calibri" w:eastAsia="宋体" w:cs="Calibri"/>
      <w:szCs w:val="21"/>
    </w:rPr>
  </w:style>
  <w:style w:type="paragraph" w:customStyle="1" w:styleId="210">
    <w:name w:val="纯文本4"/>
    <w:basedOn w:val="1"/>
    <w:qFormat/>
    <w:uiPriority w:val="0"/>
    <w:pPr>
      <w:adjustRightInd w:val="0"/>
      <w:textAlignment w:val="baseline"/>
    </w:pPr>
    <w:rPr>
      <w:rFonts w:ascii="宋体" w:hAnsi="Courier New" w:eastAsia="宋体" w:cs="Times New Roman"/>
      <w:szCs w:val="20"/>
    </w:rPr>
  </w:style>
  <w:style w:type="paragraph" w:customStyle="1" w:styleId="211">
    <w:name w:val="Char2 Char Char Char3"/>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12">
    <w:name w:val="Char4"/>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13">
    <w:name w:val="Char Char Char Char3"/>
    <w:basedOn w:val="1"/>
    <w:next w:val="1"/>
    <w:qFormat/>
    <w:uiPriority w:val="0"/>
    <w:pPr>
      <w:widowControl/>
      <w:spacing w:after="160" w:line="240" w:lineRule="exact"/>
    </w:pPr>
    <w:rPr>
      <w:rFonts w:ascii="Arial" w:hAnsi="Calibri" w:eastAsia="Times New Roman" w:cs="Times New Roman"/>
      <w:b/>
      <w:kern w:val="0"/>
      <w:sz w:val="24"/>
      <w:szCs w:val="20"/>
    </w:rPr>
  </w:style>
  <w:style w:type="paragraph" w:customStyle="1" w:styleId="214">
    <w:name w:val="Char Char8 Char Char2"/>
    <w:basedOn w:val="1"/>
    <w:next w:val="166"/>
    <w:qFormat/>
    <w:uiPriority w:val="0"/>
    <w:rPr>
      <w:rFonts w:ascii="Times New Roman" w:hAnsi="Calibri" w:eastAsia="宋体" w:cs="Times New Roman"/>
      <w:kern w:val="0"/>
      <w:szCs w:val="20"/>
    </w:rPr>
  </w:style>
  <w:style w:type="paragraph" w:customStyle="1" w:styleId="215">
    <w:name w:val="列出段落5"/>
    <w:basedOn w:val="1"/>
    <w:qFormat/>
    <w:uiPriority w:val="0"/>
    <w:pPr>
      <w:ind w:firstLine="420" w:firstLineChars="200"/>
    </w:pPr>
    <w:rPr>
      <w:rFonts w:ascii="Calibri" w:hAnsi="Calibri" w:eastAsia="宋体" w:cs="Calibri"/>
      <w:szCs w:val="21"/>
    </w:rPr>
  </w:style>
  <w:style w:type="paragraph" w:customStyle="1" w:styleId="216">
    <w:name w:val="纯文本5"/>
    <w:basedOn w:val="1"/>
    <w:qFormat/>
    <w:uiPriority w:val="0"/>
    <w:pPr>
      <w:adjustRightInd w:val="0"/>
      <w:textAlignment w:val="baseline"/>
    </w:pPr>
    <w:rPr>
      <w:rFonts w:ascii="宋体" w:hAnsi="Courier New" w:eastAsia="宋体" w:cs="Times New Roman"/>
      <w:szCs w:val="20"/>
    </w:rPr>
  </w:style>
  <w:style w:type="paragraph" w:customStyle="1" w:styleId="217">
    <w:name w:val="Char2 Char Char Char4"/>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18">
    <w:name w:val="修订2"/>
    <w:qFormat/>
    <w:uiPriority w:val="0"/>
    <w:rPr>
      <w:rFonts w:ascii="Calibri" w:hAnsi="Calibri" w:eastAsia="宋体" w:cs="Times New Roman"/>
      <w:kern w:val="2"/>
      <w:sz w:val="21"/>
      <w:lang w:val="en-US" w:eastAsia="zh-CN" w:bidi="ar-SA"/>
    </w:rPr>
  </w:style>
  <w:style w:type="paragraph" w:customStyle="1" w:styleId="219">
    <w:name w:val="Char5"/>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20">
    <w:name w:val="列出段落6"/>
    <w:basedOn w:val="1"/>
    <w:qFormat/>
    <w:uiPriority w:val="0"/>
    <w:pPr>
      <w:ind w:firstLine="420" w:firstLineChars="200"/>
    </w:pPr>
    <w:rPr>
      <w:rFonts w:ascii="Calibri" w:hAnsi="Calibri" w:eastAsia="宋体" w:cs="Calibri"/>
      <w:szCs w:val="21"/>
    </w:rPr>
  </w:style>
  <w:style w:type="paragraph" w:customStyle="1" w:styleId="221">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22">
    <w:name w:val="列表段落2"/>
    <w:basedOn w:val="1"/>
    <w:qFormat/>
    <w:uiPriority w:val="99"/>
    <w:pPr>
      <w:ind w:firstLine="420" w:firstLineChars="200"/>
    </w:pPr>
    <w:rPr>
      <w:rFonts w:ascii="Calibri" w:hAnsi="Calibri" w:eastAsia="宋体" w:cs="Calibri"/>
      <w:szCs w:val="21"/>
    </w:rPr>
  </w:style>
  <w:style w:type="character" w:customStyle="1" w:styleId="223">
    <w:name w:val="Subtle Reference"/>
    <w:qFormat/>
    <w:uiPriority w:val="0"/>
    <w:rPr>
      <w:color w:val="auto"/>
      <w:sz w:val="21"/>
    </w:rPr>
  </w:style>
  <w:style w:type="character" w:customStyle="1" w:styleId="224">
    <w:name w:val="Intense Emphasis"/>
    <w:qFormat/>
    <w:uiPriority w:val="0"/>
    <w:rPr>
      <w:i/>
      <w:color w:val="auto"/>
      <w:sz w:val="21"/>
    </w:rPr>
  </w:style>
  <w:style w:type="character" w:customStyle="1" w:styleId="225">
    <w:name w:val="Intense Reference"/>
    <w:qFormat/>
    <w:uiPriority w:val="0"/>
    <w:rPr>
      <w:b/>
      <w:color w:val="auto"/>
      <w:sz w:val="21"/>
    </w:rPr>
  </w:style>
  <w:style w:type="character" w:customStyle="1" w:styleId="226">
    <w:name w:val="Book Title"/>
    <w:qFormat/>
    <w:uiPriority w:val="0"/>
    <w:rPr>
      <w:b/>
      <w:i/>
      <w:sz w:val="21"/>
    </w:rPr>
  </w:style>
  <w:style w:type="character" w:customStyle="1" w:styleId="227">
    <w:name w:val="Subtle Emphasis"/>
    <w:qFormat/>
    <w:uiPriority w:val="0"/>
    <w:rPr>
      <w:i/>
      <w:color w:val="808080"/>
      <w:sz w:val="20"/>
    </w:rPr>
  </w:style>
  <w:style w:type="paragraph" w:customStyle="1" w:styleId="228">
    <w:name w:val="TOC Heading"/>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29">
    <w:name w:val="列表段落3"/>
    <w:basedOn w:val="1"/>
    <w:qFormat/>
    <w:uiPriority w:val="0"/>
    <w:pPr>
      <w:ind w:firstLine="420" w:firstLineChars="200"/>
    </w:pPr>
    <w:rPr>
      <w:rFonts w:ascii="Times New Roman" w:hAnsi="Times New Roman" w:eastAsia="宋体" w:cs="Times New Roman"/>
    </w:rPr>
  </w:style>
  <w:style w:type="paragraph" w:customStyle="1" w:styleId="230">
    <w:name w:val="Revisio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9B8FA1-F71C-4819-B6F6-0E5A096829A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607</Words>
  <Characters>3462</Characters>
  <Lines>28</Lines>
  <Paragraphs>8</Paragraphs>
  <TotalTime>0</TotalTime>
  <ScaleCrop>false</ScaleCrop>
  <LinksUpToDate>false</LinksUpToDate>
  <CharactersWithSpaces>4061</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2021-03-01T01:20:00Z</dcterms:created>
  <dc:creator>Windows 用户</dc:creator>
  <cp:lastModifiedBy>hp</cp:lastModifiedBy>
  <cp:lastPrinted>2021-02-26T07:33:00Z</cp:lastPrinted>
  <dcterms:modified xsi:type="dcterms:W3CDTF">2021-03-30T02:16:53Z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