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cs="宋体"/>
          <w:color w:val="000000" w:themeColor="text1"/>
          <w:sz w:val="28"/>
          <w:szCs w:val="28"/>
        </w:rPr>
      </w:pPr>
      <w:r>
        <w:rPr>
          <w:rFonts w:hint="eastAsia" w:ascii="宋体" w:hAnsi="宋体" w:cs="宋体"/>
          <w:color w:val="000000" w:themeColor="text1"/>
          <w:sz w:val="28"/>
          <w:szCs w:val="28"/>
        </w:rPr>
        <w:t>编号：（X）XK13-008</w:t>
      </w:r>
    </w:p>
    <w:p>
      <w:pPr>
        <w:spacing w:line="360" w:lineRule="auto"/>
        <w:jc w:val="right"/>
        <w:rPr>
          <w:rFonts w:ascii="宋体" w:hAnsi="宋体" w:cs="宋体"/>
          <w:b/>
          <w:color w:val="000000" w:themeColor="text1"/>
          <w:sz w:val="52"/>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pStyle w:val="2"/>
      </w:pPr>
    </w:p>
    <w:p>
      <w:pPr>
        <w:pStyle w:val="2"/>
      </w:pPr>
    </w:p>
    <w:p>
      <w:pPr>
        <w:pStyle w:val="2"/>
      </w:pPr>
    </w:p>
    <w:p>
      <w:pPr>
        <w:pStyle w:val="2"/>
      </w:pPr>
    </w:p>
    <w:p>
      <w:pPr>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危险化学品生产许可证实施细则（二）</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r>
        <w:rPr>
          <w:rFonts w:hint="eastAsia" w:ascii="方正楷体简体" w:hAnsi="方正楷体简体" w:eastAsia="方正楷体简体" w:cs="方正楷体简体"/>
          <w:kern w:val="0"/>
          <w:sz w:val="36"/>
          <w:szCs w:val="36"/>
        </w:rPr>
        <w:t>（危险化学品氯碱产品部分）</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jc w:val="center"/>
        <w:rPr>
          <w:rFonts w:ascii="方正小标宋简体" w:eastAsia="方正小标宋简体" w:cs="Calibri"/>
          <w:color w:val="000000" w:themeColor="text1"/>
          <w:sz w:val="44"/>
          <w:szCs w:val="44"/>
        </w:rPr>
      </w:pPr>
    </w:p>
    <w:p>
      <w:pPr>
        <w:tabs>
          <w:tab w:val="left" w:pos="720"/>
        </w:tabs>
        <w:autoSpaceDE w:val="0"/>
        <w:autoSpaceDN w:val="0"/>
        <w:adjustRightInd w:val="0"/>
        <w:ind w:left="352" w:right="18" w:hanging="180"/>
        <w:jc w:val="center"/>
        <w:rPr>
          <w:rFonts w:ascii="宋体" w:hAnsi="宋体" w:cs="宋体"/>
          <w:color w:val="000000" w:themeColor="text1"/>
          <w:kern w:val="0"/>
          <w:sz w:val="32"/>
          <w:szCs w:val="32"/>
        </w:rPr>
      </w:pPr>
    </w:p>
    <w:p>
      <w:pPr>
        <w:tabs>
          <w:tab w:val="left" w:pos="720"/>
        </w:tabs>
        <w:autoSpaceDE w:val="0"/>
        <w:autoSpaceDN w:val="0"/>
        <w:adjustRightInd w:val="0"/>
        <w:ind w:left="352" w:right="18" w:hanging="180"/>
        <w:jc w:val="left"/>
        <w:rPr>
          <w:rFonts w:ascii="宋体" w:hAnsi="宋体" w:cs="宋体"/>
          <w:b/>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r>
        <w:rPr>
          <w:rFonts w:hint="eastAsia" w:ascii="宋体" w:hAnsi="宋体" w:cs="宋体"/>
          <w:b/>
          <w:color w:val="000000" w:themeColor="text1"/>
          <w:sz w:val="28"/>
          <w:szCs w:val="28"/>
        </w:rPr>
        <w:t>2021-××-××公布                          2021-××-××实施</w:t>
      </w:r>
    </w:p>
    <w:p>
      <w:pPr>
        <w:tabs>
          <w:tab w:val="left" w:pos="720"/>
        </w:tabs>
        <w:autoSpaceDE w:val="0"/>
        <w:autoSpaceDN w:val="0"/>
        <w:adjustRightInd w:val="0"/>
        <w:ind w:left="352" w:right="18" w:hanging="180"/>
        <w:jc w:val="center"/>
        <w:rPr>
          <w:rFonts w:ascii="宋体" w:hAnsi="宋体" w:cs="宋体"/>
          <w:color w:val="000000" w:themeColor="text1"/>
          <w:kern w:val="0"/>
          <w:sz w:val="36"/>
          <w:szCs w:val="36"/>
        </w:rPr>
      </w:pPr>
      <w:r>
        <w:rPr>
          <w:rFonts w:ascii="宋体" w:hAnsi="宋体" w:cs="宋体"/>
          <w:color w:val="000000" w:themeColor="text1"/>
        </w:rPr>
        <w:pict>
          <v:line id="_x0000_s1026" o:spid="_x0000_s1026" o:spt="20" style="position:absolute;left:0pt;margin-top:7.75pt;height:0pt;width:453.55pt;mso-position-horizontal:center;z-index:251686912;mso-width-relative:page;mso-height-relative:page;" coordsize="21600,21600" o:gfxdata="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d1hBNMA&#10;AAAGAQAADwAAAAAAAAABACAAAAAiAAAAZHJzL2Rvd25yZXYueG1sUEsBAhQAFAAAAAgAh07iQGzg&#10;AlXrAQAA2AMAAA4AAAAAAAAAAQAgAAAAIgEAAGRycy9lMm9Eb2MueG1sUEsFBgAAAAAGAAYAWQEA&#10;AH8FAAAAAA==&#10;">
            <v:path arrowok="t"/>
            <v:fill focussize="0,0"/>
            <v:stroke/>
            <v:imagedata o:title=""/>
            <o:lock v:ext="edit"/>
          </v:line>
        </w:pict>
      </w:r>
    </w:p>
    <w:p>
      <w:pPr>
        <w:tabs>
          <w:tab w:val="left" w:pos="720"/>
        </w:tabs>
        <w:autoSpaceDE w:val="0"/>
        <w:autoSpaceDN w:val="0"/>
        <w:adjustRightInd w:val="0"/>
        <w:ind w:left="352" w:right="18" w:hanging="180"/>
        <w:jc w:val="center"/>
        <w:rPr>
          <w:rFonts w:ascii="宋体" w:hAnsi="宋体" w:cs="宋体"/>
          <w:color w:val="000000" w:themeColor="text1"/>
          <w:sz w:val="36"/>
          <w:szCs w:val="36"/>
        </w:rPr>
      </w:pPr>
      <w:r>
        <w:rPr>
          <w:rFonts w:hint="eastAsia" w:ascii="宋体" w:hAnsi="宋体" w:cs="宋体"/>
          <w:b/>
          <w:color w:val="000000" w:themeColor="text1"/>
          <w:kern w:val="0"/>
          <w:sz w:val="36"/>
          <w:szCs w:val="36"/>
        </w:rPr>
        <w:t>国家市场监督管理总局</w:t>
      </w:r>
    </w:p>
    <w:p>
      <w:pPr>
        <w:widowControl/>
        <w:spacing w:line="360" w:lineRule="auto"/>
        <w:jc w:val="left"/>
        <w:rPr>
          <w:rFonts w:ascii="宋体" w:hAnsi="宋体" w:cs="宋体"/>
          <w:color w:val="000000" w:themeColor="text1"/>
          <w:sz w:val="24"/>
          <w:szCs w:val="28"/>
        </w:rPr>
        <w:sectPr>
          <w:pgSz w:w="11906" w:h="16838"/>
          <w:pgMar w:top="1418" w:right="1418" w:bottom="1090" w:left="1418" w:header="851" w:footer="992" w:gutter="0"/>
          <w:cols w:space="720" w:num="1"/>
          <w:docGrid w:linePitch="312" w:charSpace="0"/>
        </w:sectPr>
      </w:pPr>
    </w:p>
    <w:p>
      <w:pPr>
        <w:tabs>
          <w:tab w:val="left" w:pos="720"/>
        </w:tabs>
        <w:autoSpaceDE w:val="0"/>
        <w:autoSpaceDN w:val="0"/>
        <w:adjustRightInd w:val="0"/>
        <w:ind w:left="352" w:right="18" w:hanging="180"/>
        <w:jc w:val="center"/>
        <w:rPr>
          <w:rFonts w:ascii="宋体" w:hAnsi="宋体" w:eastAsia="宋体" w:cs="Times New Roman"/>
          <w:b/>
          <w:kern w:val="0"/>
          <w:sz w:val="44"/>
          <w:szCs w:val="28"/>
        </w:rPr>
      </w:pPr>
      <w:r>
        <w:rPr>
          <w:rFonts w:hint="eastAsia" w:ascii="宋体" w:hAnsi="宋体" w:eastAsia="宋体" w:cs="Times New Roman"/>
          <w:b/>
          <w:kern w:val="0"/>
          <w:sz w:val="44"/>
          <w:szCs w:val="28"/>
        </w:rPr>
        <w:t>危险化学品生产许可证实施细则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（危险化学品氯碱产品部分）</w:t>
      </w:r>
    </w:p>
    <w:p>
      <w:pPr>
        <w:tabs>
          <w:tab w:val="left" w:pos="8788"/>
        </w:tabs>
        <w:spacing w:line="240" w:lineRule="exact"/>
        <w:outlineLvl w:val="0"/>
        <w:rPr>
          <w:rFonts w:ascii="宋体" w:hAnsi="宋体" w:cs="宋体"/>
          <w:b/>
          <w:color w:val="000000" w:themeColor="text1"/>
          <w:kern w:val="0"/>
          <w:sz w:val="36"/>
          <w:szCs w:val="36"/>
        </w:rPr>
      </w:pPr>
    </w:p>
    <w:p>
      <w:pPr>
        <w:pStyle w:val="14"/>
        <w:spacing w:line="400" w:lineRule="exact"/>
        <w:rPr>
          <w:rFonts w:ascii="宋体" w:hAnsi="宋体" w:cs="宋体"/>
        </w:rPr>
      </w:pPr>
      <w:r>
        <w:rPr>
          <w:rFonts w:hint="eastAsia" w:ascii="宋体" w:hAnsi="宋体" w:cs="宋体"/>
        </w:rPr>
        <w:t xml:space="preserve">第一条 依据《中华人民共和国工业产品生产许可证管理条例》《中华人民共和国工业产品生产许可证管理条例实施办法》及国务院关于工业产品生产许可证制度的改革要求，制定本细则。 </w:t>
      </w:r>
    </w:p>
    <w:p>
      <w:pPr>
        <w:pStyle w:val="14"/>
        <w:spacing w:line="400" w:lineRule="exact"/>
        <w:rPr>
          <w:rFonts w:ascii="宋体" w:hAnsi="宋体" w:cs="宋体"/>
        </w:rPr>
      </w:pPr>
      <w:r>
        <w:rPr>
          <w:rFonts w:hint="eastAsia" w:ascii="宋体" w:hAnsi="宋体" w:cs="宋体"/>
        </w:rPr>
        <w:t>第二条 本细则适用于省级市场监管部门危险化学品氯碱产品的生产许可核发等工作。</w:t>
      </w:r>
    </w:p>
    <w:p>
      <w:pPr>
        <w:pStyle w:val="14"/>
        <w:spacing w:line="400" w:lineRule="exact"/>
        <w:rPr>
          <w:rFonts w:ascii="宋体" w:hAnsi="宋体" w:cs="宋体"/>
        </w:rPr>
      </w:pPr>
      <w:bookmarkStart w:id="0" w:name="_Toc507721776"/>
      <w:r>
        <w:rPr>
          <w:rFonts w:hint="eastAsia" w:ascii="宋体" w:hAnsi="宋体" w:cs="宋体"/>
        </w:rPr>
        <w:t xml:space="preserve">第三条 </w:t>
      </w:r>
      <w:bookmarkEnd w:id="0"/>
      <w:r>
        <w:rPr>
          <w:rFonts w:hint="eastAsia" w:ascii="宋体" w:hAnsi="宋体" w:cs="宋体"/>
        </w:rPr>
        <w:t>发证产品范围及产品单元。</w:t>
      </w:r>
    </w:p>
    <w:p>
      <w:pPr>
        <w:pStyle w:val="14"/>
        <w:spacing w:line="400" w:lineRule="exact"/>
        <w:rPr>
          <w:rFonts w:ascii="宋体" w:hAnsi="宋体" w:cs="宋体"/>
        </w:rPr>
      </w:pPr>
      <w:r>
        <w:rPr>
          <w:rFonts w:hint="eastAsia" w:ascii="宋体" w:hAnsi="宋体" w:cs="宋体"/>
        </w:rPr>
        <w:t>本细则中的危险化学品氯碱产品包括：电解氯化钠溶液或氯化钾溶液生产的液体烧碱、液体氢氧化钾，以天然碱为原料经苛化法生产的液体烧碱，和以它们为原料经加工（浓缩或稀释）制得的液体产品、固体产品；电解盐水、熔融盐、盐酸或氧化氯化氢产生的氯气经液化得到的工业用液氯；氢气和氯气反应生成的氯化氢经水吸收而制得的盐酸，化工生产过程中副产的盐酸，和以这些盐酸为原料进一步加工制得的盐酸类产品；以氯气或液氯为原料制得的次氯酸钙（漂粉精）、次氯酸钠、漂白粉，和对它们进一步加工制得的次氯酸盐类产品；以氯气或液氯、磷或磷化产品为原料，经氯化或氧化而制得的三氯化磷、三氯氧磷、五氯化磷，和对它们进一步加工制得的产品。</w:t>
      </w:r>
      <w:r>
        <w:rPr>
          <w:rFonts w:ascii="宋体" w:hAnsi="宋体" w:cs="宋体"/>
        </w:rPr>
        <w:t>本细则规定执行国家标准或行业标准的危险化学品</w:t>
      </w:r>
      <w:r>
        <w:rPr>
          <w:rFonts w:hint="eastAsia" w:ascii="宋体" w:hAnsi="宋体" w:cs="宋体"/>
        </w:rPr>
        <w:t>氯碱</w:t>
      </w:r>
      <w:r>
        <w:rPr>
          <w:rFonts w:ascii="宋体" w:hAnsi="宋体" w:cs="宋体"/>
        </w:rPr>
        <w:t>产品为生产许可证发证产品，</w:t>
      </w:r>
      <w:r>
        <w:rPr>
          <w:rFonts w:hint="eastAsia" w:ascii="宋体" w:hAnsi="宋体" w:cs="宋体"/>
        </w:rPr>
        <w:t>包括1个产品单元，具体产品单元及产品品种见表</w:t>
      </w:r>
      <w:r>
        <w:rPr>
          <w:rFonts w:ascii="宋体" w:hAnsi="宋体" w:cs="宋体"/>
        </w:rPr>
        <w:t>1</w:t>
      </w:r>
      <w:r>
        <w:rPr>
          <w:rFonts w:hint="eastAsia" w:ascii="宋体" w:hAnsi="宋体" w:cs="宋体"/>
        </w:rPr>
        <w:t>。企业生产（包括生产、加工）表</w:t>
      </w:r>
      <w:r>
        <w:rPr>
          <w:rFonts w:ascii="宋体" w:hAnsi="宋体" w:cs="宋体"/>
        </w:rPr>
        <w:t>1</w:t>
      </w:r>
      <w:r>
        <w:rPr>
          <w:rFonts w:hint="eastAsia" w:ascii="宋体" w:hAnsi="宋体" w:cs="宋体"/>
        </w:rPr>
        <w:t>中的产品应当办理生产许可证，当仅作为企业自用原料进入生产下一环节</w:t>
      </w:r>
      <w:r>
        <w:rPr>
          <w:rFonts w:ascii="宋体" w:hAnsi="宋体" w:cs="宋体"/>
        </w:rPr>
        <w:t>,</w:t>
      </w:r>
      <w:r>
        <w:rPr>
          <w:rFonts w:hint="eastAsia" w:ascii="宋体" w:hAnsi="宋体" w:cs="宋体"/>
        </w:rPr>
        <w:t>则不需要单独取得工业产品生产许可证。</w:t>
      </w:r>
    </w:p>
    <w:p>
      <w:pPr>
        <w:spacing w:line="400" w:lineRule="exact"/>
        <w:ind w:left="426"/>
        <w:jc w:val="center"/>
        <w:rPr>
          <w:rFonts w:ascii="宋体"/>
          <w:b/>
          <w:bCs/>
          <w:color w:val="000000" w:themeColor="text1"/>
        </w:rPr>
      </w:pPr>
      <w:r>
        <w:rPr>
          <w:rFonts w:hint="eastAsia" w:ascii="宋体" w:hAnsi="宋体" w:cs="宋体"/>
          <w:b/>
          <w:bCs/>
          <w:color w:val="000000" w:themeColor="text1"/>
        </w:rPr>
        <w:t>表</w:t>
      </w:r>
      <w:r>
        <w:rPr>
          <w:rFonts w:ascii="宋体" w:hAnsi="宋体" w:cs="宋体"/>
          <w:b/>
          <w:bCs/>
          <w:color w:val="000000" w:themeColor="text1"/>
        </w:rPr>
        <w:t xml:space="preserve">1  </w:t>
      </w:r>
      <w:r>
        <w:rPr>
          <w:rFonts w:hint="eastAsia" w:ascii="宋体" w:hAnsi="宋体" w:cs="宋体"/>
          <w:b/>
          <w:bCs/>
          <w:color w:val="000000" w:themeColor="text1"/>
        </w:rPr>
        <w:t>危险化学品氯碱产品单元、产品品种</w:t>
      </w:r>
    </w:p>
    <w:tbl>
      <w:tblPr>
        <w:tblStyle w:val="10"/>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812"/>
        <w:gridCol w:w="1778"/>
        <w:gridCol w:w="4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848" w:type="dxa"/>
            <w:vAlign w:val="center"/>
          </w:tcPr>
          <w:p>
            <w:pPr>
              <w:spacing w:before="52" w:beforeLines="22" w:after="52" w:afterLines="22" w:line="240" w:lineRule="atLeast"/>
              <w:jc w:val="center"/>
              <w:rPr>
                <w:rFonts w:ascii="宋体"/>
                <w:b/>
                <w:bCs/>
                <w:color w:val="000000" w:themeColor="text1"/>
                <w:kern w:val="0"/>
              </w:rPr>
            </w:pPr>
            <w:r>
              <w:rPr>
                <w:rFonts w:hint="eastAsia" w:ascii="宋体" w:hAnsi="宋体" w:cs="宋体"/>
                <w:b/>
                <w:bCs/>
                <w:color w:val="000000" w:themeColor="text1"/>
                <w:kern w:val="0"/>
              </w:rPr>
              <w:t>序号</w:t>
            </w:r>
          </w:p>
        </w:tc>
        <w:tc>
          <w:tcPr>
            <w:tcW w:w="1812" w:type="dxa"/>
            <w:vAlign w:val="center"/>
          </w:tcPr>
          <w:p>
            <w:pPr>
              <w:spacing w:before="52" w:beforeLines="22" w:after="52" w:afterLines="22" w:line="240" w:lineRule="atLeast"/>
              <w:jc w:val="center"/>
              <w:rPr>
                <w:rFonts w:ascii="宋体"/>
                <w:b/>
                <w:bCs/>
                <w:color w:val="000000" w:themeColor="text1"/>
                <w:kern w:val="0"/>
              </w:rPr>
            </w:pPr>
            <w:r>
              <w:rPr>
                <w:rFonts w:hint="eastAsia" w:ascii="宋体" w:hAnsi="宋体" w:cs="宋体"/>
                <w:b/>
                <w:bCs/>
                <w:color w:val="000000" w:themeColor="text1"/>
                <w:kern w:val="0"/>
              </w:rPr>
              <w:t>产品单元</w:t>
            </w:r>
          </w:p>
        </w:tc>
        <w:tc>
          <w:tcPr>
            <w:tcW w:w="1778" w:type="dxa"/>
            <w:vAlign w:val="center"/>
          </w:tcPr>
          <w:p>
            <w:pPr>
              <w:spacing w:before="52" w:beforeLines="22" w:after="52" w:afterLines="22" w:line="240" w:lineRule="atLeast"/>
              <w:jc w:val="center"/>
              <w:rPr>
                <w:rFonts w:ascii="宋体"/>
                <w:b/>
                <w:bCs/>
                <w:color w:val="000000" w:themeColor="text1"/>
                <w:kern w:val="0"/>
              </w:rPr>
            </w:pPr>
            <w:r>
              <w:rPr>
                <w:rFonts w:hint="eastAsia" w:ascii="宋体" w:hAnsi="宋体" w:cs="宋体"/>
                <w:b/>
                <w:bCs/>
                <w:color w:val="000000" w:themeColor="text1"/>
                <w:kern w:val="0"/>
              </w:rPr>
              <w:t>产品品种序号</w:t>
            </w:r>
          </w:p>
        </w:tc>
        <w:tc>
          <w:tcPr>
            <w:tcW w:w="4848" w:type="dxa"/>
            <w:vAlign w:val="center"/>
          </w:tcPr>
          <w:p>
            <w:pPr>
              <w:spacing w:before="52" w:beforeLines="22" w:after="52" w:afterLines="22" w:line="240" w:lineRule="atLeast"/>
              <w:jc w:val="center"/>
              <w:rPr>
                <w:rFonts w:ascii="宋体"/>
                <w:b/>
                <w:bCs/>
                <w:color w:val="000000" w:themeColor="text1"/>
                <w:kern w:val="0"/>
              </w:rPr>
            </w:pPr>
            <w:r>
              <w:rPr>
                <w:rFonts w:hint="eastAsia" w:ascii="宋体" w:hAnsi="宋体" w:cs="宋体"/>
                <w:b/>
                <w:bCs/>
                <w:color w:val="000000" w:themeColor="text1"/>
                <w:kern w:val="0"/>
              </w:rPr>
              <w:t>产品品种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restart"/>
            <w:vAlign w:val="center"/>
          </w:tcPr>
          <w:p>
            <w:pPr>
              <w:spacing w:before="52" w:beforeLines="22" w:after="52" w:afterLines="22" w:line="240" w:lineRule="atLeast"/>
              <w:jc w:val="center"/>
              <w:rPr>
                <w:rFonts w:ascii="宋体"/>
                <w:color w:val="000000" w:themeColor="text1"/>
                <w:kern w:val="0"/>
              </w:rPr>
            </w:pPr>
            <w:r>
              <w:rPr>
                <w:rFonts w:ascii="宋体" w:hAnsi="宋体" w:cs="宋体"/>
                <w:color w:val="000000" w:themeColor="text1"/>
                <w:kern w:val="0"/>
              </w:rPr>
              <w:t>1</w:t>
            </w:r>
          </w:p>
        </w:tc>
        <w:tc>
          <w:tcPr>
            <w:tcW w:w="1812" w:type="dxa"/>
            <w:vMerge w:val="restart"/>
            <w:vAlign w:val="center"/>
          </w:tcPr>
          <w:p>
            <w:pPr>
              <w:spacing w:before="52" w:beforeLines="22" w:after="52" w:afterLines="22" w:line="240" w:lineRule="atLeast"/>
              <w:jc w:val="center"/>
              <w:rPr>
                <w:rFonts w:ascii="宋体"/>
                <w:color w:val="000000" w:themeColor="text1"/>
                <w:kern w:val="0"/>
              </w:rPr>
            </w:pPr>
            <w:r>
              <w:rPr>
                <w:rFonts w:hint="eastAsia" w:ascii="宋体" w:hAnsi="宋体" w:cs="宋体"/>
                <w:color w:val="000000" w:themeColor="text1"/>
                <w:kern w:val="0"/>
              </w:rPr>
              <w:t>氯碱</w:t>
            </w:r>
          </w:p>
        </w:tc>
        <w:tc>
          <w:tcPr>
            <w:tcW w:w="1778" w:type="dxa"/>
            <w:vAlign w:val="center"/>
          </w:tcPr>
          <w:p>
            <w:pPr>
              <w:spacing w:before="52" w:beforeLines="22" w:after="52" w:afterLines="22" w:line="240" w:lineRule="atLeast"/>
              <w:jc w:val="center"/>
              <w:rPr>
                <w:rFonts w:ascii="宋体"/>
                <w:color w:val="000000" w:themeColor="text1"/>
                <w:kern w:val="0"/>
              </w:rPr>
            </w:pPr>
            <w:r>
              <w:rPr>
                <w:rFonts w:ascii="宋体" w:hAnsi="宋体" w:cs="宋体"/>
                <w:color w:val="000000" w:themeColor="text1"/>
                <w:kern w:val="0"/>
              </w:rPr>
              <w:t>1</w:t>
            </w:r>
          </w:p>
        </w:tc>
        <w:tc>
          <w:tcPr>
            <w:tcW w:w="4848" w:type="dxa"/>
            <w:vAlign w:val="center"/>
          </w:tcPr>
          <w:p>
            <w:pPr>
              <w:spacing w:before="52" w:beforeLines="22" w:after="52" w:afterLines="22" w:line="240" w:lineRule="atLeast"/>
              <w:rPr>
                <w:rFonts w:ascii="宋体"/>
                <w:color w:val="000000" w:themeColor="text1"/>
                <w:kern w:val="0"/>
              </w:rPr>
            </w:pPr>
            <w:r>
              <w:rPr>
                <w:rFonts w:hint="eastAsia" w:ascii="宋体" w:hAnsi="宋体" w:cs="宋体"/>
                <w:color w:val="000000" w:themeColor="text1"/>
                <w:kern w:val="0"/>
              </w:rPr>
              <w:t>高纯氢氧化钠</w:t>
            </w:r>
            <w:r>
              <w:rPr>
                <w:rFonts w:ascii="宋体" w:hAnsi="宋体" w:cs="宋体"/>
                <w:color w:val="000000" w:themeColor="text1"/>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52" w:beforeLines="22" w:after="52" w:afterLines="22" w:line="240" w:lineRule="atLeast"/>
              <w:jc w:val="center"/>
              <w:rPr>
                <w:rFonts w:ascii="宋体"/>
                <w:color w:val="000000" w:themeColor="text1"/>
                <w:kern w:val="0"/>
              </w:rPr>
            </w:pPr>
            <w:r>
              <w:rPr>
                <w:rFonts w:ascii="宋体" w:hAnsi="宋体" w:cs="宋体"/>
                <w:color w:val="000000" w:themeColor="text1"/>
                <w:kern w:val="0"/>
              </w:rPr>
              <w:t>2</w:t>
            </w:r>
          </w:p>
        </w:tc>
        <w:tc>
          <w:tcPr>
            <w:tcW w:w="4848" w:type="dxa"/>
            <w:vAlign w:val="center"/>
          </w:tcPr>
          <w:p>
            <w:pPr>
              <w:spacing w:before="52" w:beforeLines="22" w:after="52" w:afterLines="22" w:line="240" w:lineRule="atLeast"/>
              <w:rPr>
                <w:rFonts w:ascii="宋体"/>
                <w:color w:val="000000" w:themeColor="text1"/>
                <w:kern w:val="0"/>
              </w:rPr>
            </w:pPr>
            <w:r>
              <w:rPr>
                <w:rFonts w:hint="eastAsia" w:ascii="宋体" w:hAnsi="宋体" w:cs="宋体"/>
                <w:color w:val="000000" w:themeColor="text1"/>
                <w:kern w:val="0"/>
              </w:rPr>
              <w:t>化纤用氢氧化钠</w:t>
            </w:r>
            <w:r>
              <w:rPr>
                <w:rFonts w:ascii="宋体" w:hAnsi="宋体" w:cs="宋体"/>
                <w:color w:val="000000" w:themeColor="text1"/>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52" w:beforeLines="22" w:after="52" w:afterLines="22" w:line="240" w:lineRule="atLeast"/>
              <w:jc w:val="center"/>
              <w:rPr>
                <w:rFonts w:ascii="宋体"/>
                <w:color w:val="000000" w:themeColor="text1"/>
                <w:kern w:val="0"/>
              </w:rPr>
            </w:pPr>
            <w:r>
              <w:rPr>
                <w:rFonts w:ascii="宋体" w:hAnsi="宋体" w:cs="宋体"/>
                <w:color w:val="000000" w:themeColor="text1"/>
                <w:kern w:val="0"/>
              </w:rPr>
              <w:t>3</w:t>
            </w:r>
          </w:p>
        </w:tc>
        <w:tc>
          <w:tcPr>
            <w:tcW w:w="4848" w:type="dxa"/>
            <w:vAlign w:val="center"/>
          </w:tcPr>
          <w:p>
            <w:pPr>
              <w:spacing w:before="52" w:beforeLines="22" w:after="52" w:afterLines="22" w:line="240" w:lineRule="atLeast"/>
              <w:rPr>
                <w:rFonts w:ascii="宋体"/>
                <w:color w:val="000000" w:themeColor="text1"/>
                <w:kern w:val="0"/>
              </w:rPr>
            </w:pPr>
            <w:r>
              <w:rPr>
                <w:rFonts w:hint="eastAsia" w:ascii="宋体" w:hAnsi="宋体" w:cs="宋体"/>
                <w:color w:val="000000" w:themeColor="text1"/>
                <w:kern w:val="0"/>
              </w:rPr>
              <w:t>工业用氢氧化钠</w:t>
            </w:r>
            <w:r>
              <w:rPr>
                <w:rFonts w:ascii="宋体" w:hAnsi="宋体" w:cs="宋体"/>
                <w:color w:val="000000" w:themeColor="text1"/>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52" w:beforeLines="22" w:after="52" w:afterLines="22" w:line="240" w:lineRule="atLeast"/>
              <w:jc w:val="center"/>
              <w:rPr>
                <w:rFonts w:ascii="宋体"/>
                <w:color w:val="000000" w:themeColor="text1"/>
                <w:kern w:val="0"/>
              </w:rPr>
            </w:pPr>
            <w:r>
              <w:rPr>
                <w:rFonts w:ascii="宋体" w:hAnsi="宋体" w:cs="宋体"/>
                <w:color w:val="000000" w:themeColor="text1"/>
                <w:kern w:val="0"/>
              </w:rPr>
              <w:t>4</w:t>
            </w:r>
          </w:p>
        </w:tc>
        <w:tc>
          <w:tcPr>
            <w:tcW w:w="4848" w:type="dxa"/>
            <w:vAlign w:val="center"/>
          </w:tcPr>
          <w:p>
            <w:pPr>
              <w:spacing w:before="52" w:beforeLines="22" w:after="52" w:afterLines="22" w:line="240" w:lineRule="atLeast"/>
              <w:rPr>
                <w:rFonts w:ascii="宋体"/>
                <w:color w:val="000000" w:themeColor="text1"/>
                <w:kern w:val="0"/>
              </w:rPr>
            </w:pPr>
            <w:bookmarkStart w:id="1" w:name="OLE_LINK5"/>
            <w:r>
              <w:rPr>
                <w:rFonts w:hint="eastAsia" w:ascii="宋体" w:hAnsi="宋体" w:cs="宋体"/>
                <w:color w:val="000000" w:themeColor="text1"/>
                <w:kern w:val="0"/>
              </w:rPr>
              <w:t>天然碱苛化法氢氧化钠</w:t>
            </w:r>
            <w:bookmarkEnd w:id="1"/>
            <w:r>
              <w:rPr>
                <w:rFonts w:ascii="宋体" w:hAnsi="宋体" w:cs="宋体"/>
                <w:color w:val="000000" w:themeColor="text1"/>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52" w:beforeLines="22" w:after="52" w:afterLines="22" w:line="240" w:lineRule="atLeast"/>
              <w:jc w:val="center"/>
              <w:rPr>
                <w:rFonts w:ascii="宋体"/>
                <w:color w:val="000000" w:themeColor="text1"/>
                <w:kern w:val="0"/>
              </w:rPr>
            </w:pPr>
            <w:r>
              <w:rPr>
                <w:rFonts w:ascii="宋体" w:hAnsi="宋体" w:cs="宋体"/>
                <w:color w:val="000000" w:themeColor="text1"/>
                <w:kern w:val="0"/>
              </w:rPr>
              <w:t>5</w:t>
            </w:r>
          </w:p>
        </w:tc>
        <w:tc>
          <w:tcPr>
            <w:tcW w:w="4848" w:type="dxa"/>
            <w:vAlign w:val="center"/>
          </w:tcPr>
          <w:p>
            <w:pPr>
              <w:spacing w:before="52" w:beforeLines="22" w:after="52" w:afterLines="22"/>
              <w:rPr>
                <w:rFonts w:ascii="宋体"/>
                <w:color w:val="000000" w:themeColor="text1"/>
              </w:rPr>
            </w:pPr>
            <w:r>
              <w:rPr>
                <w:rFonts w:hint="eastAsia" w:ascii="宋体" w:hAnsi="宋体" w:cs="宋体"/>
                <w:color w:val="000000" w:themeColor="text1"/>
              </w:rPr>
              <w:t>高品质片状氢氧化钾</w:t>
            </w:r>
            <w:r>
              <w:rPr>
                <w:rFonts w:ascii="宋体" w:hAnsi="宋体" w:cs="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6</w:t>
            </w:r>
          </w:p>
        </w:tc>
        <w:tc>
          <w:tcPr>
            <w:tcW w:w="4848" w:type="dxa"/>
            <w:vAlign w:val="center"/>
          </w:tcPr>
          <w:p>
            <w:pPr>
              <w:spacing w:before="72" w:beforeLines="30" w:after="72" w:afterLines="30"/>
              <w:rPr>
                <w:rFonts w:ascii="宋体"/>
                <w:color w:val="000000" w:themeColor="text1"/>
              </w:rPr>
            </w:pPr>
            <w:r>
              <w:rPr>
                <w:rFonts w:hint="eastAsia" w:ascii="宋体" w:hAnsi="宋体" w:cs="宋体"/>
                <w:color w:val="000000" w:themeColor="text1"/>
              </w:rPr>
              <w:t>工业离子膜法氢氧化钾溶液</w:t>
            </w:r>
            <w:r>
              <w:rPr>
                <w:rFonts w:ascii="宋体" w:hAnsi="宋体" w:cs="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7</w:t>
            </w:r>
          </w:p>
        </w:tc>
        <w:tc>
          <w:tcPr>
            <w:tcW w:w="4848" w:type="dxa"/>
            <w:vAlign w:val="center"/>
          </w:tcPr>
          <w:p>
            <w:pPr>
              <w:spacing w:before="72" w:beforeLines="30" w:after="72" w:afterLines="30"/>
              <w:rPr>
                <w:rFonts w:ascii="宋体"/>
                <w:color w:val="000000" w:themeColor="text1"/>
              </w:rPr>
            </w:pPr>
            <w:r>
              <w:rPr>
                <w:rFonts w:hint="eastAsia" w:ascii="宋体" w:hAnsi="宋体" w:cs="宋体"/>
                <w:color w:val="000000" w:themeColor="text1"/>
              </w:rPr>
              <w:t>工业氢氧化钾</w:t>
            </w:r>
            <w:r>
              <w:rPr>
                <w:rFonts w:ascii="宋体" w:hAnsi="宋体" w:cs="宋体"/>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8</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工业用液氯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9</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高纯盐酸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10</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工业用合成盐酸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11</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副产盐酸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vAlign w:val="center"/>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12</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次氯酸钙（漂粉精）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13</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漂白粉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14</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次氯酸钠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vAlign w:val="center"/>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15</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工业用三氯氧磷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16</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工业用五氯化磷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8" w:type="dxa"/>
            <w:vMerge w:val="continue"/>
            <w:vAlign w:val="center"/>
          </w:tcPr>
          <w:p>
            <w:pPr>
              <w:spacing w:before="52" w:beforeLines="22" w:after="52" w:afterLines="22" w:line="240" w:lineRule="atLeast"/>
              <w:jc w:val="center"/>
              <w:rPr>
                <w:rFonts w:ascii="宋体"/>
                <w:color w:val="000000" w:themeColor="text1"/>
                <w:kern w:val="0"/>
              </w:rPr>
            </w:pPr>
          </w:p>
        </w:tc>
        <w:tc>
          <w:tcPr>
            <w:tcW w:w="1812" w:type="dxa"/>
            <w:vMerge w:val="continue"/>
          </w:tcPr>
          <w:p>
            <w:pPr>
              <w:spacing w:before="52" w:beforeLines="22" w:after="52" w:afterLines="22" w:line="240" w:lineRule="atLeast"/>
              <w:jc w:val="center"/>
              <w:rPr>
                <w:rFonts w:ascii="宋体"/>
                <w:color w:val="000000" w:themeColor="text1"/>
                <w:kern w:val="0"/>
              </w:rPr>
            </w:pPr>
          </w:p>
        </w:tc>
        <w:tc>
          <w:tcPr>
            <w:tcW w:w="1778" w:type="dxa"/>
            <w:vAlign w:val="center"/>
          </w:tcPr>
          <w:p>
            <w:pPr>
              <w:spacing w:before="72" w:beforeLines="30" w:after="72" w:afterLines="30" w:line="240" w:lineRule="atLeast"/>
              <w:jc w:val="center"/>
              <w:rPr>
                <w:rFonts w:ascii="宋体"/>
                <w:color w:val="000000" w:themeColor="text1"/>
                <w:kern w:val="0"/>
              </w:rPr>
            </w:pPr>
            <w:r>
              <w:rPr>
                <w:rFonts w:ascii="宋体" w:hAnsi="宋体" w:cs="宋体"/>
                <w:color w:val="000000" w:themeColor="text1"/>
                <w:kern w:val="0"/>
              </w:rPr>
              <w:t>17</w:t>
            </w:r>
          </w:p>
        </w:tc>
        <w:tc>
          <w:tcPr>
            <w:tcW w:w="4848" w:type="dxa"/>
            <w:vAlign w:val="center"/>
          </w:tcPr>
          <w:p>
            <w:pPr>
              <w:spacing w:before="72" w:beforeLines="30" w:after="72" w:afterLines="30" w:line="240" w:lineRule="atLeast"/>
              <w:rPr>
                <w:rFonts w:ascii="宋体"/>
                <w:color w:val="000000" w:themeColor="text1"/>
                <w:kern w:val="0"/>
              </w:rPr>
            </w:pPr>
            <w:r>
              <w:rPr>
                <w:rFonts w:hint="eastAsia" w:ascii="宋体" w:hAnsi="宋体" w:cs="宋体"/>
                <w:color w:val="000000" w:themeColor="text1"/>
                <w:kern w:val="0"/>
              </w:rPr>
              <w:t>工业用三氯化磷</w:t>
            </w:r>
            <w:r>
              <w:rPr>
                <w:rFonts w:ascii="宋体" w:hAnsi="宋体" w:cs="宋体"/>
                <w:color w:val="000000" w:themeColor="text1"/>
                <w:kern w:val="0"/>
              </w:rPr>
              <w:t>#</w:t>
            </w:r>
          </w:p>
        </w:tc>
      </w:tr>
    </w:tbl>
    <w:p>
      <w:pPr>
        <w:spacing w:before="120" w:beforeLines="50"/>
        <w:jc w:val="left"/>
        <w:rPr>
          <w:rFonts w:ascii="宋体"/>
          <w:color w:val="000000" w:themeColor="text1"/>
        </w:rPr>
      </w:pPr>
      <w:r>
        <w:rPr>
          <w:rFonts w:hint="eastAsia" w:ascii="宋体" w:hAnsi="宋体" w:cs="宋体"/>
          <w:color w:val="000000" w:themeColor="text1"/>
        </w:rPr>
        <w:t>注：标“</w:t>
      </w:r>
      <w:r>
        <w:rPr>
          <w:rFonts w:ascii="宋体" w:hAnsi="宋体" w:cs="宋体"/>
          <w:color w:val="000000" w:themeColor="text1"/>
        </w:rPr>
        <w:t>#</w:t>
      </w:r>
      <w:r>
        <w:rPr>
          <w:rFonts w:hint="eastAsia" w:ascii="宋体" w:hAnsi="宋体" w:cs="宋体"/>
          <w:color w:val="000000" w:themeColor="text1"/>
        </w:rPr>
        <w:t>”号的为涉及产业政策的产品。</w:t>
      </w:r>
    </w:p>
    <w:p>
      <w:pPr>
        <w:pStyle w:val="11"/>
        <w:spacing w:line="400" w:lineRule="exact"/>
        <w:rPr>
          <w:rFonts w:ascii="宋体" w:hAnsi="宋体" w:cs="宋体"/>
          <w:b/>
          <w:color w:val="000000" w:themeColor="text1"/>
          <w:szCs w:val="24"/>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14"/>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14"/>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14"/>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14"/>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14"/>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14"/>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14"/>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14"/>
        <w:adjustRightInd w:val="0"/>
        <w:snapToGrid w:val="0"/>
        <w:spacing w:line="400" w:lineRule="exact"/>
        <w:rPr>
          <w:rFonts w:hint="eastAsia" w:asciiTheme="minorEastAsia" w:hAnsiTheme="minorEastAsia"/>
          <w:szCs w:val="24"/>
        </w:rPr>
      </w:pPr>
      <w:r>
        <w:rPr>
          <w:rFonts w:hint="eastAsia" w:ascii="宋体" w:hAnsi="宋体" w:cs="宋体"/>
          <w:szCs w:val="24"/>
        </w:rPr>
        <w:t>法律、行政法规有其他规定的，还应当符合其规</w:t>
      </w:r>
      <w:r>
        <w:rPr>
          <w:rFonts w:hint="eastAsia" w:asciiTheme="minorEastAsia" w:hAnsi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11"/>
        <w:spacing w:line="360" w:lineRule="auto"/>
        <w:ind w:firstLine="0" w:firstLineChars="0"/>
        <w:rPr>
          <w:rFonts w:ascii="宋体" w:hAnsi="宋体" w:cs="宋体"/>
          <w:color w:val="000000" w:themeColor="text1"/>
        </w:rPr>
      </w:pPr>
    </w:p>
    <w:p>
      <w:pPr>
        <w:jc w:val="center"/>
        <w:rPr>
          <w:rFonts w:ascii="宋体" w:hAnsi="宋体" w:cs="宋体"/>
          <w:b/>
          <w:color w:val="000000" w:themeColor="text1"/>
        </w:rPr>
      </w:pPr>
      <w:r>
        <w:rPr>
          <w:rFonts w:hint="eastAsia" w:ascii="宋体" w:hAnsi="宋体" w:cs="宋体"/>
          <w:b/>
          <w:color w:val="000000" w:themeColor="text1"/>
          <w:szCs w:val="21"/>
        </w:rPr>
        <w:t xml:space="preserve">表2  </w:t>
      </w:r>
      <w:r>
        <w:rPr>
          <w:rFonts w:hint="eastAsia" w:ascii="宋体" w:hAnsi="宋体" w:cs="宋体"/>
          <w:b/>
          <w:color w:val="000000" w:themeColor="text1"/>
        </w:rPr>
        <w:t>企业生产危险化学品氯碱产品</w:t>
      </w:r>
      <w:r>
        <w:rPr>
          <w:rFonts w:hint="eastAsia" w:ascii="宋体" w:hAnsi="宋体"/>
          <w:b/>
        </w:rPr>
        <w:t>应具备的</w:t>
      </w:r>
      <w:r>
        <w:rPr>
          <w:rFonts w:hint="eastAsia" w:ascii="宋体" w:hAnsi="宋体"/>
          <w:b/>
          <w:szCs w:val="21"/>
        </w:rPr>
        <w:t>生产设备与检验设备表</w:t>
      </w:r>
    </w:p>
    <w:tbl>
      <w:tblPr>
        <w:tblStyle w:val="10"/>
        <w:tblW w:w="96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674"/>
        <w:gridCol w:w="1134"/>
        <w:gridCol w:w="3960"/>
        <w:gridCol w:w="1134"/>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序号</w:t>
            </w:r>
          </w:p>
        </w:tc>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单元名称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产品</w:t>
            </w:r>
            <w:r>
              <w:rPr>
                <w:rFonts w:hint="eastAsia" w:ascii="宋体" w:hAnsi="宋体"/>
                <w:b/>
                <w:szCs w:val="21"/>
              </w:rPr>
              <w:t>品种</w:t>
            </w:r>
          </w:p>
        </w:tc>
        <w:tc>
          <w:tcPr>
            <w:tcW w:w="3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生产设备要求</w:t>
            </w:r>
          </w:p>
        </w:tc>
        <w:tc>
          <w:tcPr>
            <w:tcW w:w="21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检验设备名称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eastAsia="宋体" w:cs="Times New Roman"/>
                <w:kern w:val="0"/>
                <w:szCs w:val="21"/>
              </w:rPr>
              <w:t>高纯氢氧化钠</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盐桶、过滤器、精盐水贮槽、回收盐水贮槽、精制剂高位槽、配水槽、盐水过滤器、中和槽、树脂塔(精制塔)、精盐水高位槽、盐水预热器、电解槽*、电解液贮槽、高纯水槽、高纯酸槽、阴(阳)极液气液分离器、阴(阳)极液循环槽、脱氯塔、亚硫酸钠槽、电解液预热器、蒸发器、电解液循环槽、捕沫槽、盐酸高位槽等。</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酸式滴定管</w:t>
            </w:r>
            <w:r>
              <w:rPr>
                <w:rFonts w:ascii="宋体" w:hAnsi="宋体"/>
                <w:szCs w:val="21"/>
              </w:rPr>
              <w:t>,</w:t>
            </w:r>
            <w:r>
              <w:rPr>
                <w:rFonts w:hint="eastAsia" w:ascii="宋体" w:hAnsi="宋体"/>
                <w:szCs w:val="21"/>
              </w:rPr>
              <w:t>分光光度计</w:t>
            </w:r>
            <w:r>
              <w:rPr>
                <w:rFonts w:ascii="宋体" w:hAnsi="宋体"/>
                <w:szCs w:val="21"/>
              </w:rPr>
              <w:t>,</w:t>
            </w:r>
            <w:r>
              <w:rPr>
                <w:rFonts w:hint="eastAsia" w:ascii="宋体" w:hAnsi="宋体"/>
                <w:szCs w:val="21"/>
              </w:rPr>
              <w:t>或等离子体原子发射光谱仪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eastAsia="宋体" w:cs="Times New Roman"/>
                <w:kern w:val="0"/>
                <w:szCs w:val="21"/>
              </w:rPr>
              <w:t>化纤用氢氧化钠</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盐桶、过滤器、精盐水贮槽、回收盐水贮槽、精制剂高位槽、配水槽、盐水过滤器、中和槽、树脂塔(精制塔)、精盐水高位槽、盐水预热器、电解槽*、电解液贮槽、高纯水槽、高纯酸槽、阴(阳)极液气液分离器、阴(阳)极液循环槽、脱氯塔、亚硫酸钠槽、电解液预热器、蒸发器、电解液循环槽、捕沫槽、盐酸高位槽等。</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酸式滴定管,分光光度计,或等离子体原子发射光谱仪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3</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eastAsia="宋体" w:cs="Times New Roman"/>
                <w:kern w:val="0"/>
                <w:szCs w:val="21"/>
              </w:rPr>
              <w:t>工业用氢氧化钠</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盐桶、过滤器、精盐水贮槽、回收盐水贮槽、精制剂高位槽、配水槽、盐水过滤器、中和槽、树脂塔(精制塔)、精盐水高位槽、盐水预热器、电解槽*、电解液贮槽、高纯水槽、高纯酸槽、阴(阳)极液气液分离器、阴(阳)极液循环槽、脱氯塔、亚硫酸钠槽、电解液预热器、蒸发器、电解液循环槽、捕沫槽、盐酸高位槽等。</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酸式滴定管,分光光度计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4</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天然碱苛化法氢氧化钠</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化盐桶、精制剂高位槽、澄清桶、过滤器、洗泥桶、精盐水贮槽、盐水预热器、苛化槽*等。</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酸式滴定管,分光光度计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5</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高品质片状氢氧化钾</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盐桶、过滤器、精盐水贮槽、回收盐水贮槽、精制剂高位槽、配水槽、盐水过滤器、中和槽、树脂塔(精制塔)、精盐水高位槽、盐水预热器、电解槽*、电解液贮槽、高纯水槽、高纯酸槽、阴(阳)极液气液分离器、阴(阳)极液循环槽、脱氯塔、亚硫酸钠槽、电解液预热器、蒸发器、电解液循环槽、捕沫槽、盐酸高位槽，蒸发器、熔盐槽、加热炉、碱锅、片碱机、闪蒸罐。</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酸式滴定管，比色管，电位计,微量滴定管，分光光度计或等离子体原子发射光谱仪，火焰发射分光光度计，原子吸收分光光度计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6</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工业离子膜法氢氧化钾溶液</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盐桶、过滤器、精盐水贮槽、回收盐水贮槽、精制剂高位槽、配水槽、盐水过滤器、中和槽、树脂塔(精制塔)、精盐水高位槽、盐水预热器、电解槽*、电解液贮槽、高纯水槽、高纯酸槽、阴(阳)极液气液分离器、阴(阳)极液循环槽、脱氯塔、亚硫酸钠槽、电解液预热器、蒸发器、电解液循环槽、捕沫槽、盐酸高位槽等。</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酸式滴定管，比色管，微量滴定管，火焰放射分光光度计或等离子体原子发射光谱仪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7</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工业氢氧化钾</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盐桶、过滤器、精盐水贮槽、回收盐水贮槽、精制剂高位槽、配水槽、盐水过滤器、中和槽、树脂塔(精制塔)、精盐水高位槽、盐水预热器、电解槽*、电解液贮槽、高纯水槽、高纯酸槽、阴(阳)极液气液分离器、阴(阳)极液循环槽、脱氯塔、亚硫酸钠槽、电解液预热器、蒸发器、电解液循环槽、捕沫槽、盐酸高位槽等。</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酸式滴定管，比色管，微量滴定管，分光光度计，火焰发射分光光度计火焰放射分光光度计或等离子体原子发射光谱仪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8</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工业用液氯</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氯气洗涤塔、雾沫捕集器、透平机、氯气干燥塔、酸沫捕集器、缓冲罐、硫酸冷却槽、浓(稀)酸贮槽、氯气雾沫捕集器、氯气洗涤塔、液化槽、气液分离器、液氯计量槽、液氯贮槽、氯气液化机组、液氯热交换器、液氯钢瓶。</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液氯灌装应有过量报警系统和钢瓶灌装复称装置</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液氯取样器（小钢瓶），气体量管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9</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高纯盐酸</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氢气缓冲罐、氢气阻火器、氯气缓冲罐、合成炉（以上为合成盐酸必备）、石墨冷却器、氯化氢净化器、氯化氢吸收塔、集酸槽、成品罐。</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碱式滴定管，原子吸收仪或等离子体原子发射光谱仪，微量滴定管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0</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工业用合成盐酸</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氢气缓冲罐、氢气阻火器、氯气缓冲罐、合成炉（以上为合成盐酸必备）、石墨冷却器、氯化氢净化器、氯化氢吸收塔、集酸槽、成品罐。</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碱式滴定管，分光光度计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1</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副产盐酸</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氯化氢净化器、氯化氢吸收塔、集酸槽、成品罐。</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碱式滴定管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次氯酸钙（漂粉精）</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化灰池、水力旋流器、氯化槽、真空过滤机、压滤机、轧碎机、提升机、磨粉机、干燥机、旋风分离器、漂粉机、尾气吸收塔、石灰水储槽、吸收塔、循环泵。</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棕色滴定管，水分测定仪，温度计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3</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漂白粉</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化灰池、水力旋流器、氯化槽、真空过滤机、压滤机、轧碎机、提升机、磨粉机、干燥机、旋风分离器、漂粉机、尾气吸收塔、石灰水储槽、吸收塔、循环泵。</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棕色滴定管，水分测定仪，温度计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4</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次氯酸钠</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配碱槽，反应器，成品槽，泵</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棕色滴定管，酸式滴定管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5</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工业用三氯氧磷</w:t>
            </w:r>
          </w:p>
        </w:tc>
        <w:tc>
          <w:tcPr>
            <w:tcW w:w="396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熔磷锅、反应釜、冷凝器、填料塔、汽化器、计量罐、贮槽。</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棕色碱式滴定管，沸程测定装置，温度计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6</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工业用五氯化磷</w:t>
            </w:r>
          </w:p>
        </w:tc>
        <w:tc>
          <w:tcPr>
            <w:tcW w:w="3960"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szCs w:val="21"/>
              </w:rPr>
              <w:t>熔磷锅、反应釜、冷凝器、填料塔、汽化器、计量罐、贮槽。</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棕色碱式滴定管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r>
              <w:rPr>
                <w:rFonts w:ascii="宋体" w:hAnsi="宋体"/>
                <w:szCs w:val="21"/>
              </w:rPr>
              <w:t>7</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氯碱</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工业用三氯化磷</w:t>
            </w:r>
          </w:p>
        </w:tc>
        <w:tc>
          <w:tcPr>
            <w:tcW w:w="3960"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szCs w:val="21"/>
              </w:rPr>
              <w:t>熔磷锅、反应釜*、冷凝器、填料塔、汽化器、计量罐、贮槽。</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w:t>
            </w:r>
          </w:p>
        </w:tc>
        <w:tc>
          <w:tcPr>
            <w:tcW w:w="2109"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棕色碱式滴定管，分光光度计，沸程测定装置，温度计</w:t>
            </w:r>
          </w:p>
        </w:tc>
      </w:tr>
    </w:tbl>
    <w:p>
      <w:pPr>
        <w:pStyle w:val="14"/>
        <w:spacing w:line="400" w:lineRule="exact"/>
        <w:rPr>
          <w:rFonts w:ascii="宋体" w:hAnsi="宋体"/>
        </w:rPr>
      </w:pPr>
      <w:r>
        <w:rPr>
          <w:rFonts w:hint="eastAsia" w:ascii="宋体" w:hAnsi="宋体"/>
          <w:iCs/>
          <w:kern w:val="0"/>
          <w:szCs w:val="24"/>
        </w:rPr>
        <w:t>注：1.</w:t>
      </w:r>
      <w:r>
        <w:rPr>
          <w:rFonts w:hint="eastAsia" w:ascii="宋体" w:hAnsi="宋体" w:cs="宋体"/>
        </w:rPr>
        <w:t xml:space="preserve"> 本表</w:t>
      </w:r>
      <w:r>
        <w:rPr>
          <w:rFonts w:hint="eastAsia" w:hAnsi="宋体"/>
          <w:iCs/>
          <w:kern w:val="0"/>
          <w:szCs w:val="24"/>
        </w:rPr>
        <w:t>为</w:t>
      </w:r>
      <w:r>
        <w:rPr>
          <w:rFonts w:hint="eastAsia" w:ascii="宋体" w:hAnsi="宋体"/>
          <w:iCs/>
          <w:kern w:val="0"/>
          <w:szCs w:val="24"/>
        </w:rPr>
        <w:t>企业正常生产</w:t>
      </w:r>
      <w:r>
        <w:rPr>
          <w:rFonts w:hint="eastAsia" w:hAnsi="宋体"/>
          <w:iCs/>
          <w:kern w:val="0"/>
          <w:szCs w:val="24"/>
        </w:rPr>
        <w:t>应具备的</w:t>
      </w:r>
      <w:r>
        <w:rPr>
          <w:rFonts w:hint="eastAsia" w:ascii="宋体" w:hAnsi="宋体" w:cs="宋体"/>
        </w:rPr>
        <w:t>必备</w:t>
      </w:r>
      <w:r>
        <w:rPr>
          <w:rFonts w:hint="eastAsia" w:hAnsi="宋体"/>
          <w:iCs/>
          <w:kern w:val="0"/>
          <w:szCs w:val="24"/>
        </w:rPr>
        <w:t>生产设备</w:t>
      </w:r>
      <w:r>
        <w:rPr>
          <w:rFonts w:hint="eastAsia" w:ascii="宋体" w:hAnsi="宋体"/>
          <w:iCs/>
          <w:kern w:val="0"/>
          <w:szCs w:val="24"/>
        </w:rPr>
        <w:t>和企业应具备的主要检验设备，</w:t>
      </w:r>
      <w:r>
        <w:rPr>
          <w:rFonts w:hint="eastAsia" w:ascii="宋体" w:hAnsi="宋体" w:cs="宋体"/>
        </w:rPr>
        <w:t>生产设备可与上述设备名称不同，并根据企业情况以企业实际具备的生产设备为准；</w:t>
      </w:r>
      <w:r>
        <w:rPr>
          <w:rFonts w:hint="eastAsia" w:ascii="宋体" w:hAnsi="宋体"/>
        </w:rPr>
        <w:t>检验设备也可与上述设备名称不同，但应满足上述设备的功能要求。</w:t>
      </w:r>
    </w:p>
    <w:p>
      <w:pPr>
        <w:pStyle w:val="14"/>
        <w:spacing w:line="400" w:lineRule="exact"/>
        <w:rPr>
          <w:rFonts w:ascii="宋体" w:hAnsi="宋体"/>
          <w:iCs/>
          <w:kern w:val="0"/>
          <w:szCs w:val="24"/>
        </w:rPr>
      </w:pPr>
      <w:r>
        <w:rPr>
          <w:rFonts w:hint="eastAsia" w:ascii="宋体" w:hAnsi="宋体"/>
          <w:iCs/>
          <w:kern w:val="0"/>
          <w:szCs w:val="24"/>
        </w:rPr>
        <w:t>2.</w:t>
      </w:r>
      <w:r>
        <w:rPr>
          <w:rFonts w:hint="eastAsia" w:ascii="宋体" w:hAnsi="宋体"/>
        </w:rPr>
        <w:t>标准中对检验设备有精度要求的，设备精度应满足标准要求；未明确规定的，应满足相应的检测要求。</w:t>
      </w:r>
    </w:p>
    <w:p>
      <w:pPr>
        <w:pStyle w:val="16"/>
        <w:spacing w:line="400" w:lineRule="exact"/>
        <w:jc w:val="left"/>
        <w:rPr>
          <w:rFonts w:ascii="宋体" w:hAnsi="宋体"/>
          <w:iCs/>
          <w:kern w:val="0"/>
          <w:szCs w:val="24"/>
        </w:rPr>
      </w:pPr>
      <w:r>
        <w:rPr>
          <w:rFonts w:hint="eastAsia" w:ascii="宋体" w:hAnsi="宋体"/>
          <w:iCs/>
          <w:kern w:val="0"/>
          <w:szCs w:val="24"/>
        </w:rPr>
        <w:t>3.标注“*”设备为许可证书上应注明的关键生产设备。</w:t>
      </w:r>
    </w:p>
    <w:p>
      <w:pPr>
        <w:pStyle w:val="16"/>
        <w:spacing w:line="400" w:lineRule="exact"/>
        <w:jc w:val="left"/>
        <w:rPr>
          <w:rFonts w:ascii="宋体" w:hAnsi="宋体"/>
          <w:iCs/>
          <w:kern w:val="0"/>
          <w:szCs w:val="24"/>
        </w:rPr>
      </w:pPr>
      <w:r>
        <w:rPr>
          <w:rFonts w:hint="eastAsia" w:ascii="宋体" w:hAnsi="宋体"/>
          <w:iCs/>
          <w:kern w:val="0"/>
          <w:szCs w:val="24"/>
        </w:rPr>
        <w:t>4.同一检测项目有多种检测设备时，应至少具备其中一种且满足标准规定的检测要求。</w:t>
      </w:r>
    </w:p>
    <w:p>
      <w:pPr>
        <w:pStyle w:val="11"/>
        <w:spacing w:line="360" w:lineRule="auto"/>
        <w:ind w:firstLine="0" w:firstLineChars="0"/>
        <w:rPr>
          <w:rFonts w:ascii="宋体" w:hAnsi="宋体" w:cs="宋体"/>
        </w:rPr>
      </w:pPr>
    </w:p>
    <w:p>
      <w:pPr>
        <w:spacing w:line="400" w:lineRule="exact"/>
        <w:ind w:firstLine="420" w:firstLineChars="200"/>
        <w:jc w:val="left"/>
        <w:rPr>
          <w:rFonts w:asciiTheme="minorEastAsia" w:hAnsiTheme="minorEastAsia"/>
          <w:szCs w:val="24"/>
        </w:rPr>
      </w:pPr>
      <w:bookmarkStart w:id="2" w:name="_Toc507721778"/>
      <w:r>
        <w:rPr>
          <w:rFonts w:hint="eastAsia" w:asciiTheme="minorEastAsia" w:hAnsiTheme="minorEastAsia"/>
          <w:szCs w:val="24"/>
        </w:rPr>
        <w:t>第五条 证书要求</w:t>
      </w:r>
    </w:p>
    <w:p>
      <w:pPr>
        <w:pStyle w:val="14"/>
        <w:tabs>
          <w:tab w:val="left" w:pos="1276"/>
        </w:tabs>
        <w:spacing w:line="400" w:lineRule="exact"/>
        <w:rPr>
          <w:rFonts w:ascii="宋体" w:hAnsi="宋体"/>
          <w:kern w:val="0"/>
          <w:szCs w:val="24"/>
        </w:rPr>
      </w:pPr>
      <w:r>
        <w:rPr>
          <w:rFonts w:hint="eastAsia" w:ascii="宋体" w:hAnsi="宋体"/>
          <w:kern w:val="0"/>
          <w:szCs w:val="24"/>
        </w:rPr>
        <w:t>证书明细应包括产品单元名称、产品品种、关键设备名称及数量（示例见表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3</w:t>
      </w:r>
      <w:r>
        <w:rPr>
          <w:rFonts w:hint="eastAsia" w:ascii="宋体" w:hAnsi="宋体"/>
          <w:b/>
        </w:rPr>
        <w:t>证书产品明细内容示例</w:t>
      </w:r>
      <w:bookmarkEnd w:id="2"/>
    </w:p>
    <w:tbl>
      <w:tblPr>
        <w:tblStyle w:val="10"/>
        <w:tblW w:w="8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18"/>
        <w:gridCol w:w="1977"/>
        <w:gridCol w:w="1484"/>
        <w:gridCol w:w="3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序号</w:t>
            </w:r>
          </w:p>
        </w:tc>
        <w:tc>
          <w:tcPr>
            <w:tcW w:w="1977"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产品名称</w:t>
            </w:r>
          </w:p>
        </w:tc>
        <w:tc>
          <w:tcPr>
            <w:tcW w:w="1484"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产品单元</w:t>
            </w:r>
          </w:p>
        </w:tc>
        <w:tc>
          <w:tcPr>
            <w:tcW w:w="3775" w:type="dxa"/>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ascii="宋体" w:hAnsi="宋体"/>
                <w:b/>
                <w:bCs/>
                <w:color w:val="000000" w:themeColor="text1"/>
                <w:kern w:val="0"/>
                <w:szCs w:val="21"/>
              </w:rPr>
              <w:t>1</w:t>
            </w:r>
          </w:p>
        </w:tc>
        <w:tc>
          <w:tcPr>
            <w:tcW w:w="1977" w:type="dxa"/>
            <w:tcBorders>
              <w:top w:val="single" w:color="auto" w:sz="4" w:space="0"/>
              <w:left w:val="single" w:color="auto" w:sz="4" w:space="0"/>
              <w:right w:val="single" w:color="auto" w:sz="4" w:space="0"/>
            </w:tcBorders>
            <w:vAlign w:val="center"/>
          </w:tcPr>
          <w:p>
            <w:pPr>
              <w:rPr>
                <w:rFonts w:ascii="宋体"/>
                <w:i/>
                <w:iCs/>
                <w:color w:val="000000" w:themeColor="text1"/>
                <w:kern w:val="0"/>
              </w:rPr>
            </w:pPr>
            <w:r>
              <w:rPr>
                <w:rFonts w:hint="eastAsia" w:ascii="等线" w:hAnsi="等线" w:cs="宋体"/>
                <w:color w:val="000000" w:themeColor="text1"/>
              </w:rPr>
              <w:t>危险化学品氯碱产品</w:t>
            </w:r>
          </w:p>
        </w:tc>
        <w:tc>
          <w:tcPr>
            <w:tcW w:w="1484" w:type="dxa"/>
            <w:tcBorders>
              <w:top w:val="single" w:color="auto" w:sz="4" w:space="0"/>
              <w:left w:val="single" w:color="auto" w:sz="4" w:space="0"/>
              <w:right w:val="single" w:color="auto" w:sz="4" w:space="0"/>
            </w:tcBorders>
            <w:vAlign w:val="center"/>
          </w:tcPr>
          <w:p>
            <w:pPr>
              <w:spacing w:line="320" w:lineRule="exact"/>
              <w:jc w:val="center"/>
              <w:rPr>
                <w:rFonts w:ascii="宋体"/>
                <w:i/>
                <w:iCs/>
                <w:color w:val="000000" w:themeColor="text1"/>
                <w:kern w:val="0"/>
              </w:rPr>
            </w:pPr>
            <w:r>
              <w:rPr>
                <w:rFonts w:hint="eastAsia" w:ascii="宋体" w:hAnsi="宋体" w:cs="宋体"/>
                <w:color w:val="000000" w:themeColor="text1"/>
              </w:rPr>
              <w:t>氯碱</w:t>
            </w:r>
          </w:p>
        </w:tc>
        <w:tc>
          <w:tcPr>
            <w:tcW w:w="3775"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cs="宋体"/>
                <w:color w:val="000000" w:themeColor="text1"/>
                <w:kern w:val="0"/>
              </w:rPr>
            </w:pPr>
            <w:r>
              <w:rPr>
                <w:rFonts w:hint="eastAsia" w:ascii="宋体" w:hAnsi="宋体" w:cs="宋体"/>
                <w:color w:val="000000" w:themeColor="text1"/>
                <w:kern w:val="0"/>
              </w:rPr>
              <w:t>产品单元：氯碱</w:t>
            </w:r>
          </w:p>
          <w:p>
            <w:pPr>
              <w:spacing w:line="320" w:lineRule="exact"/>
              <w:rPr>
                <w:rFonts w:ascii="宋体" w:hAnsi="宋体" w:cs="宋体"/>
                <w:color w:val="000000" w:themeColor="text1"/>
                <w:kern w:val="0"/>
              </w:rPr>
            </w:pPr>
            <w:r>
              <w:rPr>
                <w:rFonts w:hint="eastAsia" w:ascii="宋体" w:hAnsi="宋体" w:cs="宋体"/>
                <w:color w:val="000000" w:themeColor="text1"/>
                <w:kern w:val="0"/>
              </w:rPr>
              <w:t>1. 产品</w:t>
            </w:r>
            <w:r>
              <w:rPr>
                <w:rFonts w:hint="eastAsia" w:ascii="宋体" w:hAnsi="宋体" w:cs="宋体"/>
                <w:color w:val="000000" w:themeColor="text1"/>
              </w:rPr>
              <w:t>品种</w:t>
            </w:r>
            <w:r>
              <w:rPr>
                <w:rFonts w:hint="eastAsia" w:ascii="宋体" w:hAnsi="宋体" w:cs="宋体"/>
                <w:color w:val="000000" w:themeColor="text1"/>
                <w:kern w:val="0"/>
              </w:rPr>
              <w:t>：工业用氢氧化钠（生产）</w:t>
            </w:r>
          </w:p>
          <w:p>
            <w:pPr>
              <w:spacing w:line="320" w:lineRule="exact"/>
              <w:rPr>
                <w:rFonts w:ascii="宋体" w:hAnsi="宋体" w:cs="宋体"/>
                <w:color w:val="000000" w:themeColor="text1"/>
              </w:rPr>
            </w:pPr>
            <w:r>
              <w:rPr>
                <w:rFonts w:hint="eastAsia" w:ascii="宋体" w:hAnsi="宋体" w:cs="宋体"/>
                <w:color w:val="000000" w:themeColor="text1"/>
                <w:kern w:val="0"/>
              </w:rPr>
              <w:t>关键生产设备：</w:t>
            </w:r>
            <w:r>
              <w:rPr>
                <w:rFonts w:hint="eastAsia" w:ascii="宋体" w:hAnsi="宋体" w:cs="宋体"/>
                <w:color w:val="000000" w:themeColor="text1"/>
              </w:rPr>
              <w:t>电解槽2个</w:t>
            </w:r>
          </w:p>
          <w:p>
            <w:pPr>
              <w:pStyle w:val="2"/>
              <w:ind w:firstLine="0" w:firstLineChars="0"/>
              <w:rPr>
                <w:rFonts w:ascii="宋体" w:hAnsi="宋体" w:cs="宋体"/>
                <w:color w:val="000000" w:themeColor="text1"/>
                <w:kern w:val="0"/>
              </w:rPr>
            </w:pPr>
            <w:r>
              <w:rPr>
                <w:rFonts w:hint="eastAsia"/>
              </w:rPr>
              <w:t>2.</w:t>
            </w:r>
            <w:r>
              <w:rPr>
                <w:rFonts w:hint="eastAsia" w:ascii="宋体" w:hAnsi="宋体" w:cs="宋体"/>
                <w:color w:val="000000" w:themeColor="text1"/>
                <w:kern w:val="0"/>
              </w:rPr>
              <w:t xml:space="preserve"> 产品品种：次氯酸钠（加工）</w:t>
            </w:r>
          </w:p>
          <w:p>
            <w:pPr>
              <w:pStyle w:val="2"/>
              <w:ind w:firstLine="0" w:firstLineChars="0"/>
            </w:pPr>
            <w:r>
              <w:rPr>
                <w:rFonts w:hint="eastAsia" w:ascii="宋体" w:hAnsi="宋体" w:cs="宋体"/>
                <w:color w:val="000000" w:themeColor="text1"/>
                <w:kern w:val="0"/>
              </w:rPr>
              <w:t>3. 产品</w:t>
            </w:r>
            <w:r>
              <w:rPr>
                <w:rFonts w:hint="eastAsia" w:ascii="宋体" w:hAnsi="宋体" w:cs="宋体"/>
                <w:color w:val="000000" w:themeColor="text1"/>
              </w:rPr>
              <w:t>品种</w:t>
            </w:r>
            <w:r>
              <w:rPr>
                <w:rFonts w:hint="eastAsia" w:ascii="宋体" w:hAnsi="宋体" w:cs="宋体"/>
                <w:color w:val="000000" w:themeColor="text1"/>
                <w:kern w:val="0"/>
              </w:rPr>
              <w:t>：高纯盐酸（生产）</w:t>
            </w:r>
          </w:p>
        </w:tc>
      </w:tr>
    </w:tbl>
    <w:p>
      <w:pPr>
        <w:spacing w:line="420" w:lineRule="exact"/>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tabs>
          <w:tab w:val="left" w:pos="0"/>
        </w:tabs>
        <w:spacing w:line="360" w:lineRule="auto"/>
        <w:ind w:firstLine="420" w:firstLineChars="200"/>
        <w:jc w:val="left"/>
        <w:rPr>
          <w:rFonts w:cs="Calibri" w:asciiTheme="minorEastAsia" w:hAnsiTheme="minorEastAsia"/>
          <w:szCs w:val="24"/>
        </w:rPr>
      </w:pPr>
      <w:bookmarkStart w:id="4" w:name="_GoBack"/>
      <w:bookmarkEnd w:id="4"/>
      <w:bookmarkStart w:id="3" w:name="_Toc507721782"/>
      <w:r>
        <w:rPr>
          <w:rFonts w:hint="eastAsia" w:cs="Calibri" w:asciiTheme="minorEastAsia" w:hAnsiTheme="minorEastAsia"/>
          <w:szCs w:val="24"/>
        </w:rPr>
        <w:t>附件：危险化学品氯碱产品执行的标准及检验项目。</w:t>
      </w:r>
    </w:p>
    <w:p>
      <w:pPr>
        <w:tabs>
          <w:tab w:val="left" w:pos="0"/>
        </w:tabs>
        <w:spacing w:line="360" w:lineRule="auto"/>
        <w:jc w:val="left"/>
        <w:rPr>
          <w:rFonts w:ascii="宋体" w:hAnsi="宋体" w:cs="宋体"/>
          <w:color w:val="000000" w:themeColor="text1"/>
          <w:sz w:val="24"/>
          <w:szCs w:val="24"/>
        </w:rPr>
        <w:sectPr>
          <w:headerReference r:id="rId3" w:type="default"/>
          <w:footerReference r:id="rId4" w:type="default"/>
          <w:pgSz w:w="11906" w:h="16838"/>
          <w:pgMar w:top="1418" w:right="1418" w:bottom="1418" w:left="1418" w:header="851" w:footer="992" w:gutter="0"/>
          <w:pgNumType w:start="1"/>
          <w:cols w:space="720" w:num="1"/>
        </w:sectPr>
      </w:pPr>
    </w:p>
    <w:p>
      <w:pPr>
        <w:tabs>
          <w:tab w:val="left" w:pos="0"/>
        </w:tabs>
        <w:spacing w:line="360" w:lineRule="auto"/>
        <w:jc w:val="left"/>
        <w:rPr>
          <w:rFonts w:ascii="宋体" w:hAnsi="宋体" w:cs="宋体"/>
          <w:b/>
          <w:bCs/>
          <w:color w:val="000000" w:themeColor="text1"/>
          <w:szCs w:val="21"/>
        </w:rPr>
      </w:pPr>
      <w:r>
        <w:rPr>
          <w:rFonts w:hint="eastAsia" w:ascii="宋体" w:hAnsi="宋体" w:cs="宋体"/>
          <w:b/>
          <w:bCs/>
          <w:color w:val="000000" w:themeColor="text1"/>
          <w:szCs w:val="21"/>
        </w:rPr>
        <w:t>附件</w:t>
      </w:r>
    </w:p>
    <w:p>
      <w:pPr>
        <w:tabs>
          <w:tab w:val="left" w:pos="0"/>
        </w:tabs>
        <w:spacing w:line="360" w:lineRule="auto"/>
        <w:ind w:firstLine="480" w:firstLineChars="200"/>
        <w:jc w:val="center"/>
        <w:rPr>
          <w:rFonts w:ascii="方正黑体简体" w:hAnsi="方正黑体简体" w:eastAsia="方正黑体简体" w:cs="方正黑体简体"/>
          <w:bCs/>
          <w:kern w:val="0"/>
          <w:sz w:val="24"/>
          <w:szCs w:val="24"/>
        </w:rPr>
      </w:pPr>
      <w:r>
        <w:rPr>
          <w:rFonts w:hint="eastAsia" w:ascii="方正黑体简体" w:hAnsi="方正黑体简体" w:eastAsia="方正黑体简体" w:cs="方正黑体简体"/>
          <w:bCs/>
          <w:kern w:val="0"/>
          <w:sz w:val="24"/>
          <w:szCs w:val="24"/>
        </w:rPr>
        <w:t>危险化学品氯碱产品执行的标准及检验项目</w:t>
      </w:r>
    </w:p>
    <w:p>
      <w:pPr>
        <w:pStyle w:val="2"/>
        <w:ind w:firstLine="0" w:firstLineChars="0"/>
        <w:jc w:val="center"/>
        <w:rPr>
          <w:rFonts w:ascii="方正楷体简体" w:hAnsi="方正楷体简体" w:eastAsia="方正楷体简体" w:cs="方正楷体简体"/>
          <w:bCs/>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10"/>
        <w:tblW w:w="12148"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567"/>
        <w:gridCol w:w="1134"/>
        <w:gridCol w:w="1985"/>
        <w:gridCol w:w="4351"/>
        <w:gridCol w:w="411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56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1134"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1985"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产品品种</w:t>
            </w:r>
          </w:p>
        </w:tc>
        <w:tc>
          <w:tcPr>
            <w:tcW w:w="4351"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4111"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1134" w:type="dxa"/>
            <w:tcBorders>
              <w:tl2br w:val="nil"/>
              <w:tr2bl w:val="nil"/>
            </w:tcBorders>
            <w:vAlign w:val="center"/>
          </w:tcPr>
          <w:p>
            <w:pPr>
              <w:spacing w:before="72" w:beforeLines="30" w:line="280" w:lineRule="exact"/>
              <w:jc w:val="center"/>
              <w:rPr>
                <w:rFonts w:ascii="宋体" w:hAnsi="宋体"/>
              </w:rPr>
            </w:pPr>
            <w:r>
              <w:rPr>
                <w:rFonts w:ascii="宋体" w:hAnsi="宋体"/>
              </w:rPr>
              <w:t>氯碱</w:t>
            </w:r>
          </w:p>
        </w:tc>
        <w:tc>
          <w:tcPr>
            <w:tcW w:w="1985" w:type="dxa"/>
            <w:tcBorders>
              <w:tl2br w:val="nil"/>
              <w:tr2bl w:val="nil"/>
            </w:tcBorders>
            <w:vAlign w:val="center"/>
          </w:tcPr>
          <w:p>
            <w:pPr>
              <w:jc w:val="center"/>
            </w:pPr>
            <w:r>
              <w:rPr>
                <w:rFonts w:hint="eastAsia"/>
              </w:rPr>
              <w:t>高纯氢氧化钠</w:t>
            </w:r>
          </w:p>
        </w:tc>
        <w:tc>
          <w:tcPr>
            <w:tcW w:w="4351" w:type="dxa"/>
            <w:tcBorders>
              <w:tl2br w:val="nil"/>
              <w:tr2bl w:val="nil"/>
            </w:tcBorders>
            <w:vAlign w:val="center"/>
          </w:tcPr>
          <w:p>
            <w:pPr>
              <w:adjustRightInd w:val="0"/>
              <w:spacing w:line="340" w:lineRule="exact"/>
              <w:textAlignment w:val="baseline"/>
              <w:rPr>
                <w:rFonts w:ascii="宋体" w:hAnsi="宋体"/>
                <w:kern w:val="0"/>
                <w:szCs w:val="21"/>
              </w:rPr>
            </w:pPr>
            <w:r>
              <w:rPr>
                <w:rFonts w:hint="eastAsia" w:ascii="宋体" w:hAnsi="宋体"/>
                <w:kern w:val="0"/>
                <w:szCs w:val="21"/>
              </w:rPr>
              <w:t>GB/T 11199-2006高纯氢氧化钠</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氢氧化钠、氯化钠、三氧化二铁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2</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化纤用氢氧化钠</w:t>
            </w:r>
          </w:p>
        </w:tc>
        <w:tc>
          <w:tcPr>
            <w:tcW w:w="4351" w:type="dxa"/>
            <w:tcBorders>
              <w:tl2br w:val="nil"/>
              <w:tr2bl w:val="nil"/>
            </w:tcBorders>
            <w:vAlign w:val="center"/>
          </w:tcPr>
          <w:p>
            <w:pPr>
              <w:adjustRightInd w:val="0"/>
              <w:spacing w:line="340" w:lineRule="exact"/>
              <w:textAlignment w:val="baseline"/>
              <w:rPr>
                <w:rFonts w:ascii="宋体" w:hAnsi="宋体"/>
                <w:kern w:val="0"/>
                <w:szCs w:val="21"/>
              </w:rPr>
            </w:pPr>
            <w:r>
              <w:rPr>
                <w:rFonts w:hint="eastAsia" w:ascii="宋体" w:hAnsi="宋体"/>
                <w:kern w:val="0"/>
                <w:szCs w:val="21"/>
              </w:rPr>
              <w:t>GB/T 11212-2013化纤用氢氧化钠</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氢氧化钠、氯化钠、三氧化二铁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3</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工业用氢氧化钠</w:t>
            </w:r>
          </w:p>
        </w:tc>
        <w:tc>
          <w:tcPr>
            <w:tcW w:w="4351" w:type="dxa"/>
            <w:tcBorders>
              <w:tl2br w:val="nil"/>
              <w:tr2bl w:val="nil"/>
            </w:tcBorders>
            <w:vAlign w:val="center"/>
          </w:tcPr>
          <w:p>
            <w:pPr>
              <w:adjustRightInd w:val="0"/>
              <w:spacing w:line="340" w:lineRule="exact"/>
              <w:textAlignment w:val="baseline"/>
              <w:rPr>
                <w:rFonts w:ascii="宋体" w:hAnsi="宋体"/>
                <w:kern w:val="0"/>
                <w:szCs w:val="21"/>
              </w:rPr>
            </w:pPr>
            <w:r>
              <w:rPr>
                <w:rFonts w:hint="eastAsia" w:ascii="宋体" w:hAnsi="宋体"/>
                <w:kern w:val="0"/>
                <w:szCs w:val="21"/>
              </w:rPr>
              <w:t>GB/T 209-20</w:t>
            </w:r>
            <w:r>
              <w:rPr>
                <w:rFonts w:ascii="宋体" w:hAnsi="宋体"/>
                <w:kern w:val="0"/>
                <w:szCs w:val="21"/>
              </w:rPr>
              <w:t>18</w:t>
            </w:r>
            <w:r>
              <w:rPr>
                <w:rFonts w:hint="eastAsia" w:ascii="宋体" w:hAnsi="宋体"/>
                <w:kern w:val="0"/>
                <w:szCs w:val="21"/>
              </w:rPr>
              <w:t>工业用氢氧化钠</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氢氧化钠、氯化钠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4</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天然碱苛化法氢氧化钠</w:t>
            </w:r>
          </w:p>
        </w:tc>
        <w:tc>
          <w:tcPr>
            <w:tcW w:w="4351" w:type="dxa"/>
            <w:tcBorders>
              <w:tl2br w:val="nil"/>
              <w:tr2bl w:val="nil"/>
            </w:tcBorders>
            <w:vAlign w:val="center"/>
          </w:tcPr>
          <w:p>
            <w:pPr>
              <w:adjustRightInd w:val="0"/>
              <w:spacing w:line="340" w:lineRule="exact"/>
              <w:textAlignment w:val="baseline"/>
              <w:rPr>
                <w:rFonts w:ascii="宋体" w:hAnsi="宋体"/>
                <w:szCs w:val="21"/>
              </w:rPr>
            </w:pPr>
            <w:r>
              <w:rPr>
                <w:rFonts w:hint="eastAsia" w:ascii="宋体" w:hAnsi="宋体"/>
                <w:szCs w:val="21"/>
              </w:rPr>
              <w:t>HG/T 3825-2006天然碱苛化法氢氧化钠</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氢氧化钠、碳酸钠、氯化钠、三氧化二铁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5</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高品质片状氢氧化钾</w:t>
            </w:r>
          </w:p>
        </w:tc>
        <w:tc>
          <w:tcPr>
            <w:tcW w:w="4351" w:type="dxa"/>
            <w:tcBorders>
              <w:tl2br w:val="nil"/>
              <w:tr2bl w:val="nil"/>
            </w:tcBorders>
            <w:vAlign w:val="center"/>
          </w:tcPr>
          <w:p>
            <w:pPr>
              <w:adjustRightInd w:val="0"/>
              <w:spacing w:line="340" w:lineRule="exact"/>
              <w:textAlignment w:val="baseline"/>
              <w:rPr>
                <w:rFonts w:ascii="宋体" w:hAnsi="宋体"/>
                <w:kern w:val="0"/>
                <w:szCs w:val="21"/>
              </w:rPr>
            </w:pPr>
            <w:r>
              <w:rPr>
                <w:rFonts w:hint="eastAsia" w:ascii="宋体" w:hAnsi="宋体"/>
                <w:szCs w:val="21"/>
              </w:rPr>
              <w:t>HG/T 3688-2010高品质片状氢氧化钾</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氢氧化钾、碳酸钾、氯化物</w:t>
            </w:r>
          </w:p>
          <w:p>
            <w:pPr>
              <w:spacing w:before="72" w:beforeLines="30" w:line="280" w:lineRule="exact"/>
              <w:rPr>
                <w:rFonts w:ascii="宋体" w:hAnsi="宋体"/>
              </w:rPr>
            </w:pPr>
            <w:r>
              <w:rPr>
                <w:rFonts w:hint="eastAsia" w:ascii="宋体" w:hAnsi="宋体"/>
              </w:rPr>
              <w:t>铁、钠、镍、重金属</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6</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snapToGrid w:val="0"/>
              <w:jc w:val="center"/>
              <w:rPr>
                <w:rFonts w:ascii="宋体" w:hAnsi="宋体"/>
                <w:szCs w:val="21"/>
              </w:rPr>
            </w:pPr>
            <w:r>
              <w:rPr>
                <w:rFonts w:hint="eastAsia" w:ascii="宋体" w:hAnsi="宋体"/>
                <w:szCs w:val="21"/>
              </w:rPr>
              <w:t>工业离子膜法氢氧化钾溶液</w:t>
            </w:r>
          </w:p>
        </w:tc>
        <w:tc>
          <w:tcPr>
            <w:tcW w:w="4351" w:type="dxa"/>
            <w:tcBorders>
              <w:tl2br w:val="nil"/>
              <w:tr2bl w:val="nil"/>
            </w:tcBorders>
            <w:vAlign w:val="center"/>
          </w:tcPr>
          <w:p>
            <w:pPr>
              <w:adjustRightInd w:val="0"/>
              <w:spacing w:line="340" w:lineRule="exact"/>
              <w:textAlignment w:val="baseline"/>
              <w:rPr>
                <w:rFonts w:ascii="宋体" w:hAnsi="宋体"/>
                <w:szCs w:val="21"/>
              </w:rPr>
            </w:pPr>
            <w:r>
              <w:rPr>
                <w:rFonts w:hint="eastAsia" w:ascii="宋体" w:hAnsi="宋体"/>
                <w:szCs w:val="21"/>
              </w:rPr>
              <w:t>HG/T 3815-2013工业离子膜法氢氧化钾溶液</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氢氧化钾、碳酸钾、氯化物、钠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7</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snapToGrid w:val="0"/>
              <w:jc w:val="center"/>
              <w:rPr>
                <w:rFonts w:ascii="宋体" w:hAnsi="宋体"/>
                <w:szCs w:val="21"/>
              </w:rPr>
            </w:pPr>
            <w:r>
              <w:rPr>
                <w:rFonts w:hint="eastAsia" w:ascii="宋体" w:hAnsi="宋体"/>
                <w:szCs w:val="21"/>
              </w:rPr>
              <w:t>工业氢氧化钾</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szCs w:val="21"/>
              </w:rPr>
              <w:t>GB/T 1919-2014工业氢氧化钾</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氢氧化钾、碳酸钾、氯化物、铁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8</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snapToGrid w:val="0"/>
              <w:jc w:val="center"/>
              <w:rPr>
                <w:rFonts w:ascii="宋体" w:hAnsi="宋体"/>
                <w:szCs w:val="21"/>
              </w:rPr>
            </w:pPr>
            <w:r>
              <w:rPr>
                <w:rFonts w:hint="eastAsia" w:ascii="宋体" w:hAnsi="宋体"/>
                <w:szCs w:val="21"/>
              </w:rPr>
              <w:t>工业用液氯</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GB/T 5138-2006工业用液氯</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氯的体积分数、水分的质量分数、三氯化氮的质量分数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9</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高纯盐酸</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HG/T2778-20</w:t>
            </w:r>
            <w:r>
              <w:rPr>
                <w:rFonts w:ascii="宋体" w:hAnsi="宋体"/>
                <w:kern w:val="0"/>
                <w:szCs w:val="21"/>
              </w:rPr>
              <w:t>20</w:t>
            </w:r>
            <w:r>
              <w:rPr>
                <w:rFonts w:hint="eastAsia" w:ascii="宋体" w:hAnsi="宋体"/>
                <w:kern w:val="0"/>
                <w:szCs w:val="21"/>
              </w:rPr>
              <w:t>高纯盐酸</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总酸度、钙、镁、铁、游离氯</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0</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工业用合成盐酸</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GB/T 320-2006工业用合成盐酸</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总酸度、铁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1</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副产盐酸</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HG/T3783-2005副产盐酸</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总酸度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2</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次氯酸钙（漂粉精）</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GB/T10666-20</w:t>
            </w:r>
            <w:r>
              <w:rPr>
                <w:rFonts w:ascii="宋体" w:hAnsi="宋体"/>
                <w:kern w:val="0"/>
                <w:szCs w:val="21"/>
              </w:rPr>
              <w:t>19</w:t>
            </w:r>
            <w:r>
              <w:rPr>
                <w:rFonts w:hint="eastAsia" w:ascii="宋体" w:hAnsi="宋体"/>
                <w:kern w:val="0"/>
                <w:szCs w:val="21"/>
              </w:rPr>
              <w:t>次氯酸钙（漂粉精）</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有效氯、水分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3</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漂白粉</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HG/T2496-2006漂白粉</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有效氯、水分、总氯与有效氯之差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4</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次氯酸钠</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GB/T 19106-2013次氯酸钠</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有效氯、游离碱</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5</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工业用三氯氧磷</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HG/T3606-2009工业用三氯氧磷</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三氯氧磷、三氯化磷、沸程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6</w:t>
            </w:r>
          </w:p>
        </w:tc>
        <w:tc>
          <w:tcPr>
            <w:tcW w:w="1134" w:type="dxa"/>
            <w:tcBorders>
              <w:tl2br w:val="nil"/>
              <w:tr2bl w:val="nil"/>
            </w:tcBorders>
            <w:vAlign w:val="center"/>
          </w:tcPr>
          <w:p>
            <w:pPr>
              <w:jc w:val="center"/>
            </w:pPr>
            <w:r>
              <w:rPr>
                <w:rFonts w:ascii="宋体" w:hAnsi="宋体"/>
              </w:rPr>
              <w:t>氯碱</w:t>
            </w:r>
          </w:p>
        </w:tc>
        <w:tc>
          <w:tcPr>
            <w:tcW w:w="1985" w:type="dxa"/>
            <w:tcBorders>
              <w:tl2br w:val="nil"/>
              <w:tr2bl w:val="nil"/>
            </w:tcBorders>
            <w:vAlign w:val="center"/>
          </w:tcPr>
          <w:p>
            <w:pPr>
              <w:jc w:val="center"/>
            </w:pPr>
            <w:r>
              <w:rPr>
                <w:rFonts w:hint="eastAsia"/>
              </w:rPr>
              <w:t>工业用五氯化磷</w:t>
            </w:r>
          </w:p>
        </w:tc>
        <w:tc>
          <w:tcPr>
            <w:tcW w:w="4351" w:type="dxa"/>
            <w:tcBorders>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HG/T4108-2009工业用五氯化磷</w:t>
            </w:r>
          </w:p>
        </w:tc>
        <w:tc>
          <w:tcPr>
            <w:tcW w:w="4111" w:type="dxa"/>
            <w:tcBorders>
              <w:tl2br w:val="nil"/>
              <w:tr2bl w:val="nil"/>
            </w:tcBorders>
            <w:vAlign w:val="center"/>
          </w:tcPr>
          <w:p>
            <w:pPr>
              <w:spacing w:before="72" w:beforeLines="30" w:line="280" w:lineRule="exact"/>
              <w:rPr>
                <w:rFonts w:ascii="宋体" w:hAnsi="宋体"/>
              </w:rPr>
            </w:pPr>
            <w:r>
              <w:rPr>
                <w:rFonts w:hint="eastAsia" w:ascii="宋体" w:hAnsi="宋体"/>
              </w:rPr>
              <w:t>五氯化磷、三氯化磷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491" w:hRule="atLeast"/>
          <w:jc w:val="center"/>
        </w:trPr>
        <w:tc>
          <w:tcPr>
            <w:tcW w:w="567" w:type="dxa"/>
            <w:tcBorders>
              <w:bottom w:val="single" w:color="auto" w:sz="2" w:space="0"/>
              <w:tl2br w:val="nil"/>
              <w:tr2bl w:val="nil"/>
            </w:tcBorders>
            <w:vAlign w:val="center"/>
          </w:tcPr>
          <w:p>
            <w:pPr>
              <w:spacing w:before="72" w:beforeLines="30" w:line="280" w:lineRule="exact"/>
              <w:jc w:val="center"/>
              <w:rPr>
                <w:rFonts w:ascii="宋体" w:hAnsi="宋体"/>
              </w:rPr>
            </w:pPr>
            <w:r>
              <w:rPr>
                <w:rFonts w:hint="eastAsia" w:ascii="宋体" w:hAnsi="宋体"/>
              </w:rPr>
              <w:t>1</w:t>
            </w:r>
            <w:r>
              <w:rPr>
                <w:rFonts w:ascii="宋体" w:hAnsi="宋体"/>
              </w:rPr>
              <w:t>7</w:t>
            </w:r>
          </w:p>
        </w:tc>
        <w:tc>
          <w:tcPr>
            <w:tcW w:w="1134" w:type="dxa"/>
            <w:tcBorders>
              <w:bottom w:val="single" w:color="auto" w:sz="2" w:space="0"/>
              <w:tl2br w:val="nil"/>
              <w:tr2bl w:val="nil"/>
            </w:tcBorders>
            <w:vAlign w:val="center"/>
          </w:tcPr>
          <w:p>
            <w:pPr>
              <w:jc w:val="center"/>
            </w:pPr>
            <w:r>
              <w:rPr>
                <w:rFonts w:ascii="宋体" w:hAnsi="宋体"/>
              </w:rPr>
              <w:t>氯碱</w:t>
            </w:r>
          </w:p>
        </w:tc>
        <w:tc>
          <w:tcPr>
            <w:tcW w:w="1985" w:type="dxa"/>
            <w:tcBorders>
              <w:bottom w:val="single" w:color="auto" w:sz="2" w:space="0"/>
              <w:tl2br w:val="nil"/>
              <w:tr2bl w:val="nil"/>
            </w:tcBorders>
            <w:vAlign w:val="center"/>
          </w:tcPr>
          <w:p>
            <w:pPr>
              <w:jc w:val="center"/>
            </w:pPr>
            <w:r>
              <w:rPr>
                <w:rFonts w:hint="eastAsia"/>
              </w:rPr>
              <w:t>工业用三氯化磷</w:t>
            </w:r>
          </w:p>
        </w:tc>
        <w:tc>
          <w:tcPr>
            <w:tcW w:w="4351" w:type="dxa"/>
            <w:tcBorders>
              <w:bottom w:val="single" w:color="auto" w:sz="2" w:space="0"/>
              <w:tl2br w:val="nil"/>
              <w:tr2bl w:val="nil"/>
            </w:tcBorders>
            <w:vAlign w:val="center"/>
          </w:tcPr>
          <w:p>
            <w:pPr>
              <w:adjustRightInd w:val="0"/>
              <w:spacing w:line="330" w:lineRule="exact"/>
              <w:textAlignment w:val="baseline"/>
              <w:rPr>
                <w:rFonts w:ascii="宋体" w:hAnsi="宋体"/>
                <w:kern w:val="0"/>
                <w:szCs w:val="21"/>
              </w:rPr>
            </w:pPr>
            <w:r>
              <w:rPr>
                <w:rFonts w:hint="eastAsia" w:ascii="宋体" w:hAnsi="宋体"/>
                <w:kern w:val="0"/>
                <w:szCs w:val="21"/>
              </w:rPr>
              <w:t>HG/T2970-2009工业用三氯化磷</w:t>
            </w:r>
          </w:p>
        </w:tc>
        <w:tc>
          <w:tcPr>
            <w:tcW w:w="4111" w:type="dxa"/>
            <w:tcBorders>
              <w:bottom w:val="single" w:color="auto" w:sz="2" w:space="0"/>
              <w:tl2br w:val="nil"/>
              <w:tr2bl w:val="nil"/>
            </w:tcBorders>
            <w:vAlign w:val="center"/>
          </w:tcPr>
          <w:p>
            <w:pPr>
              <w:spacing w:before="72" w:beforeLines="30" w:line="280" w:lineRule="exact"/>
              <w:rPr>
                <w:rFonts w:ascii="宋体" w:hAnsi="宋体"/>
              </w:rPr>
            </w:pPr>
            <w:r>
              <w:rPr>
                <w:rFonts w:hint="eastAsia" w:ascii="宋体" w:hAnsi="宋体"/>
              </w:rPr>
              <w:t>三氯化磷、游离磷、沸程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67" w:type="dxa"/>
            <w:tcBorders>
              <w:tl2br w:val="nil"/>
              <w:tr2bl w:val="nil"/>
            </w:tcBorders>
            <w:shd w:val="clear" w:color="auto" w:fill="auto"/>
            <w:vAlign w:val="center"/>
          </w:tcPr>
          <w:p>
            <w:pPr>
              <w:spacing w:before="72" w:beforeLines="30" w:line="280" w:lineRule="exact"/>
              <w:jc w:val="center"/>
              <w:rPr>
                <w:rFonts w:ascii="宋体" w:hAnsi="宋体"/>
              </w:rPr>
            </w:pPr>
            <w:r>
              <w:rPr>
                <w:rFonts w:hint="eastAsia" w:ascii="宋体" w:hAnsi="宋体"/>
              </w:rPr>
              <w:t xml:space="preserve">备 </w:t>
            </w:r>
          </w:p>
          <w:p>
            <w:pPr>
              <w:pStyle w:val="2"/>
              <w:rPr>
                <w:rFonts w:ascii="宋体" w:hAnsi="宋体"/>
              </w:rPr>
            </w:pPr>
          </w:p>
          <w:p>
            <w:pPr>
              <w:pStyle w:val="2"/>
              <w:rPr>
                <w:rFonts w:ascii="宋体" w:hAnsi="宋体"/>
              </w:rPr>
            </w:pPr>
          </w:p>
          <w:p>
            <w:pPr>
              <w:spacing w:before="72" w:beforeLines="30" w:line="280" w:lineRule="exact"/>
              <w:jc w:val="center"/>
              <w:rPr>
                <w:rFonts w:ascii="宋体" w:hAnsi="宋体"/>
              </w:rPr>
            </w:pPr>
            <w:r>
              <w:rPr>
                <w:rFonts w:hint="eastAsia" w:ascii="宋体" w:hAnsi="宋体"/>
              </w:rPr>
              <w:t>注</w:t>
            </w:r>
          </w:p>
        </w:tc>
        <w:tc>
          <w:tcPr>
            <w:tcW w:w="11581" w:type="dxa"/>
            <w:gridSpan w:val="4"/>
            <w:tcBorders>
              <w:tl2br w:val="nil"/>
              <w:tr2bl w:val="nil"/>
            </w:tcBorders>
            <w:shd w:val="clear" w:color="auto" w:fill="auto"/>
            <w:vAlign w:val="center"/>
          </w:tcPr>
          <w:p>
            <w:pPr>
              <w:adjustRightInd w:val="0"/>
              <w:spacing w:line="320" w:lineRule="exact"/>
              <w:textAlignment w:val="baseline"/>
            </w:pPr>
            <w:r>
              <w:rPr>
                <w:rFonts w:hint="eastAsia"/>
              </w:rPr>
              <w:t>1</w:t>
            </w:r>
            <w:r>
              <w:t>.</w:t>
            </w:r>
            <w:r>
              <w:rPr>
                <w:rFonts w:hint="eastAsia" w:ascii="宋体" w:hAnsi="宋体"/>
                <w:kern w:val="0"/>
                <w:szCs w:val="24"/>
              </w:rPr>
              <w:t xml:space="preserve"> 企业在申请取证时应按照产品品种提交检验报告，</w:t>
            </w:r>
            <w:r>
              <w:rPr>
                <w:rFonts w:hint="eastAsia" w:ascii="宋体" w:hAnsi="宋体"/>
                <w:bCs/>
                <w:color w:val="000000" w:themeColor="text1"/>
              </w:rPr>
              <w:t>其中，提交型式试验报告或委托产品检验报告的，检验项目应当覆盖本表规定的产品检验项目。</w:t>
            </w:r>
          </w:p>
          <w:p>
            <w:pPr>
              <w:adjustRightInd w:val="0"/>
              <w:spacing w:line="320" w:lineRule="exact"/>
              <w:textAlignment w:val="baseline"/>
            </w:pPr>
            <w:r>
              <w:rPr>
                <w:rFonts w:hint="eastAsia"/>
              </w:rPr>
              <w:t>2.以下产品品种的检验报告按照由前向后顺序覆盖：</w:t>
            </w:r>
          </w:p>
          <w:p>
            <w:pPr>
              <w:adjustRightInd w:val="0"/>
              <w:spacing w:line="320" w:lineRule="exact"/>
              <w:textAlignment w:val="baseline"/>
            </w:pPr>
            <w:r>
              <w:rPr>
                <w:rFonts w:hint="eastAsia"/>
              </w:rPr>
              <w:t>（1）氢氧化钠类产品：高纯氢氧化钠，化纤用氢氧化钠，工业用氢氧化钠，天然碱苛化法氢氧化钠；</w:t>
            </w:r>
          </w:p>
          <w:p>
            <w:pPr>
              <w:adjustRightInd w:val="0"/>
              <w:spacing w:line="320" w:lineRule="exact"/>
              <w:textAlignment w:val="baseline"/>
            </w:pPr>
            <w:r>
              <w:rPr>
                <w:rFonts w:hint="eastAsia"/>
              </w:rPr>
              <w:t>（2）氢氧化钾类产品：高品质片状氢氧化钾，工业离子膜法氢氧化钾溶液，工业氢氧化钾；</w:t>
            </w:r>
          </w:p>
          <w:p>
            <w:pPr>
              <w:adjustRightInd w:val="0"/>
              <w:spacing w:line="320" w:lineRule="exact"/>
              <w:textAlignment w:val="baseline"/>
            </w:pPr>
            <w:r>
              <w:rPr>
                <w:rFonts w:hint="eastAsia"/>
              </w:rPr>
              <w:t>（3）液氯类产品：工业用液氯；</w:t>
            </w:r>
          </w:p>
          <w:p>
            <w:pPr>
              <w:adjustRightInd w:val="0"/>
              <w:spacing w:line="320" w:lineRule="exact"/>
              <w:textAlignment w:val="baseline"/>
            </w:pPr>
            <w:r>
              <w:rPr>
                <w:rFonts w:hint="eastAsia"/>
              </w:rPr>
              <w:t>（4）盐酸类产品：高纯盐酸，工业用合成盐酸，副产盐酸；</w:t>
            </w:r>
          </w:p>
          <w:p>
            <w:pPr>
              <w:adjustRightInd w:val="0"/>
              <w:spacing w:line="320" w:lineRule="exact"/>
              <w:textAlignment w:val="baseline"/>
            </w:pPr>
            <w:r>
              <w:rPr>
                <w:rFonts w:hint="eastAsia"/>
              </w:rPr>
              <w:t>（5）次氯酸盐类产品：次氯酸钙（漂粉精），漂白粉，次氯酸钠；</w:t>
            </w:r>
          </w:p>
          <w:p>
            <w:pPr>
              <w:adjustRightInd w:val="0"/>
              <w:spacing w:line="320" w:lineRule="exact"/>
              <w:textAlignment w:val="baseline"/>
            </w:pPr>
            <w:r>
              <w:rPr>
                <w:rFonts w:hint="eastAsia"/>
              </w:rPr>
              <w:t>（6）含磷氯化物类产品：工业用三氯氧磷，工业用五氯化磷，工业用三氯化磷。</w:t>
            </w:r>
          </w:p>
          <w:p>
            <w:pPr>
              <w:adjustRightInd w:val="0"/>
              <w:spacing w:line="320" w:lineRule="exact"/>
              <w:textAlignment w:val="baseline"/>
              <w:rPr>
                <w:rFonts w:ascii="宋体" w:hAnsi="宋体" w:eastAsia="宋体" w:cs="宋体"/>
                <w:color w:val="000000" w:themeColor="text1"/>
                <w:szCs w:val="21"/>
              </w:rPr>
            </w:pPr>
            <w:r>
              <w:rPr>
                <w:rFonts w:hint="eastAsia" w:ascii="宋体" w:hAnsi="宋体" w:eastAsia="宋体" w:cs="宋体"/>
                <w:color w:val="000000" w:themeColor="text1"/>
                <w:szCs w:val="21"/>
              </w:rPr>
              <w:t>3.企业获证后同产品单元增产品品种时应提交与所申请产品品种名称一致的检验报告。</w:t>
            </w:r>
          </w:p>
        </w:tc>
      </w:tr>
      <w:bookmarkEnd w:id="3"/>
    </w:tbl>
    <w:p>
      <w:pPr>
        <w:pStyle w:val="13"/>
      </w:pPr>
    </w:p>
    <w:sectPr>
      <w:pgSz w:w="16838" w:h="11906" w:orient="landscape"/>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1"/>
      </w:rPr>
    </w:pPr>
    <w:r>
      <w:rPr>
        <w:sz w:val="21"/>
      </w:rPr>
      <w:pict>
        <v:shape id="_x0000_s2049" o:spid="_x0000_s2049" o:spt="202" type="#_x0000_t202" style="position:absolute;left:0pt;margin-top:0pt;height:12.8pt;width:5.35pt;mso-position-horizontal:center;mso-position-horizontal-relative:margin;mso-wrap-style:none;z-index:251691008;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sA4ATRAAAAAwEAAA8AAAAAAAAAAQAgAAAAIgAAAGRycy9kb3du&#10;cmV2LnhtbFBLAQIUABQAAAAIAIdO4kBHOX9ozQEAAJYDAAAOAAAAAAAAAAEAIAAAACABAABkcnMv&#10;ZTJvRG9jLnhtbFBLBQYAAAAABgAGAFkBAABfBQAAAAA=&#10;">
          <v:path/>
          <v:fill on="f" focussize="0,0"/>
          <v:stroke on="f" joinstyle="miter"/>
          <v:imagedata o:title=""/>
          <o:lock v:ext="edit"/>
          <v:textbox inset="0mm,0mm,0mm,0mm" style="mso-fit-shape-to-text:t;">
            <w:txbxContent>
              <w:p>
                <w:pPr>
                  <w:pStyle w:val="4"/>
                  <w:jc w:val="center"/>
                </w:pPr>
                <w:r>
                  <w:rPr>
                    <w:sz w:val="21"/>
                  </w:rPr>
                  <w:fldChar w:fldCharType="begin"/>
                </w:r>
                <w:r>
                  <w:rPr>
                    <w:rStyle w:val="9"/>
                    <w:sz w:val="21"/>
                  </w:rPr>
                  <w:instrText xml:space="preserve"> PAGE </w:instrText>
                </w:r>
                <w:r>
                  <w:rPr>
                    <w:sz w:val="21"/>
                  </w:rPr>
                  <w:fldChar w:fldCharType="separate"/>
                </w:r>
                <w:r>
                  <w:rPr>
                    <w:rStyle w:val="9"/>
                    <w:sz w:val="21"/>
                  </w:rPr>
                  <w:t>6</w:t>
                </w:r>
                <w:r>
                  <w:rPr>
                    <w:sz w:val="21"/>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083884"/>
    <w:rsid w:val="000642E2"/>
    <w:rsid w:val="00071E2B"/>
    <w:rsid w:val="00083C27"/>
    <w:rsid w:val="0008746C"/>
    <w:rsid w:val="00094250"/>
    <w:rsid w:val="000A1ADD"/>
    <w:rsid w:val="000A74B3"/>
    <w:rsid w:val="000C2E65"/>
    <w:rsid w:val="000C3B53"/>
    <w:rsid w:val="000E73C3"/>
    <w:rsid w:val="000E7492"/>
    <w:rsid w:val="00130509"/>
    <w:rsid w:val="00171749"/>
    <w:rsid w:val="0018034F"/>
    <w:rsid w:val="00185816"/>
    <w:rsid w:val="00192781"/>
    <w:rsid w:val="00197D76"/>
    <w:rsid w:val="001B15F0"/>
    <w:rsid w:val="001B6FC3"/>
    <w:rsid w:val="001E145B"/>
    <w:rsid w:val="0020155D"/>
    <w:rsid w:val="00225739"/>
    <w:rsid w:val="00246204"/>
    <w:rsid w:val="00252B2D"/>
    <w:rsid w:val="0025373A"/>
    <w:rsid w:val="002618FD"/>
    <w:rsid w:val="00281EFC"/>
    <w:rsid w:val="00283FD6"/>
    <w:rsid w:val="00296826"/>
    <w:rsid w:val="002B754B"/>
    <w:rsid w:val="002F1A31"/>
    <w:rsid w:val="002F3F55"/>
    <w:rsid w:val="00305A2B"/>
    <w:rsid w:val="003125B1"/>
    <w:rsid w:val="00347A73"/>
    <w:rsid w:val="00371A8E"/>
    <w:rsid w:val="0037417E"/>
    <w:rsid w:val="0039518D"/>
    <w:rsid w:val="003B7546"/>
    <w:rsid w:val="003C0E43"/>
    <w:rsid w:val="003C5A30"/>
    <w:rsid w:val="003D01F3"/>
    <w:rsid w:val="003D5032"/>
    <w:rsid w:val="00423A23"/>
    <w:rsid w:val="00425CE7"/>
    <w:rsid w:val="004303AA"/>
    <w:rsid w:val="004505E5"/>
    <w:rsid w:val="00473D17"/>
    <w:rsid w:val="00490EEE"/>
    <w:rsid w:val="004B4EA6"/>
    <w:rsid w:val="004B54B8"/>
    <w:rsid w:val="004C16E6"/>
    <w:rsid w:val="004F2E04"/>
    <w:rsid w:val="00500114"/>
    <w:rsid w:val="00550517"/>
    <w:rsid w:val="0058224A"/>
    <w:rsid w:val="0058593E"/>
    <w:rsid w:val="00592BE5"/>
    <w:rsid w:val="00594399"/>
    <w:rsid w:val="005D6563"/>
    <w:rsid w:val="005F0415"/>
    <w:rsid w:val="005F7E1F"/>
    <w:rsid w:val="0061312D"/>
    <w:rsid w:val="00637ACE"/>
    <w:rsid w:val="00655D73"/>
    <w:rsid w:val="00664387"/>
    <w:rsid w:val="00676DE1"/>
    <w:rsid w:val="006B418D"/>
    <w:rsid w:val="006C6F0C"/>
    <w:rsid w:val="006C75BB"/>
    <w:rsid w:val="006D0847"/>
    <w:rsid w:val="006E6D7F"/>
    <w:rsid w:val="006F2B02"/>
    <w:rsid w:val="007040E4"/>
    <w:rsid w:val="00712D04"/>
    <w:rsid w:val="00720213"/>
    <w:rsid w:val="0072729B"/>
    <w:rsid w:val="00747537"/>
    <w:rsid w:val="00786CC3"/>
    <w:rsid w:val="00796E6C"/>
    <w:rsid w:val="007A67E0"/>
    <w:rsid w:val="007F6DA9"/>
    <w:rsid w:val="008023C3"/>
    <w:rsid w:val="00813B7E"/>
    <w:rsid w:val="00830EFF"/>
    <w:rsid w:val="00841308"/>
    <w:rsid w:val="00851641"/>
    <w:rsid w:val="00857488"/>
    <w:rsid w:val="00863F8F"/>
    <w:rsid w:val="00867DF1"/>
    <w:rsid w:val="00887DBF"/>
    <w:rsid w:val="008A225B"/>
    <w:rsid w:val="008A2E4C"/>
    <w:rsid w:val="008C1A44"/>
    <w:rsid w:val="008D53F7"/>
    <w:rsid w:val="008D57CC"/>
    <w:rsid w:val="008D729E"/>
    <w:rsid w:val="008F00B1"/>
    <w:rsid w:val="00926FDD"/>
    <w:rsid w:val="00930934"/>
    <w:rsid w:val="00932F7E"/>
    <w:rsid w:val="00945A3E"/>
    <w:rsid w:val="009D1E40"/>
    <w:rsid w:val="009D49D1"/>
    <w:rsid w:val="009F7E73"/>
    <w:rsid w:val="00A16554"/>
    <w:rsid w:val="00A2321D"/>
    <w:rsid w:val="00A51FA8"/>
    <w:rsid w:val="00A54DB2"/>
    <w:rsid w:val="00A60679"/>
    <w:rsid w:val="00A90A6F"/>
    <w:rsid w:val="00AD318F"/>
    <w:rsid w:val="00AD713F"/>
    <w:rsid w:val="00AE3D7B"/>
    <w:rsid w:val="00B424F3"/>
    <w:rsid w:val="00B4280F"/>
    <w:rsid w:val="00B82D6E"/>
    <w:rsid w:val="00B84CA5"/>
    <w:rsid w:val="00B93DA2"/>
    <w:rsid w:val="00BC3467"/>
    <w:rsid w:val="00BE042A"/>
    <w:rsid w:val="00C56B19"/>
    <w:rsid w:val="00C608E1"/>
    <w:rsid w:val="00CA48A3"/>
    <w:rsid w:val="00CB0A42"/>
    <w:rsid w:val="00CB1F03"/>
    <w:rsid w:val="00CC54E6"/>
    <w:rsid w:val="00CD58AB"/>
    <w:rsid w:val="00CE5B24"/>
    <w:rsid w:val="00CE6A12"/>
    <w:rsid w:val="00CF59C8"/>
    <w:rsid w:val="00CF604E"/>
    <w:rsid w:val="00D213D3"/>
    <w:rsid w:val="00D254B8"/>
    <w:rsid w:val="00D25D9E"/>
    <w:rsid w:val="00D305EB"/>
    <w:rsid w:val="00D61AD4"/>
    <w:rsid w:val="00D72F64"/>
    <w:rsid w:val="00D877B1"/>
    <w:rsid w:val="00DC0FFA"/>
    <w:rsid w:val="00E3643B"/>
    <w:rsid w:val="00E55A35"/>
    <w:rsid w:val="00E65553"/>
    <w:rsid w:val="00E95CC4"/>
    <w:rsid w:val="00EB5DC1"/>
    <w:rsid w:val="00EE3665"/>
    <w:rsid w:val="00F01D36"/>
    <w:rsid w:val="00F03230"/>
    <w:rsid w:val="00F06B04"/>
    <w:rsid w:val="00F1712A"/>
    <w:rsid w:val="00F476A1"/>
    <w:rsid w:val="00F567CC"/>
    <w:rsid w:val="00F61AC7"/>
    <w:rsid w:val="00F61DD2"/>
    <w:rsid w:val="00F66BD0"/>
    <w:rsid w:val="00F83A65"/>
    <w:rsid w:val="00FD3214"/>
    <w:rsid w:val="00FD4822"/>
    <w:rsid w:val="00FF2E3F"/>
    <w:rsid w:val="00FF6DDF"/>
    <w:rsid w:val="034B516A"/>
    <w:rsid w:val="043F3A36"/>
    <w:rsid w:val="08B47B0F"/>
    <w:rsid w:val="09826059"/>
    <w:rsid w:val="09B55EDC"/>
    <w:rsid w:val="0B83662F"/>
    <w:rsid w:val="0D8506D1"/>
    <w:rsid w:val="0EEC71E4"/>
    <w:rsid w:val="115E6532"/>
    <w:rsid w:val="143B47CE"/>
    <w:rsid w:val="14E66D69"/>
    <w:rsid w:val="14F861D2"/>
    <w:rsid w:val="18DA7F86"/>
    <w:rsid w:val="19BF6050"/>
    <w:rsid w:val="19FF09CD"/>
    <w:rsid w:val="1B0E59DA"/>
    <w:rsid w:val="1CA06C2C"/>
    <w:rsid w:val="1CEC472E"/>
    <w:rsid w:val="1D2865CE"/>
    <w:rsid w:val="1DE55E74"/>
    <w:rsid w:val="1F9E3F13"/>
    <w:rsid w:val="21A90FB2"/>
    <w:rsid w:val="21E75AE0"/>
    <w:rsid w:val="23EB24C8"/>
    <w:rsid w:val="26243407"/>
    <w:rsid w:val="284133A6"/>
    <w:rsid w:val="2A7D521B"/>
    <w:rsid w:val="2D466A08"/>
    <w:rsid w:val="2E0C0415"/>
    <w:rsid w:val="2E502E8D"/>
    <w:rsid w:val="2F1F1DA3"/>
    <w:rsid w:val="2F4710DE"/>
    <w:rsid w:val="312D3DE9"/>
    <w:rsid w:val="314247CD"/>
    <w:rsid w:val="32150039"/>
    <w:rsid w:val="36C6133D"/>
    <w:rsid w:val="387E157E"/>
    <w:rsid w:val="3B083884"/>
    <w:rsid w:val="3B364B8C"/>
    <w:rsid w:val="3D01383A"/>
    <w:rsid w:val="3E042B39"/>
    <w:rsid w:val="3E3C3569"/>
    <w:rsid w:val="3E763C6C"/>
    <w:rsid w:val="3F24662A"/>
    <w:rsid w:val="3F972ED9"/>
    <w:rsid w:val="44E75F6C"/>
    <w:rsid w:val="456E3A76"/>
    <w:rsid w:val="473C1281"/>
    <w:rsid w:val="48536338"/>
    <w:rsid w:val="4A1462ED"/>
    <w:rsid w:val="4C4062E6"/>
    <w:rsid w:val="4C9D0A0E"/>
    <w:rsid w:val="4DA40412"/>
    <w:rsid w:val="4E2A5857"/>
    <w:rsid w:val="4F8B2F9F"/>
    <w:rsid w:val="50106C67"/>
    <w:rsid w:val="50B42BA9"/>
    <w:rsid w:val="54532188"/>
    <w:rsid w:val="59DB0801"/>
    <w:rsid w:val="5A086AC0"/>
    <w:rsid w:val="5A5761D8"/>
    <w:rsid w:val="5AC51411"/>
    <w:rsid w:val="5B790692"/>
    <w:rsid w:val="5EC00C46"/>
    <w:rsid w:val="62E36011"/>
    <w:rsid w:val="6498348F"/>
    <w:rsid w:val="6E0C5DB9"/>
    <w:rsid w:val="6E6C5646"/>
    <w:rsid w:val="6E701245"/>
    <w:rsid w:val="704542D0"/>
    <w:rsid w:val="70B42977"/>
    <w:rsid w:val="71553FE7"/>
    <w:rsid w:val="73DA0FA5"/>
    <w:rsid w:val="757225E3"/>
    <w:rsid w:val="75843597"/>
    <w:rsid w:val="79E96F57"/>
    <w:rsid w:val="7A3066AB"/>
    <w:rsid w:val="7DF37195"/>
    <w:rsid w:val="7EE02F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line="440" w:lineRule="exact"/>
      <w:outlineLvl w:val="2"/>
    </w:pPr>
    <w:rPr>
      <w:rFonts w:ascii="Times New Roman" w:hAnsi="Times New Roman" w:eastAsia="宋体" w:cs="Times New Roman"/>
      <w:b/>
      <w:bCs/>
      <w:sz w:val="30"/>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tabs>
        <w:tab w:val="right" w:leader="dot" w:pos="9060"/>
      </w:tabs>
      <w:spacing w:line="460" w:lineRule="exact"/>
    </w:pPr>
    <w:rPr>
      <w:rFonts w:ascii="Times New Roman" w:hAnsi="Times New Roman" w:eastAsia="宋体" w:cs="Times New Roman"/>
      <w:color w:val="7030A0"/>
      <w:sz w:val="24"/>
      <w:szCs w:val="21"/>
    </w:rPr>
  </w:style>
  <w:style w:type="paragraph" w:styleId="7">
    <w:name w:val="Body Text 2"/>
    <w:basedOn w:val="1"/>
    <w:qFormat/>
    <w:uiPriority w:val="0"/>
    <w:pPr>
      <w:spacing w:after="120" w:line="480" w:lineRule="auto"/>
    </w:pPr>
    <w:rPr>
      <w:rFonts w:ascii="Times New Roman" w:hAnsi="Times New Roman" w:eastAsia="宋体" w:cs="Times New Roman"/>
      <w:szCs w:val="20"/>
    </w:rPr>
  </w:style>
  <w:style w:type="character" w:styleId="9">
    <w:name w:val="page number"/>
    <w:basedOn w:val="8"/>
    <w:qFormat/>
    <w:uiPriority w:val="0"/>
  </w:style>
  <w:style w:type="paragraph" w:customStyle="1" w:styleId="11">
    <w:name w:val="列出段落4"/>
    <w:basedOn w:val="1"/>
    <w:qFormat/>
    <w:uiPriority w:val="0"/>
    <w:pPr>
      <w:ind w:firstLine="420" w:firstLineChars="200"/>
    </w:pPr>
    <w:rPr>
      <w:rFonts w:ascii="Calibri" w:hAnsi="Calibri" w:eastAsia="宋体" w:cs="Calibri"/>
      <w:szCs w:val="21"/>
    </w:rPr>
  </w:style>
  <w:style w:type="paragraph" w:customStyle="1" w:styleId="12">
    <w:name w:val="纯文本4"/>
    <w:basedOn w:val="1"/>
    <w:qFormat/>
    <w:uiPriority w:val="0"/>
    <w:pPr>
      <w:adjustRightInd w:val="0"/>
      <w:textAlignment w:val="baseline"/>
    </w:pPr>
    <w:rPr>
      <w:rFonts w:ascii="宋体" w:hAnsi="Courier New" w:eastAsia="宋体" w:cs="Times New Roman"/>
      <w:szCs w:val="20"/>
    </w:rPr>
  </w:style>
  <w:style w:type="paragraph" w:customStyle="1" w:styleId="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qFormat/>
    <w:uiPriority w:val="99"/>
    <w:pPr>
      <w:ind w:firstLine="420" w:firstLineChars="200"/>
    </w:pPr>
    <w:rPr>
      <w:rFonts w:ascii="Calibri" w:hAnsi="Calibri" w:cs="Calibri"/>
      <w:szCs w:val="21"/>
    </w:rPr>
  </w:style>
  <w:style w:type="paragraph" w:customStyle="1" w:styleId="15">
    <w:name w:val="List Paragraph1"/>
    <w:basedOn w:val="1"/>
    <w:qFormat/>
    <w:uiPriority w:val="0"/>
    <w:pPr>
      <w:ind w:firstLine="420" w:firstLineChars="200"/>
    </w:pPr>
    <w:rPr>
      <w:rFonts w:ascii="Calibri" w:hAnsi="Calibri" w:cs="Calibri"/>
      <w:szCs w:val="21"/>
    </w:rPr>
  </w:style>
  <w:style w:type="paragraph" w:customStyle="1" w:styleId="16">
    <w:name w:val="列出段落2"/>
    <w:basedOn w:val="1"/>
    <w:qFormat/>
    <w:uiPriority w:val="0"/>
    <w:pPr>
      <w:ind w:firstLine="420" w:firstLineChars="200"/>
    </w:pPr>
    <w:rPr>
      <w:rFonts w:ascii="Calibri" w:hAnsi="Calibri" w:cs="Calibri"/>
      <w:szCs w:val="21"/>
    </w:rPr>
  </w:style>
  <w:style w:type="paragraph" w:customStyle="1" w:styleId="17">
    <w:name w:val="列出段落3"/>
    <w:basedOn w:val="1"/>
    <w:qFormat/>
    <w:uiPriority w:val="0"/>
    <w:pPr>
      <w:ind w:firstLine="420" w:firstLineChars="200"/>
    </w:pPr>
    <w:rPr>
      <w:rFonts w:ascii="Calibri" w:hAnsi="Calibri" w:eastAsia="宋体" w:cs="Calibri"/>
      <w:szCs w:val="21"/>
    </w:rPr>
  </w:style>
  <w:style w:type="paragraph" w:customStyle="1" w:styleId="18">
    <w:name w:val="纯文本1"/>
    <w:basedOn w:val="1"/>
    <w:qFormat/>
    <w:uiPriority w:val="0"/>
    <w:pPr>
      <w:adjustRightInd w:val="0"/>
      <w:textAlignment w:val="baseline"/>
    </w:pPr>
    <w:rPr>
      <w:rFonts w:ascii="宋体" w:hAnsi="Courier New"/>
    </w:rPr>
  </w:style>
  <w:style w:type="paragraph" w:styleId="19">
    <w:name w:val="List Paragraph"/>
    <w:basedOn w:val="1"/>
    <w:qFormat/>
    <w:uiPriority w:val="34"/>
    <w:pPr>
      <w:ind w:firstLine="420" w:firstLineChars="200"/>
    </w:pPr>
  </w:style>
  <w:style w:type="character" w:customStyle="1" w:styleId="20">
    <w:name w:val="页眉 字符"/>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5ED6A1-D282-443A-9BA2-59EE1C83310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810</Words>
  <Characters>4623</Characters>
  <Lines>38</Lines>
  <Paragraphs>10</Paragraphs>
  <TotalTime>0</TotalTime>
  <ScaleCrop>false</ScaleCrop>
  <LinksUpToDate>false</LinksUpToDate>
  <CharactersWithSpaces>5423</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2021-02-26T04:56:00Z</dcterms:created>
  <dc:creator>柠檬树</dc:creator>
  <cp:lastModifiedBy>hp</cp:lastModifiedBy>
  <cp:lastPrinted>2020-05-28T08:32:00Z</cp:lastPrinted>
  <dcterms:modified xsi:type="dcterms:W3CDTF">2021-03-30T02:21:38Z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