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cs="宋体"/>
          <w:color w:val="000000" w:themeColor="text1"/>
          <w:sz w:val="28"/>
          <w:szCs w:val="28"/>
        </w:rPr>
      </w:pPr>
      <w:r>
        <w:rPr>
          <w:rFonts w:hint="eastAsia" w:ascii="宋体" w:hAnsi="宋体" w:cs="宋体"/>
          <w:color w:val="000000" w:themeColor="text1"/>
          <w:sz w:val="28"/>
          <w:szCs w:val="28"/>
        </w:rPr>
        <w:t>编号：（X）XK13-021</w:t>
      </w:r>
    </w:p>
    <w:p>
      <w:pPr>
        <w:spacing w:line="360" w:lineRule="auto"/>
        <w:jc w:val="right"/>
        <w:rPr>
          <w:rFonts w:ascii="宋体" w:hAnsi="宋体" w:cs="宋体"/>
          <w:b/>
          <w:color w:val="000000" w:themeColor="text1"/>
          <w:sz w:val="52"/>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危险化学品生产许可证实施细则（六）</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r>
        <w:rPr>
          <w:rFonts w:hint="eastAsia" w:ascii="方正楷体简体" w:hAnsi="方正楷体简体" w:eastAsia="方正楷体简体" w:cs="方正楷体简体"/>
          <w:kern w:val="0"/>
          <w:sz w:val="36"/>
          <w:szCs w:val="36"/>
        </w:rPr>
        <w:t>（危险化学品石油产品部分）</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jc w:val="center"/>
        <w:rPr>
          <w:rFonts w:ascii="方正小标宋简体" w:eastAsia="方正小标宋简体" w:cs="Calibri"/>
          <w:color w:val="000000" w:themeColor="text1"/>
          <w:sz w:val="44"/>
          <w:szCs w:val="44"/>
        </w:rPr>
      </w:pPr>
    </w:p>
    <w:p>
      <w:pPr>
        <w:tabs>
          <w:tab w:val="left" w:pos="720"/>
        </w:tabs>
        <w:autoSpaceDE w:val="0"/>
        <w:autoSpaceDN w:val="0"/>
        <w:adjustRightInd w:val="0"/>
        <w:ind w:left="352" w:right="18" w:hanging="180"/>
        <w:jc w:val="center"/>
        <w:rPr>
          <w:rFonts w:ascii="宋体" w:hAnsi="宋体" w:cs="宋体"/>
          <w:color w:val="000000" w:themeColor="text1"/>
          <w:kern w:val="0"/>
          <w:sz w:val="32"/>
          <w:szCs w:val="32"/>
        </w:rPr>
      </w:pPr>
    </w:p>
    <w:p>
      <w:pPr>
        <w:tabs>
          <w:tab w:val="left" w:pos="720"/>
        </w:tabs>
        <w:autoSpaceDE w:val="0"/>
        <w:autoSpaceDN w:val="0"/>
        <w:adjustRightInd w:val="0"/>
        <w:ind w:left="352" w:right="18" w:hanging="180"/>
        <w:jc w:val="left"/>
        <w:rPr>
          <w:rFonts w:ascii="宋体" w:hAnsi="宋体" w:cs="宋体"/>
          <w:b/>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r>
        <w:rPr>
          <w:rFonts w:hint="eastAsia" w:ascii="宋体" w:hAnsi="宋体" w:cs="宋体"/>
          <w:b/>
          <w:color w:val="000000" w:themeColor="text1"/>
          <w:sz w:val="28"/>
          <w:szCs w:val="28"/>
        </w:rPr>
        <w:t>2021-××-××公布                          2021-××-××实施</w:t>
      </w:r>
    </w:p>
    <w:p>
      <w:pPr>
        <w:tabs>
          <w:tab w:val="left" w:pos="720"/>
        </w:tabs>
        <w:autoSpaceDE w:val="0"/>
        <w:autoSpaceDN w:val="0"/>
        <w:adjustRightInd w:val="0"/>
        <w:ind w:left="352" w:right="18" w:hanging="180"/>
        <w:jc w:val="center"/>
        <w:rPr>
          <w:rFonts w:ascii="宋体" w:hAnsi="宋体" w:cs="宋体"/>
          <w:color w:val="000000" w:themeColor="text1"/>
          <w:kern w:val="0"/>
          <w:sz w:val="36"/>
          <w:szCs w:val="36"/>
        </w:rPr>
      </w:pPr>
      <w:r>
        <w:rPr>
          <w:rFonts w:ascii="宋体" w:hAnsi="宋体" w:cs="宋体"/>
          <w:color w:val="000000" w:themeColor="text1"/>
        </w:rPr>
        <w:pict>
          <v:line id="_x0000_s1026" o:spid="_x0000_s1026" o:spt="20" style="position:absolute;left:0pt;margin-top:7.85pt;height:0pt;width:453.55pt;mso-position-horizontal:center;z-index:251686912;mso-width-relative:page;mso-height-relative:page;" coordsize="21600,21600" o:gfxdata="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63RFgdMAAAAGAQAADwAAAAAAAAABACAA&#10;AAAiAAAAZHJzL2Rvd25yZXYueG1sUEsBAhQAFAAAAAgAh07iQC+OAa7ZAQAAlgMAAA4AAAAAAAAA&#10;AQAgAAAAIgEAAGRycy9lMm9Eb2MueG1sUEsFBgAAAAAGAAYAWQEAAG0FAAAAAA==&#10;">
            <v:path arrowok="t"/>
            <v:fill focussize="0,0"/>
            <v:stroke/>
            <v:imagedata o:title=""/>
            <o:lock v:ext="edit"/>
          </v:line>
        </w:pict>
      </w:r>
    </w:p>
    <w:p>
      <w:pPr>
        <w:tabs>
          <w:tab w:val="left" w:pos="720"/>
        </w:tabs>
        <w:autoSpaceDE w:val="0"/>
        <w:autoSpaceDN w:val="0"/>
        <w:adjustRightInd w:val="0"/>
        <w:ind w:left="352" w:right="18" w:hanging="180"/>
        <w:jc w:val="center"/>
        <w:rPr>
          <w:rFonts w:ascii="宋体" w:hAnsi="宋体" w:cs="宋体"/>
          <w:color w:val="000000" w:themeColor="text1"/>
          <w:sz w:val="36"/>
          <w:szCs w:val="36"/>
        </w:rPr>
      </w:pPr>
      <w:r>
        <w:rPr>
          <w:rFonts w:hint="eastAsia" w:ascii="宋体" w:hAnsi="宋体" w:cs="宋体"/>
          <w:b/>
          <w:color w:val="000000" w:themeColor="text1"/>
          <w:kern w:val="0"/>
          <w:sz w:val="36"/>
          <w:szCs w:val="36"/>
        </w:rPr>
        <w:t>国家市场监督管理总局</w:t>
      </w:r>
    </w:p>
    <w:p>
      <w:pPr>
        <w:widowControl/>
        <w:spacing w:line="360" w:lineRule="auto"/>
        <w:jc w:val="left"/>
        <w:rPr>
          <w:rFonts w:ascii="宋体" w:hAnsi="宋体" w:cs="宋体"/>
          <w:color w:val="000000" w:themeColor="text1"/>
          <w:sz w:val="24"/>
          <w:szCs w:val="28"/>
        </w:rPr>
        <w:sectPr>
          <w:pgSz w:w="11906" w:h="16838"/>
          <w:pgMar w:top="1418" w:right="1418" w:bottom="1090" w:left="1418" w:header="851" w:footer="992" w:gutter="0"/>
          <w:cols w:space="720" w:num="1"/>
          <w:docGrid w:type="lines" w:linePitch="312" w:charSpace="0"/>
        </w:sectPr>
      </w:pPr>
    </w:p>
    <w:p>
      <w:pPr>
        <w:tabs>
          <w:tab w:val="left" w:pos="720"/>
        </w:tabs>
        <w:autoSpaceDE w:val="0"/>
        <w:autoSpaceDN w:val="0"/>
        <w:adjustRightInd w:val="0"/>
        <w:ind w:left="352" w:right="18" w:hanging="180"/>
        <w:jc w:val="center"/>
        <w:rPr>
          <w:rFonts w:ascii="宋体" w:hAnsi="宋体" w:eastAsia="宋体" w:cs="Times New Roman"/>
          <w:b/>
          <w:kern w:val="0"/>
          <w:sz w:val="44"/>
          <w:szCs w:val="28"/>
        </w:rPr>
      </w:pPr>
      <w:r>
        <w:rPr>
          <w:rFonts w:hint="eastAsia" w:ascii="宋体" w:hAnsi="宋体" w:eastAsia="宋体" w:cs="Times New Roman"/>
          <w:b/>
          <w:kern w:val="0"/>
          <w:sz w:val="44"/>
          <w:szCs w:val="28"/>
        </w:rPr>
        <w:t>危险化学品生产许可证实施细则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（危险化学品石油产品部分）</w:t>
      </w:r>
    </w:p>
    <w:p>
      <w:pPr>
        <w:tabs>
          <w:tab w:val="left" w:pos="8788"/>
        </w:tabs>
        <w:spacing w:line="240" w:lineRule="exact"/>
        <w:outlineLvl w:val="0"/>
        <w:rPr>
          <w:rFonts w:ascii="宋体" w:hAnsi="宋体" w:cs="宋体"/>
          <w:b/>
          <w:color w:val="000000" w:themeColor="text1"/>
          <w:kern w:val="0"/>
          <w:sz w:val="36"/>
          <w:szCs w:val="36"/>
        </w:rPr>
      </w:pPr>
    </w:p>
    <w:p>
      <w:pPr>
        <w:pStyle w:val="15"/>
        <w:spacing w:line="400" w:lineRule="exact"/>
        <w:rPr>
          <w:rFonts w:ascii="宋体" w:hAnsi="宋体" w:cs="宋体"/>
        </w:rPr>
      </w:pPr>
      <w:r>
        <w:rPr>
          <w:rFonts w:hint="eastAsia" w:ascii="宋体" w:hAnsi="宋体" w:cs="宋体"/>
        </w:rPr>
        <w:t xml:space="preserve">第一条 依据《中华人民共和国工业产品生产许可证管理条例》《中华人民共和国工业产品生产许可证管理条例实施办法》及国务院关于工业产品生产许可证制度的改革要求，制定本细则。 </w:t>
      </w:r>
    </w:p>
    <w:p>
      <w:pPr>
        <w:pStyle w:val="15"/>
        <w:spacing w:line="400" w:lineRule="exact"/>
        <w:rPr>
          <w:rFonts w:ascii="宋体" w:hAnsi="宋体" w:cs="宋体"/>
        </w:rPr>
      </w:pPr>
      <w:r>
        <w:rPr>
          <w:rFonts w:hint="eastAsia" w:ascii="宋体" w:hAnsi="宋体" w:cs="宋体"/>
        </w:rPr>
        <w:t>第二条 本细则适用于省级市场监管部门危险化学品石油产品的生产许可核发等工作。</w:t>
      </w:r>
    </w:p>
    <w:p>
      <w:pPr>
        <w:pStyle w:val="15"/>
        <w:spacing w:line="400" w:lineRule="exact"/>
        <w:rPr>
          <w:rFonts w:ascii="宋体" w:hAnsi="宋体" w:cs="宋体"/>
        </w:rPr>
      </w:pPr>
      <w:bookmarkStart w:id="0" w:name="_Toc507721776"/>
      <w:r>
        <w:rPr>
          <w:rFonts w:hint="eastAsia" w:ascii="宋体" w:hAnsi="宋体" w:cs="宋体"/>
        </w:rPr>
        <w:t xml:space="preserve">第三条 </w:t>
      </w:r>
      <w:bookmarkEnd w:id="0"/>
      <w:r>
        <w:rPr>
          <w:rFonts w:hint="eastAsia" w:ascii="宋体" w:hAnsi="宋体" w:cs="宋体"/>
        </w:rPr>
        <w:t>发证产品范围及产品单元。</w:t>
      </w:r>
    </w:p>
    <w:p>
      <w:pPr>
        <w:pStyle w:val="15"/>
        <w:spacing w:line="400" w:lineRule="exact"/>
        <w:rPr>
          <w:rFonts w:ascii="宋体" w:hAnsi="宋体" w:cs="宋体"/>
        </w:rPr>
      </w:pPr>
      <w:r>
        <w:rPr>
          <w:rFonts w:hint="eastAsia" w:ascii="宋体" w:hAnsi="宋体" w:cs="宋体"/>
        </w:rPr>
        <w:t>本细则中的石油产品是指由原油或其馏分油通过不同加工工艺制得。</w:t>
      </w:r>
      <w:r>
        <w:rPr>
          <w:rFonts w:ascii="宋体" w:hAnsi="宋体" w:cs="宋体"/>
        </w:rPr>
        <w:t>本细则规定执行国家标准或行业标准的危险化学品</w:t>
      </w:r>
      <w:r>
        <w:rPr>
          <w:rFonts w:hint="eastAsia" w:ascii="宋体" w:hAnsi="宋体" w:cs="宋体"/>
        </w:rPr>
        <w:t>石油</w:t>
      </w:r>
      <w:r>
        <w:rPr>
          <w:rFonts w:ascii="宋体" w:hAnsi="宋体" w:cs="宋体"/>
        </w:rPr>
        <w:t>产品为生产许可证发证产品，</w:t>
      </w:r>
      <w:r>
        <w:rPr>
          <w:rFonts w:hint="eastAsia" w:ascii="宋体" w:hAnsi="宋体" w:cs="宋体"/>
        </w:rPr>
        <w:t>共划分为2个产品单元，具体产品单元及产品品种见表1。企业生产表1中的产品应当办理生产许可证，当仅作为企业自用原料进入生产下一环节的，则不需要单独取得工业产品生产许可证。</w:t>
      </w:r>
    </w:p>
    <w:p>
      <w:pPr>
        <w:pStyle w:val="12"/>
        <w:spacing w:line="400" w:lineRule="exact"/>
        <w:ind w:firstLine="114" w:firstLineChars="54"/>
        <w:jc w:val="center"/>
        <w:rPr>
          <w:rFonts w:ascii="宋体" w:hAnsi="宋体" w:cs="宋体"/>
          <w:b/>
          <w:color w:val="000000" w:themeColor="text1"/>
          <w:szCs w:val="24"/>
        </w:rPr>
      </w:pPr>
      <w:r>
        <w:rPr>
          <w:rFonts w:hint="eastAsia" w:ascii="宋体" w:hAnsi="宋体" w:cs="宋体"/>
          <w:b/>
          <w:color w:val="000000" w:themeColor="text1"/>
          <w:szCs w:val="24"/>
        </w:rPr>
        <w:t>表1  危险化学品产品单元、产品品种及发证范围</w:t>
      </w:r>
    </w:p>
    <w:tbl>
      <w:tblPr>
        <w:tblStyle w:val="10"/>
        <w:tblW w:w="94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9"/>
        <w:gridCol w:w="1376"/>
        <w:gridCol w:w="1263"/>
        <w:gridCol w:w="2389"/>
        <w:gridCol w:w="3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11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b/>
                <w:color w:val="000000" w:themeColor="text1"/>
                <w:kern w:val="0"/>
              </w:rPr>
              <w:t>单元序号</w:t>
            </w:r>
          </w:p>
        </w:tc>
        <w:tc>
          <w:tcPr>
            <w:tcW w:w="13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b/>
                <w:color w:val="000000" w:themeColor="text1"/>
                <w:kern w:val="0"/>
              </w:rPr>
              <w:t>产品单元</w:t>
            </w:r>
          </w:p>
        </w:tc>
        <w:tc>
          <w:tcPr>
            <w:tcW w:w="126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b/>
                <w:color w:val="000000" w:themeColor="text1"/>
                <w:kern w:val="0"/>
              </w:rPr>
              <w:t>品种序号</w:t>
            </w:r>
          </w:p>
        </w:tc>
        <w:tc>
          <w:tcPr>
            <w:tcW w:w="23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b/>
                <w:color w:val="000000" w:themeColor="text1"/>
                <w:kern w:val="0"/>
              </w:rPr>
              <w:t>产品品种</w:t>
            </w:r>
          </w:p>
        </w:tc>
        <w:tc>
          <w:tcPr>
            <w:tcW w:w="32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b/>
                <w:color w:val="000000" w:themeColor="text1"/>
                <w:szCs w:val="24"/>
              </w:rPr>
              <w:t>发证范围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1189" w:type="dxa"/>
            <w:vMerge w:val="restart"/>
            <w:tcBorders>
              <w:top w:val="single" w:color="auto" w:sz="4" w:space="0"/>
              <w:left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1</w:t>
            </w:r>
          </w:p>
        </w:tc>
        <w:tc>
          <w:tcPr>
            <w:tcW w:w="1376" w:type="dxa"/>
            <w:vMerge w:val="restart"/>
            <w:tcBorders>
              <w:top w:val="single" w:color="auto" w:sz="4" w:space="0"/>
              <w:left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液化石油气</w:t>
            </w:r>
          </w:p>
        </w:tc>
        <w:tc>
          <w:tcPr>
            <w:tcW w:w="126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1</w:t>
            </w:r>
          </w:p>
        </w:tc>
        <w:tc>
          <w:tcPr>
            <w:tcW w:w="23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商品丙丁烷混合物</w:t>
            </w:r>
          </w:p>
        </w:tc>
        <w:tc>
          <w:tcPr>
            <w:tcW w:w="324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eastAsia="宋体" w:cs="宋体"/>
                <w:b/>
                <w:color w:val="000000" w:themeColor="text1"/>
                <w:szCs w:val="24"/>
              </w:rPr>
            </w:pPr>
            <w:r>
              <w:rPr>
                <w:rFonts w:hint="eastAsia" w:ascii="宋体" w:hAnsi="宋体" w:eastAsia="宋体" w:cs="宋体"/>
                <w:color w:val="000000" w:themeColor="text1"/>
                <w:kern w:val="0"/>
                <w:szCs w:val="21"/>
              </w:rPr>
              <w:t>生产液化石油气的石化炼厂（油气田生产的液化石油气除外）。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1189" w:type="dxa"/>
            <w:vMerge w:val="continue"/>
            <w:tcBorders>
              <w:left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p>
        </w:tc>
        <w:tc>
          <w:tcPr>
            <w:tcW w:w="1376" w:type="dxa"/>
            <w:vMerge w:val="continue"/>
            <w:tcBorders>
              <w:left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p>
        </w:tc>
        <w:tc>
          <w:tcPr>
            <w:tcW w:w="126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2</w:t>
            </w:r>
          </w:p>
        </w:tc>
        <w:tc>
          <w:tcPr>
            <w:tcW w:w="23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车用液化石油气</w:t>
            </w:r>
          </w:p>
        </w:tc>
        <w:tc>
          <w:tcPr>
            <w:tcW w:w="324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eastAsia="宋体" w:cs="宋体"/>
                <w:b/>
                <w:color w:val="000000" w:themeColor="text1"/>
                <w:szCs w:val="24"/>
              </w:rPr>
            </w:pPr>
            <w:r>
              <w:rPr>
                <w:rFonts w:hint="eastAsia" w:ascii="宋体" w:hAnsi="宋体" w:eastAsia="宋体" w:cs="宋体"/>
                <w:color w:val="000000" w:themeColor="text1"/>
                <w:kern w:val="0"/>
                <w:szCs w:val="21"/>
              </w:rPr>
              <w:t>车用液化石油气的生产企业。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89" w:type="dxa"/>
            <w:vMerge w:val="continue"/>
            <w:tcBorders>
              <w:left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p>
        </w:tc>
        <w:tc>
          <w:tcPr>
            <w:tcW w:w="1376" w:type="dxa"/>
            <w:vMerge w:val="continue"/>
            <w:tcBorders>
              <w:left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p>
        </w:tc>
        <w:tc>
          <w:tcPr>
            <w:tcW w:w="126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3</w:t>
            </w:r>
          </w:p>
        </w:tc>
        <w:tc>
          <w:tcPr>
            <w:tcW w:w="23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工业丙烷</w:t>
            </w:r>
          </w:p>
        </w:tc>
        <w:tc>
          <w:tcPr>
            <w:tcW w:w="324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eastAsia="宋体" w:cs="宋体"/>
                <w:color w:val="000000" w:themeColor="text1"/>
                <w:kern w:val="0"/>
                <w:szCs w:val="21"/>
              </w:rPr>
            </w:pPr>
            <w:r>
              <w:rPr>
                <w:rFonts w:hint="eastAsia" w:ascii="宋体" w:hAnsi="宋体" w:eastAsia="宋体" w:cs="宋体"/>
                <w:color w:val="000000" w:themeColor="text1"/>
                <w:kern w:val="0"/>
                <w:szCs w:val="21"/>
              </w:rPr>
              <w:t>由炼厂气经脱硫、分离而制得的工业丙烷产品。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189" w:type="dxa"/>
            <w:vMerge w:val="continue"/>
            <w:tcBorders>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p>
        </w:tc>
        <w:tc>
          <w:tcPr>
            <w:tcW w:w="1376" w:type="dxa"/>
            <w:vMerge w:val="continue"/>
            <w:tcBorders>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p>
        </w:tc>
        <w:tc>
          <w:tcPr>
            <w:tcW w:w="126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4</w:t>
            </w:r>
          </w:p>
        </w:tc>
        <w:tc>
          <w:tcPr>
            <w:tcW w:w="23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工业丁烷</w:t>
            </w:r>
          </w:p>
        </w:tc>
        <w:tc>
          <w:tcPr>
            <w:tcW w:w="324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eastAsia="宋体" w:cs="宋体"/>
                <w:color w:val="000000" w:themeColor="text1"/>
                <w:kern w:val="0"/>
                <w:szCs w:val="21"/>
              </w:rPr>
            </w:pPr>
            <w:r>
              <w:rPr>
                <w:rFonts w:hint="eastAsia" w:ascii="宋体" w:hAnsi="宋体" w:eastAsia="宋体" w:cs="宋体"/>
                <w:color w:val="000000" w:themeColor="text1"/>
                <w:kern w:val="0"/>
                <w:szCs w:val="21"/>
              </w:rPr>
              <w:t>由炼厂气经脱硫、分离而制得的工业丁烷产品。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1189" w:type="dxa"/>
            <w:tcBorders>
              <w:top w:val="single" w:color="auto" w:sz="4" w:space="0"/>
              <w:left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2</w:t>
            </w:r>
          </w:p>
        </w:tc>
        <w:tc>
          <w:tcPr>
            <w:tcW w:w="1376" w:type="dxa"/>
            <w:tcBorders>
              <w:top w:val="single" w:color="auto" w:sz="4" w:space="0"/>
              <w:left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汽油</w:t>
            </w:r>
          </w:p>
        </w:tc>
        <w:tc>
          <w:tcPr>
            <w:tcW w:w="126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5</w:t>
            </w:r>
          </w:p>
        </w:tc>
        <w:tc>
          <w:tcPr>
            <w:tcW w:w="23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rPr>
              <w:t>车用汽油#</w:t>
            </w:r>
          </w:p>
        </w:tc>
        <w:tc>
          <w:tcPr>
            <w:tcW w:w="324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eastAsia="宋体" w:cs="宋体"/>
                <w:color w:val="000000" w:themeColor="text1"/>
                <w:kern w:val="0"/>
                <w:szCs w:val="21"/>
              </w:rPr>
            </w:pPr>
            <w:r>
              <w:rPr>
                <w:rFonts w:hint="eastAsia" w:asciiTheme="minorEastAsia" w:hAnsiTheme="minorEastAsia"/>
                <w:color w:val="000000" w:themeColor="text1"/>
              </w:rPr>
              <w:t>适用</w:t>
            </w:r>
            <w:r>
              <w:rPr>
                <w:rFonts w:asciiTheme="minorEastAsia" w:hAnsiTheme="minorEastAsia"/>
                <w:color w:val="000000" w:themeColor="text1"/>
              </w:rPr>
              <w:t>于点燃式发动机使用的</w:t>
            </w:r>
            <w:r>
              <w:rPr>
                <w:rFonts w:hint="eastAsia" w:asciiTheme="minorEastAsia" w:hAnsiTheme="minorEastAsia"/>
                <w:color w:val="000000" w:themeColor="text1"/>
              </w:rPr>
              <w:t>，</w:t>
            </w:r>
            <w:r>
              <w:rPr>
                <w:rFonts w:hint="eastAsia" w:cs="宋体" w:asciiTheme="minorEastAsia" w:hAnsiTheme="minorEastAsia"/>
                <w:color w:val="000000" w:themeColor="text1"/>
                <w:kern w:val="0"/>
              </w:rPr>
              <w:t>由石油制取或由石油制取的加有改善性能添加剂的石化炼厂</w:t>
            </w:r>
            <w:r>
              <w:rPr>
                <w:rFonts w:hint="eastAsia" w:ascii="宋体" w:hAnsi="宋体" w:eastAsia="宋体" w:cs="宋体"/>
                <w:color w:val="000000" w:themeColor="text1"/>
                <w:kern w:val="0"/>
                <w:szCs w:val="21"/>
              </w:rPr>
              <w:t>。</w:t>
            </w:r>
          </w:p>
        </w:tc>
      </w:tr>
    </w:tbl>
    <w:p>
      <w:pPr>
        <w:spacing w:before="120" w:beforeLines="50" w:line="360" w:lineRule="auto"/>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注：标#的产品品种为</w:t>
      </w:r>
      <w:r>
        <w:rPr>
          <w:rFonts w:hint="eastAsia" w:ascii="宋体" w:hAnsi="宋体" w:eastAsia="宋体" w:cs="宋体"/>
          <w:color w:val="000000" w:themeColor="text1"/>
          <w:szCs w:val="32"/>
        </w:rPr>
        <w:t>涉及国家产业政策</w:t>
      </w:r>
      <w:r>
        <w:rPr>
          <w:rFonts w:hint="eastAsia" w:ascii="宋体" w:hAnsi="宋体" w:eastAsia="宋体" w:cs="宋体"/>
          <w:color w:val="000000" w:themeColor="text1"/>
          <w:szCs w:val="21"/>
        </w:rPr>
        <w:t>产品。</w:t>
      </w:r>
    </w:p>
    <w:p>
      <w:pPr>
        <w:pStyle w:val="12"/>
        <w:spacing w:line="400" w:lineRule="exact"/>
        <w:jc w:val="left"/>
        <w:rPr>
          <w:rFonts w:ascii="宋体" w:hAnsi="宋体" w:cs="宋体"/>
          <w:b/>
          <w:color w:val="000000" w:themeColor="text1"/>
          <w:szCs w:val="24"/>
        </w:rPr>
      </w:pPr>
      <w:r>
        <w:rPr>
          <w:rFonts w:hint="eastAsia" w:ascii="宋体" w:hAnsi="宋体" w:cs="宋体"/>
          <w:color w:val="000000" w:themeColor="text1"/>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15"/>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15"/>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15"/>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15"/>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15"/>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15"/>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15"/>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15"/>
        <w:adjustRightInd w:val="0"/>
        <w:snapToGrid w:val="0"/>
        <w:spacing w:line="400" w:lineRule="exact"/>
        <w:rPr>
          <w:rFonts w:hint="eastAsia" w:asciiTheme="minorEastAsia" w:hAnsiTheme="minorEastAsia"/>
          <w:szCs w:val="24"/>
        </w:rPr>
      </w:pPr>
      <w:r>
        <w:rPr>
          <w:rFonts w:hint="eastAsia" w:ascii="宋体" w:hAnsi="宋体" w:cs="宋体"/>
          <w:szCs w:val="24"/>
        </w:rPr>
        <w:t>法律、行政法规有其他规定的，还应当符合其规</w:t>
      </w:r>
      <w:r>
        <w:rPr>
          <w:rFonts w:hint="eastAsia" w:asciiTheme="minorEastAsia" w:hAnsi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pStyle w:val="12"/>
        <w:spacing w:line="360" w:lineRule="auto"/>
        <w:ind w:firstLine="0" w:firstLineChars="0"/>
        <w:rPr>
          <w:rFonts w:ascii="宋体" w:hAnsi="宋体" w:cs="宋体"/>
          <w:color w:val="000000" w:themeColor="text1"/>
        </w:rPr>
      </w:pPr>
    </w:p>
    <w:p>
      <w:pPr>
        <w:jc w:val="center"/>
        <w:rPr>
          <w:rFonts w:ascii="宋体" w:hAnsi="宋体" w:cs="宋体"/>
          <w:b/>
          <w:color w:val="000000" w:themeColor="text1"/>
        </w:rPr>
      </w:pPr>
      <w:r>
        <w:rPr>
          <w:rFonts w:hint="eastAsia" w:ascii="宋体" w:hAnsi="宋体" w:cs="宋体"/>
          <w:b/>
          <w:color w:val="000000" w:themeColor="text1"/>
          <w:szCs w:val="21"/>
        </w:rPr>
        <w:t xml:space="preserve">表2  </w:t>
      </w:r>
      <w:r>
        <w:rPr>
          <w:rFonts w:hint="eastAsia" w:ascii="宋体" w:hAnsi="宋体" w:cs="宋体"/>
          <w:b/>
          <w:color w:val="000000" w:themeColor="text1"/>
        </w:rPr>
        <w:t>企业生产危险化学品石油产品</w:t>
      </w:r>
      <w:r>
        <w:rPr>
          <w:rFonts w:hint="eastAsia" w:ascii="宋体" w:hAnsi="宋体"/>
          <w:b/>
        </w:rPr>
        <w:t>应具备的</w:t>
      </w:r>
      <w:r>
        <w:rPr>
          <w:rFonts w:hint="eastAsia" w:ascii="宋体" w:hAnsi="宋体"/>
          <w:b/>
          <w:szCs w:val="21"/>
        </w:rPr>
        <w:t>生产设备与检验设备表</w:t>
      </w:r>
    </w:p>
    <w:tbl>
      <w:tblPr>
        <w:tblStyle w:val="10"/>
        <w:tblW w:w="97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147"/>
        <w:gridCol w:w="1134"/>
        <w:gridCol w:w="1590"/>
        <w:gridCol w:w="1649"/>
        <w:gridCol w:w="3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序号</w:t>
            </w:r>
          </w:p>
        </w:tc>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单元名称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产品品种</w:t>
            </w:r>
          </w:p>
        </w:tc>
        <w:tc>
          <w:tcPr>
            <w:tcW w:w="1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生产设备名称</w:t>
            </w:r>
          </w:p>
        </w:tc>
        <w:tc>
          <w:tcPr>
            <w:tcW w:w="16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生产设备要求</w:t>
            </w:r>
          </w:p>
        </w:tc>
        <w:tc>
          <w:tcPr>
            <w:tcW w:w="36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检验设备名称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restart"/>
            <w:tcBorders>
              <w:top w:val="single" w:color="auto" w:sz="4" w:space="0"/>
              <w:left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p>
        </w:tc>
        <w:tc>
          <w:tcPr>
            <w:tcW w:w="1147" w:type="dxa"/>
            <w:vMerge w:val="restart"/>
            <w:tcBorders>
              <w:top w:val="single" w:color="auto" w:sz="4" w:space="0"/>
              <w:left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液化石油气</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商品丙丁烷混合物</w:t>
            </w:r>
          </w:p>
        </w:tc>
        <w:tc>
          <w:tcPr>
            <w:tcW w:w="1590" w:type="dxa"/>
            <w:vMerge w:val="restart"/>
            <w:tcBorders>
              <w:top w:val="single" w:color="auto" w:sz="4" w:space="0"/>
              <w:left w:val="single" w:color="auto" w:sz="4" w:space="0"/>
              <w:right w:val="single" w:color="auto" w:sz="4" w:space="0"/>
            </w:tcBorders>
            <w:vAlign w:val="center"/>
          </w:tcPr>
          <w:p>
            <w:pPr>
              <w:rPr>
                <w:rFonts w:ascii="宋体" w:hAnsi="宋体" w:eastAsia="宋体" w:cs="宋体"/>
                <w:color w:val="000000" w:themeColor="text1"/>
                <w:szCs w:val="21"/>
              </w:rPr>
            </w:pPr>
            <w:r>
              <w:rPr>
                <w:rFonts w:hint="eastAsia" w:ascii="宋体" w:hAnsi="宋体" w:eastAsia="宋体" w:cs="宋体"/>
                <w:color w:val="000000" w:themeColor="text1"/>
                <w:szCs w:val="21"/>
              </w:rPr>
              <w:t>1.制取/精制装置</w:t>
            </w:r>
          </w:p>
          <w:p>
            <w:pPr>
              <w:rPr>
                <w:rFonts w:ascii="宋体" w:hAnsi="宋体" w:eastAsia="宋体" w:cs="宋体"/>
                <w:color w:val="000000" w:themeColor="text1"/>
                <w:szCs w:val="21"/>
              </w:rPr>
            </w:pPr>
            <w:r>
              <w:rPr>
                <w:rFonts w:hint="eastAsia" w:ascii="宋体" w:hAnsi="宋体" w:eastAsia="宋体" w:cs="宋体"/>
                <w:color w:val="000000" w:themeColor="text1"/>
                <w:szCs w:val="21"/>
              </w:rPr>
              <w:t>2.气分装置</w:t>
            </w:r>
          </w:p>
          <w:p>
            <w:pPr>
              <w:rPr>
                <w:rFonts w:ascii="宋体" w:hAnsi="宋体" w:eastAsia="宋体" w:cs="宋体"/>
                <w:color w:val="000000" w:themeColor="text1"/>
                <w:szCs w:val="21"/>
              </w:rPr>
            </w:pPr>
            <w:r>
              <w:rPr>
                <w:rFonts w:hint="eastAsia" w:ascii="宋体" w:hAnsi="宋体" w:eastAsia="宋体" w:cs="宋体"/>
                <w:color w:val="000000" w:themeColor="text1"/>
                <w:szCs w:val="21"/>
              </w:rPr>
              <w:t>3.充装设备</w:t>
            </w:r>
          </w:p>
        </w:tc>
        <w:tc>
          <w:tcPr>
            <w:tcW w:w="1649" w:type="dxa"/>
            <w:vMerge w:val="restart"/>
            <w:tcBorders>
              <w:top w:val="single" w:color="auto" w:sz="4" w:space="0"/>
              <w:left w:val="single" w:color="auto" w:sz="4" w:space="0"/>
              <w:right w:val="single" w:color="auto" w:sz="4" w:space="0"/>
            </w:tcBorders>
            <w:vAlign w:val="center"/>
          </w:tcPr>
          <w:p>
            <w:pPr>
              <w:spacing w:before="24" w:beforeLines="10" w:after="24" w:afterLines="10"/>
              <w:rPr>
                <w:rFonts w:ascii="宋体" w:hAnsi="宋体" w:eastAsia="宋体" w:cs="宋体"/>
                <w:color w:val="000000" w:themeColor="text1"/>
                <w:szCs w:val="21"/>
              </w:rPr>
            </w:pPr>
            <w:r>
              <w:rPr>
                <w:rFonts w:hint="eastAsia" w:ascii="宋体" w:hAnsi="宋体" w:eastAsia="宋体" w:cs="宋体"/>
                <w:color w:val="000000" w:themeColor="text1"/>
                <w:szCs w:val="21"/>
              </w:rPr>
              <w:t>1.制取/精制装置、气分装置满足产品的组成及杂质控制要求。</w:t>
            </w:r>
          </w:p>
          <w:p>
            <w:pPr>
              <w:spacing w:before="24" w:beforeLines="10" w:after="24" w:afterLines="10"/>
              <w:rPr>
                <w:rFonts w:ascii="宋体" w:hAnsi="宋体" w:eastAsia="宋体" w:cs="宋体"/>
                <w:color w:val="000000" w:themeColor="text1"/>
                <w:szCs w:val="21"/>
              </w:rPr>
            </w:pPr>
            <w:r>
              <w:rPr>
                <w:rFonts w:hint="eastAsia" w:ascii="宋体" w:hAnsi="宋体" w:eastAsia="宋体" w:cs="宋体"/>
                <w:color w:val="000000" w:themeColor="text1"/>
                <w:szCs w:val="21"/>
              </w:rPr>
              <w:t>2.充（灌）装设备要求带计量装置，管道输送时可不要求充（灌）装设备。</w:t>
            </w:r>
          </w:p>
        </w:tc>
        <w:tc>
          <w:tcPr>
            <w:tcW w:w="3667" w:type="dxa"/>
            <w:tcBorders>
              <w:top w:val="single" w:color="auto" w:sz="4" w:space="0"/>
              <w:left w:val="single" w:color="auto" w:sz="4" w:space="0"/>
              <w:bottom w:val="single" w:color="auto" w:sz="4" w:space="0"/>
              <w:right w:val="single" w:color="auto" w:sz="4" w:space="0"/>
            </w:tcBorders>
            <w:vAlign w:val="center"/>
          </w:tcPr>
          <w:p>
            <w:pPr>
              <w:adjustRightInd w:val="0"/>
              <w:textAlignment w:val="baseline"/>
              <w:rPr>
                <w:rFonts w:ascii="宋体" w:hAnsi="宋体"/>
                <w:szCs w:val="21"/>
              </w:rPr>
            </w:pPr>
            <w:r>
              <w:rPr>
                <w:rFonts w:hint="eastAsia" w:ascii="宋体" w:hAnsi="宋体" w:eastAsia="宋体" w:cs="宋体"/>
                <w:color w:val="000000" w:themeColor="text1"/>
                <w:szCs w:val="21"/>
              </w:rPr>
              <w:t>压力密度计或气相色谱仪、蒸气压测定仪或气相色谱仪、气相色谱仪、残留测定仪、液化石油气铜片腐蚀仪、硫含量测定仪、液化石油气硫化氢检测仪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tcBorders>
              <w:left w:val="single" w:color="auto" w:sz="4" w:space="0"/>
              <w:right w:val="single" w:color="auto" w:sz="4" w:space="0"/>
            </w:tcBorders>
            <w:vAlign w:val="center"/>
          </w:tcPr>
          <w:p>
            <w:pPr>
              <w:snapToGrid w:val="0"/>
              <w:rPr>
                <w:rFonts w:ascii="宋体" w:hAnsi="宋体"/>
                <w:szCs w:val="21"/>
              </w:rPr>
            </w:pPr>
          </w:p>
        </w:tc>
        <w:tc>
          <w:tcPr>
            <w:tcW w:w="1147" w:type="dxa"/>
            <w:vMerge w:val="continue"/>
            <w:tcBorders>
              <w:left w:val="single" w:color="auto" w:sz="4" w:space="0"/>
              <w:right w:val="single" w:color="auto" w:sz="4" w:space="0"/>
            </w:tcBorders>
            <w:vAlign w:val="center"/>
          </w:tcPr>
          <w:p>
            <w:pPr>
              <w:snapToGrid w:val="0"/>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车用液化石油气</w:t>
            </w:r>
          </w:p>
        </w:tc>
        <w:tc>
          <w:tcPr>
            <w:tcW w:w="1590" w:type="dxa"/>
            <w:vMerge w:val="continue"/>
            <w:tcBorders>
              <w:left w:val="single" w:color="auto" w:sz="4" w:space="0"/>
              <w:right w:val="single" w:color="auto" w:sz="4" w:space="0"/>
            </w:tcBorders>
            <w:vAlign w:val="center"/>
          </w:tcPr>
          <w:p>
            <w:pPr>
              <w:snapToGrid w:val="0"/>
              <w:rPr>
                <w:rFonts w:ascii="宋体" w:hAnsi="宋体" w:eastAsia="宋体" w:cs="宋体"/>
                <w:color w:val="000000" w:themeColor="text1"/>
                <w:szCs w:val="21"/>
              </w:rPr>
            </w:pPr>
          </w:p>
        </w:tc>
        <w:tc>
          <w:tcPr>
            <w:tcW w:w="1649" w:type="dxa"/>
            <w:vMerge w:val="continue"/>
            <w:tcBorders>
              <w:left w:val="single" w:color="auto" w:sz="4" w:space="0"/>
              <w:right w:val="single" w:color="auto" w:sz="4" w:space="0"/>
            </w:tcBorders>
            <w:vAlign w:val="center"/>
          </w:tcPr>
          <w:p>
            <w:pPr>
              <w:snapToGrid w:val="0"/>
              <w:spacing w:before="24" w:beforeLines="10" w:after="24" w:afterLines="10"/>
              <w:rPr>
                <w:rFonts w:ascii="宋体" w:hAnsi="宋体" w:eastAsia="宋体" w:cs="宋体"/>
                <w:color w:val="000000" w:themeColor="text1"/>
                <w:szCs w:val="21"/>
              </w:rPr>
            </w:pPr>
          </w:p>
        </w:tc>
        <w:tc>
          <w:tcPr>
            <w:tcW w:w="3667" w:type="dxa"/>
            <w:tcBorders>
              <w:top w:val="single" w:color="auto" w:sz="4" w:space="0"/>
              <w:left w:val="single" w:color="auto" w:sz="4" w:space="0"/>
              <w:bottom w:val="single" w:color="auto" w:sz="4" w:space="0"/>
              <w:right w:val="single" w:color="auto" w:sz="4" w:space="0"/>
            </w:tcBorders>
            <w:vAlign w:val="center"/>
          </w:tcPr>
          <w:p>
            <w:pPr>
              <w:adjustRightInd w:val="0"/>
              <w:textAlignment w:val="baseline"/>
              <w:rPr>
                <w:rFonts w:ascii="宋体" w:hAnsi="宋体"/>
                <w:szCs w:val="21"/>
              </w:rPr>
            </w:pPr>
            <w:r>
              <w:rPr>
                <w:rFonts w:hint="eastAsia" w:ascii="宋体" w:hAnsi="宋体" w:eastAsia="宋体" w:cs="宋体"/>
                <w:color w:val="000000" w:themeColor="text1"/>
                <w:szCs w:val="21"/>
              </w:rPr>
              <w:t>压力密度计或气相色谱仪、液化石油气硫化氢检测仪或硫化氢检测试纸、液化石油气铜片腐蚀仪、硫含量测定仪、气相色谱仪、气相色谱仪、蒸气压测定仪或气相色谱仪、水分仪或密度仪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597" w:type="dxa"/>
            <w:vMerge w:val="continue"/>
            <w:tcBorders>
              <w:left w:val="single" w:color="auto" w:sz="4" w:space="0"/>
              <w:right w:val="single" w:color="auto" w:sz="4" w:space="0"/>
            </w:tcBorders>
            <w:vAlign w:val="center"/>
          </w:tcPr>
          <w:p>
            <w:pPr>
              <w:snapToGrid w:val="0"/>
              <w:rPr>
                <w:rFonts w:ascii="宋体" w:hAnsi="宋体"/>
                <w:szCs w:val="21"/>
              </w:rPr>
            </w:pPr>
          </w:p>
        </w:tc>
        <w:tc>
          <w:tcPr>
            <w:tcW w:w="1147" w:type="dxa"/>
            <w:vMerge w:val="continue"/>
            <w:tcBorders>
              <w:left w:val="single" w:color="auto" w:sz="4" w:space="0"/>
              <w:right w:val="single" w:color="auto" w:sz="4" w:space="0"/>
            </w:tcBorders>
            <w:vAlign w:val="center"/>
          </w:tcPr>
          <w:p>
            <w:pPr>
              <w:snapToGrid w:val="0"/>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工业丙烷</w:t>
            </w:r>
          </w:p>
        </w:tc>
        <w:tc>
          <w:tcPr>
            <w:tcW w:w="1590" w:type="dxa"/>
            <w:vMerge w:val="continue"/>
            <w:tcBorders>
              <w:left w:val="single" w:color="auto" w:sz="4" w:space="0"/>
              <w:right w:val="single" w:color="auto" w:sz="4" w:space="0"/>
            </w:tcBorders>
            <w:vAlign w:val="center"/>
          </w:tcPr>
          <w:p>
            <w:pPr>
              <w:snapToGrid w:val="0"/>
              <w:rPr>
                <w:rFonts w:ascii="宋体" w:hAnsi="宋体"/>
                <w:szCs w:val="21"/>
              </w:rPr>
            </w:pPr>
          </w:p>
        </w:tc>
        <w:tc>
          <w:tcPr>
            <w:tcW w:w="1649" w:type="dxa"/>
            <w:vMerge w:val="continue"/>
            <w:tcBorders>
              <w:left w:val="single" w:color="auto" w:sz="4" w:space="0"/>
              <w:right w:val="single" w:color="auto" w:sz="4" w:space="0"/>
            </w:tcBorders>
            <w:vAlign w:val="center"/>
          </w:tcPr>
          <w:p>
            <w:pPr>
              <w:snapToGrid w:val="0"/>
              <w:rPr>
                <w:rFonts w:ascii="宋体" w:hAnsi="宋体"/>
                <w:szCs w:val="21"/>
              </w:rPr>
            </w:pPr>
          </w:p>
        </w:tc>
        <w:tc>
          <w:tcPr>
            <w:tcW w:w="3667" w:type="dxa"/>
            <w:vMerge w:val="restart"/>
            <w:tcBorders>
              <w:top w:val="single" w:color="auto" w:sz="4" w:space="0"/>
              <w:left w:val="single" w:color="auto" w:sz="4" w:space="0"/>
              <w:right w:val="single" w:color="auto" w:sz="4" w:space="0"/>
            </w:tcBorders>
            <w:vAlign w:val="center"/>
          </w:tcPr>
          <w:p>
            <w:pPr>
              <w:adjustRightInd w:val="0"/>
              <w:textAlignment w:val="baseline"/>
              <w:rPr>
                <w:rFonts w:ascii="宋体" w:hAnsi="宋体"/>
                <w:szCs w:val="21"/>
              </w:rPr>
            </w:pPr>
            <w:r>
              <w:rPr>
                <w:rFonts w:hint="eastAsia" w:ascii="宋体" w:hAnsi="宋体" w:eastAsia="宋体" w:cs="宋体"/>
                <w:color w:val="000000" w:themeColor="text1"/>
                <w:szCs w:val="21"/>
              </w:rPr>
              <w:t>气相色谱仪、蒸气压测定仪或气相色谱仪、液化石油气铜片腐蚀仪、硫含量测定仪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tcBorders>
              <w:left w:val="single" w:color="auto" w:sz="4" w:space="0"/>
              <w:bottom w:val="single" w:color="auto" w:sz="4" w:space="0"/>
              <w:right w:val="single" w:color="auto" w:sz="4" w:space="0"/>
            </w:tcBorders>
            <w:vAlign w:val="center"/>
          </w:tcPr>
          <w:p>
            <w:pPr>
              <w:snapToGrid w:val="0"/>
              <w:rPr>
                <w:rFonts w:ascii="宋体" w:hAnsi="宋体"/>
                <w:szCs w:val="21"/>
              </w:rPr>
            </w:pPr>
          </w:p>
        </w:tc>
        <w:tc>
          <w:tcPr>
            <w:tcW w:w="1147" w:type="dxa"/>
            <w:vMerge w:val="continue"/>
            <w:tcBorders>
              <w:left w:val="single" w:color="auto" w:sz="4" w:space="0"/>
              <w:bottom w:val="single" w:color="auto" w:sz="4" w:space="0"/>
              <w:right w:val="single" w:color="auto" w:sz="4" w:space="0"/>
            </w:tcBorders>
            <w:vAlign w:val="center"/>
          </w:tcPr>
          <w:p>
            <w:pPr>
              <w:snapToGrid w:val="0"/>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工业丁烷</w:t>
            </w:r>
          </w:p>
        </w:tc>
        <w:tc>
          <w:tcPr>
            <w:tcW w:w="1590" w:type="dxa"/>
            <w:vMerge w:val="continue"/>
            <w:tcBorders>
              <w:left w:val="single" w:color="auto" w:sz="4" w:space="0"/>
              <w:bottom w:val="single" w:color="auto" w:sz="4" w:space="0"/>
              <w:right w:val="single" w:color="auto" w:sz="4" w:space="0"/>
            </w:tcBorders>
            <w:vAlign w:val="center"/>
          </w:tcPr>
          <w:p>
            <w:pPr>
              <w:snapToGrid w:val="0"/>
              <w:rPr>
                <w:rFonts w:ascii="宋体" w:hAnsi="宋体"/>
                <w:szCs w:val="21"/>
              </w:rPr>
            </w:pPr>
          </w:p>
        </w:tc>
        <w:tc>
          <w:tcPr>
            <w:tcW w:w="1649" w:type="dxa"/>
            <w:vMerge w:val="continue"/>
            <w:tcBorders>
              <w:left w:val="single" w:color="auto" w:sz="4" w:space="0"/>
              <w:bottom w:val="single" w:color="auto" w:sz="4" w:space="0"/>
              <w:right w:val="single" w:color="auto" w:sz="4" w:space="0"/>
            </w:tcBorders>
            <w:vAlign w:val="center"/>
          </w:tcPr>
          <w:p>
            <w:pPr>
              <w:snapToGrid w:val="0"/>
              <w:rPr>
                <w:rFonts w:ascii="宋体" w:hAnsi="宋体"/>
                <w:szCs w:val="21"/>
              </w:rPr>
            </w:pPr>
          </w:p>
        </w:tc>
        <w:tc>
          <w:tcPr>
            <w:tcW w:w="3667" w:type="dxa"/>
            <w:vMerge w:val="continue"/>
            <w:tcBorders>
              <w:left w:val="single" w:color="auto" w:sz="4" w:space="0"/>
              <w:bottom w:val="single" w:color="auto" w:sz="4" w:space="0"/>
              <w:right w:val="single" w:color="auto" w:sz="4" w:space="0"/>
            </w:tcBorders>
            <w:vAlign w:val="center"/>
          </w:tcPr>
          <w:p>
            <w:pPr>
              <w:adjustRightInd w:val="0"/>
              <w:textAlignment w:val="baselin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2</w:t>
            </w:r>
          </w:p>
        </w:tc>
        <w:tc>
          <w:tcPr>
            <w:tcW w:w="11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color w:val="000000" w:themeColor="text1"/>
                <w:kern w:val="0"/>
              </w:rPr>
            </w:pPr>
            <w:r>
              <w:rPr>
                <w:rFonts w:hint="eastAsia" w:ascii="宋体" w:hAnsi="宋体" w:eastAsia="宋体" w:cs="宋体"/>
                <w:color w:val="000000" w:themeColor="text1"/>
                <w:kern w:val="0"/>
              </w:rPr>
              <w:t>汽油</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rPr>
              <w:t>车用汽油#</w:t>
            </w:r>
          </w:p>
        </w:tc>
        <w:tc>
          <w:tcPr>
            <w:tcW w:w="159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s="宋体"/>
                <w:color w:val="000000" w:themeColor="text1"/>
                <w:szCs w:val="21"/>
              </w:rPr>
            </w:pPr>
            <w:r>
              <w:rPr>
                <w:rFonts w:hint="eastAsia" w:ascii="宋体" w:hAnsi="宋体" w:cs="宋体"/>
                <w:color w:val="000000" w:themeColor="text1"/>
                <w:szCs w:val="21"/>
              </w:rPr>
              <w:t>1.蒸馏装置</w:t>
            </w:r>
          </w:p>
          <w:p>
            <w:pPr>
              <w:spacing w:line="300" w:lineRule="exact"/>
              <w:rPr>
                <w:rFonts w:ascii="宋体" w:hAnsi="宋体" w:cs="宋体"/>
                <w:color w:val="000000" w:themeColor="text1"/>
                <w:szCs w:val="21"/>
              </w:rPr>
            </w:pPr>
            <w:r>
              <w:rPr>
                <w:rFonts w:hint="eastAsia" w:ascii="宋体" w:hAnsi="宋体" w:cs="宋体"/>
                <w:color w:val="000000" w:themeColor="text1"/>
                <w:szCs w:val="21"/>
              </w:rPr>
              <w:t>2.二次加工装置*</w:t>
            </w:r>
          </w:p>
          <w:p>
            <w:pPr>
              <w:snapToGrid w:val="0"/>
              <w:rPr>
                <w:rFonts w:ascii="宋体" w:hAnsi="宋体" w:eastAsia="宋体" w:cs="宋体"/>
                <w:color w:val="000000" w:themeColor="text1"/>
                <w:szCs w:val="21"/>
              </w:rPr>
            </w:pPr>
            <w:r>
              <w:rPr>
                <w:rFonts w:hint="eastAsia" w:ascii="宋体" w:hAnsi="宋体" w:cs="宋体"/>
                <w:color w:val="000000" w:themeColor="text1"/>
                <w:szCs w:val="21"/>
              </w:rPr>
              <w:t>3.调合装置</w:t>
            </w:r>
          </w:p>
        </w:tc>
        <w:tc>
          <w:tcPr>
            <w:tcW w:w="1649"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line="300" w:lineRule="exact"/>
              <w:rPr>
                <w:rFonts w:ascii="宋体" w:hAnsi="宋体" w:cs="宋体"/>
                <w:color w:val="000000" w:themeColor="text1"/>
                <w:szCs w:val="21"/>
              </w:rPr>
            </w:pPr>
            <w:r>
              <w:rPr>
                <w:rFonts w:hint="eastAsia" w:ascii="宋体" w:hAnsi="宋体" w:cs="宋体"/>
                <w:color w:val="000000" w:themeColor="text1"/>
                <w:szCs w:val="21"/>
              </w:rPr>
              <w:t>1.二次加工装置包括催化裂化装置、加氢装置等；</w:t>
            </w:r>
          </w:p>
          <w:p>
            <w:pPr>
              <w:snapToGrid w:val="0"/>
              <w:spacing w:before="24" w:beforeLines="10" w:after="24" w:afterLines="10"/>
              <w:rPr>
                <w:rFonts w:ascii="宋体" w:hAnsi="宋体" w:eastAsia="宋体" w:cs="宋体"/>
                <w:color w:val="000000" w:themeColor="text1"/>
                <w:szCs w:val="21"/>
              </w:rPr>
            </w:pPr>
            <w:r>
              <w:rPr>
                <w:rFonts w:hint="eastAsia" w:ascii="宋体" w:hAnsi="宋体" w:cs="宋体"/>
                <w:color w:val="000000" w:themeColor="text1"/>
                <w:szCs w:val="21"/>
              </w:rPr>
              <w:t>2.调合装置包括储存装置、常压储罐容器等。</w:t>
            </w:r>
          </w:p>
        </w:tc>
        <w:tc>
          <w:tcPr>
            <w:tcW w:w="3667" w:type="dxa"/>
            <w:tcBorders>
              <w:top w:val="single" w:color="auto" w:sz="4" w:space="0"/>
              <w:left w:val="single" w:color="auto" w:sz="4" w:space="0"/>
              <w:bottom w:val="single" w:color="auto" w:sz="4" w:space="0"/>
              <w:right w:val="single" w:color="auto" w:sz="4" w:space="0"/>
            </w:tcBorders>
            <w:vAlign w:val="center"/>
          </w:tcPr>
          <w:p>
            <w:pPr>
              <w:adjustRightInd w:val="0"/>
              <w:textAlignment w:val="baseline"/>
              <w:rPr>
                <w:rFonts w:ascii="宋体" w:hAnsi="宋体"/>
                <w:szCs w:val="21"/>
              </w:rPr>
            </w:pPr>
            <w:r>
              <w:rPr>
                <w:rFonts w:hint="eastAsia" w:ascii="宋体" w:hAnsi="宋体" w:cs="宋体"/>
                <w:color w:val="000000" w:themeColor="text1"/>
                <w:szCs w:val="21"/>
              </w:rPr>
              <w:t>辛烷值机、原子吸收测定仪、石油产品馏程测定仪 、蒸气压测定仪、喷射胶质仪、汽油氧化安定性测定仪、硫含量测定器、带塞量筒、石油产品铜片腐蚀试验器、分液漏斗、试管、量筒等、气相色谱仪、液体石油烃类测定器、原子吸收测定仪、石油产品密度测定器、酸度计</w:t>
            </w:r>
          </w:p>
        </w:tc>
      </w:tr>
    </w:tbl>
    <w:p>
      <w:pPr>
        <w:pStyle w:val="15"/>
        <w:spacing w:line="400" w:lineRule="exact"/>
        <w:rPr>
          <w:rFonts w:ascii="宋体" w:hAnsi="宋体"/>
          <w:iCs/>
          <w:kern w:val="0"/>
          <w:szCs w:val="24"/>
        </w:rPr>
      </w:pPr>
      <w:r>
        <w:rPr>
          <w:rFonts w:hint="eastAsia" w:ascii="宋体" w:hAnsi="宋体"/>
          <w:iCs/>
          <w:kern w:val="0"/>
          <w:szCs w:val="24"/>
        </w:rPr>
        <w:t>注：1.</w:t>
      </w:r>
      <w:r>
        <w:rPr>
          <w:rFonts w:hint="eastAsia" w:ascii="宋体" w:hAnsi="宋体" w:cs="宋体"/>
        </w:rPr>
        <w:t xml:space="preserve"> 本表</w:t>
      </w:r>
      <w:r>
        <w:rPr>
          <w:rFonts w:hint="eastAsia" w:hAnsi="宋体"/>
          <w:iCs/>
          <w:kern w:val="0"/>
          <w:szCs w:val="24"/>
        </w:rPr>
        <w:t>为</w:t>
      </w:r>
      <w:r>
        <w:rPr>
          <w:rFonts w:hint="eastAsia" w:ascii="宋体" w:hAnsi="宋体"/>
          <w:iCs/>
          <w:kern w:val="0"/>
          <w:szCs w:val="24"/>
        </w:rPr>
        <w:t>企业正常生产</w:t>
      </w:r>
      <w:r>
        <w:rPr>
          <w:rFonts w:hint="eastAsia" w:hAnsi="宋体"/>
          <w:iCs/>
          <w:kern w:val="0"/>
          <w:szCs w:val="24"/>
        </w:rPr>
        <w:t>应具备的</w:t>
      </w:r>
      <w:r>
        <w:rPr>
          <w:rFonts w:hint="eastAsia" w:ascii="宋体" w:hAnsi="宋体" w:cs="宋体"/>
        </w:rPr>
        <w:t>必备</w:t>
      </w:r>
      <w:r>
        <w:rPr>
          <w:rFonts w:hint="eastAsia" w:hAnsi="宋体"/>
          <w:iCs/>
          <w:kern w:val="0"/>
          <w:szCs w:val="24"/>
        </w:rPr>
        <w:t>生产设备</w:t>
      </w:r>
      <w:r>
        <w:rPr>
          <w:rFonts w:hint="eastAsia" w:ascii="宋体" w:hAnsi="宋体"/>
          <w:iCs/>
          <w:kern w:val="0"/>
          <w:szCs w:val="24"/>
        </w:rPr>
        <w:t>和企业应具备的主要检验设备，</w:t>
      </w:r>
      <w:r>
        <w:rPr>
          <w:rFonts w:hint="eastAsia" w:ascii="宋体" w:hAnsi="宋体" w:cs="宋体"/>
        </w:rPr>
        <w:t>生产设备可与上述设备名称不同，并根据企业情况以企业实际具备的生产设备为准；</w:t>
      </w:r>
      <w:r>
        <w:rPr>
          <w:rFonts w:hint="eastAsia" w:ascii="宋体" w:hAnsi="宋体"/>
        </w:rPr>
        <w:t>检验设备也可与上述设备名称不同，但应满足上述设备的功能要求。</w:t>
      </w:r>
    </w:p>
    <w:p>
      <w:pPr>
        <w:pStyle w:val="15"/>
        <w:spacing w:line="400" w:lineRule="exact"/>
        <w:rPr>
          <w:rFonts w:ascii="宋体" w:hAnsi="宋体"/>
          <w:iCs/>
          <w:kern w:val="0"/>
          <w:szCs w:val="24"/>
        </w:rPr>
      </w:pPr>
      <w:r>
        <w:rPr>
          <w:rFonts w:hint="eastAsia" w:ascii="宋体" w:hAnsi="宋体"/>
          <w:iCs/>
          <w:kern w:val="0"/>
          <w:szCs w:val="24"/>
        </w:rPr>
        <w:t>2.</w:t>
      </w:r>
      <w:r>
        <w:rPr>
          <w:rFonts w:hint="eastAsia" w:ascii="宋体" w:hAnsi="宋体"/>
        </w:rPr>
        <w:t>标准中对检验设备有精度要求的，设备精度应满足标准要求；未明确规定的，应满足相应的检测要求。</w:t>
      </w:r>
    </w:p>
    <w:p>
      <w:pPr>
        <w:pStyle w:val="17"/>
        <w:spacing w:line="400" w:lineRule="exact"/>
        <w:jc w:val="left"/>
        <w:rPr>
          <w:rFonts w:ascii="宋体" w:hAnsi="宋体"/>
          <w:iCs/>
          <w:kern w:val="0"/>
          <w:szCs w:val="24"/>
        </w:rPr>
      </w:pPr>
      <w:r>
        <w:rPr>
          <w:rFonts w:hint="eastAsia" w:ascii="宋体" w:hAnsi="宋体"/>
          <w:iCs/>
          <w:kern w:val="0"/>
          <w:szCs w:val="24"/>
        </w:rPr>
        <w:t>3.标注“*”设备为许可证书上应注明的关键生产设备。</w:t>
      </w:r>
    </w:p>
    <w:p>
      <w:pPr>
        <w:pStyle w:val="17"/>
        <w:spacing w:line="400" w:lineRule="exact"/>
        <w:jc w:val="left"/>
        <w:rPr>
          <w:rFonts w:ascii="宋体" w:hAnsi="宋体" w:cs="宋体"/>
          <w:szCs w:val="24"/>
        </w:rPr>
      </w:pPr>
      <w:r>
        <w:rPr>
          <w:rFonts w:hint="eastAsia" w:ascii="宋体" w:hAnsi="宋体"/>
          <w:iCs/>
          <w:kern w:val="0"/>
          <w:szCs w:val="24"/>
        </w:rPr>
        <w:t>4.同一检测项目有多种检测设备时，应至少具备其中一种且满足标准规定的检测要求。</w:t>
      </w:r>
    </w:p>
    <w:p>
      <w:pPr>
        <w:pStyle w:val="12"/>
        <w:spacing w:line="360" w:lineRule="auto"/>
        <w:ind w:firstLine="0" w:firstLineChars="0"/>
        <w:rPr>
          <w:rFonts w:ascii="宋体" w:hAnsi="宋体" w:cs="宋体"/>
        </w:rPr>
      </w:pPr>
      <w:bookmarkStart w:id="1" w:name="_Toc507721778"/>
    </w:p>
    <w:p>
      <w:pPr>
        <w:spacing w:line="400" w:lineRule="exact"/>
        <w:ind w:firstLine="420" w:firstLineChars="200"/>
        <w:jc w:val="left"/>
        <w:rPr>
          <w:rFonts w:asciiTheme="minorEastAsia" w:hAnsiTheme="minorEastAsia"/>
          <w:szCs w:val="24"/>
        </w:rPr>
      </w:pPr>
      <w:r>
        <w:rPr>
          <w:rFonts w:hint="eastAsia" w:asciiTheme="minorEastAsia" w:hAnsiTheme="minorEastAsia"/>
          <w:szCs w:val="24"/>
        </w:rPr>
        <w:t>第五条 证书要求</w:t>
      </w:r>
    </w:p>
    <w:p>
      <w:pPr>
        <w:pStyle w:val="15"/>
        <w:tabs>
          <w:tab w:val="left" w:pos="1276"/>
        </w:tabs>
        <w:spacing w:line="400" w:lineRule="exact"/>
        <w:rPr>
          <w:rFonts w:ascii="宋体" w:hAnsi="宋体"/>
          <w:kern w:val="0"/>
          <w:szCs w:val="24"/>
        </w:rPr>
      </w:pPr>
      <w:r>
        <w:rPr>
          <w:rFonts w:hint="eastAsia" w:ascii="宋体" w:hAnsi="宋体"/>
          <w:kern w:val="0"/>
          <w:szCs w:val="24"/>
        </w:rPr>
        <w:t>证书明细应包括产品单元名称、产品品种、关键设备名称及数量（示例见表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p>
    <w:p>
      <w:pPr>
        <w:spacing w:line="360" w:lineRule="auto"/>
        <w:ind w:firstLine="422" w:firstLineChars="200"/>
        <w:jc w:val="center"/>
        <w:rPr>
          <w:rFonts w:ascii="宋体" w:hAnsi="宋体"/>
          <w:b/>
        </w:rPr>
      </w:pPr>
    </w:p>
    <w:p>
      <w:pPr>
        <w:spacing w:line="360" w:lineRule="auto"/>
        <w:ind w:firstLine="422" w:firstLineChars="200"/>
        <w:jc w:val="center"/>
        <w:rPr>
          <w:rFonts w:ascii="宋体" w:hAnsi="宋体"/>
          <w:b/>
        </w:rPr>
      </w:pPr>
      <w:r>
        <w:rPr>
          <w:rFonts w:hint="eastAsia" w:ascii="宋体" w:hAnsi="宋体"/>
          <w:b/>
        </w:rPr>
        <w:t>表</w:t>
      </w:r>
      <w:r>
        <w:rPr>
          <w:rFonts w:ascii="宋体" w:hAnsi="宋体"/>
          <w:b/>
        </w:rPr>
        <w:t>3</w:t>
      </w:r>
      <w:r>
        <w:rPr>
          <w:rFonts w:hint="eastAsia" w:ascii="宋体" w:hAnsi="宋体"/>
          <w:b/>
        </w:rPr>
        <w:t>证书产品明细内容示例</w:t>
      </w:r>
      <w:bookmarkEnd w:id="1"/>
    </w:p>
    <w:tbl>
      <w:tblPr>
        <w:tblStyle w:val="10"/>
        <w:tblW w:w="97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701"/>
        <w:gridCol w:w="1843"/>
        <w:gridCol w:w="5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tblHeader/>
          <w:jc w:val="center"/>
        </w:trPr>
        <w:tc>
          <w:tcPr>
            <w:tcW w:w="787"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b/>
                <w:bCs/>
                <w:szCs w:val="21"/>
              </w:rPr>
            </w:pPr>
            <w:r>
              <w:rPr>
                <w:rFonts w:hint="eastAsia" w:asciiTheme="minorEastAsia" w:hAnsiTheme="minorEastAsia"/>
                <w:b/>
                <w:bCs/>
                <w:szCs w:val="21"/>
              </w:rPr>
              <w:t>序号</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bCs/>
                <w:szCs w:val="21"/>
              </w:rPr>
            </w:pPr>
            <w:r>
              <w:rPr>
                <w:rFonts w:hint="eastAsia" w:asciiTheme="minorEastAsia" w:hAnsiTheme="minorEastAsia"/>
                <w:b/>
                <w:bCs/>
                <w:szCs w:val="21"/>
              </w:rPr>
              <w:t>产品名称</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bCs/>
                <w:szCs w:val="21"/>
              </w:rPr>
            </w:pPr>
            <w:r>
              <w:rPr>
                <w:rFonts w:hint="eastAsia" w:asciiTheme="minorEastAsia" w:hAnsiTheme="minorEastAsia"/>
                <w:b/>
                <w:bCs/>
                <w:szCs w:val="21"/>
              </w:rPr>
              <w:t>产品单元</w:t>
            </w:r>
          </w:p>
        </w:tc>
        <w:tc>
          <w:tcPr>
            <w:tcW w:w="5386"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bCs/>
                <w:szCs w:val="21"/>
              </w:rPr>
            </w:pPr>
            <w:r>
              <w:rPr>
                <w:rFonts w:hint="eastAsia" w:ascii="宋体" w:hAnsi="宋体"/>
                <w:b/>
                <w:bCs/>
                <w:kern w:val="0"/>
                <w:szCs w:val="21"/>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tblHeader/>
          <w:jc w:val="center"/>
        </w:trPr>
        <w:tc>
          <w:tcPr>
            <w:tcW w:w="787" w:type="dxa"/>
            <w:vMerge w:val="restart"/>
            <w:tcBorders>
              <w:top w:val="single" w:color="auto" w:sz="4" w:space="0"/>
              <w:left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w:t>
            </w:r>
          </w:p>
        </w:tc>
        <w:tc>
          <w:tcPr>
            <w:tcW w:w="1701" w:type="dxa"/>
            <w:vMerge w:val="restart"/>
            <w:tcBorders>
              <w:top w:val="single" w:color="auto" w:sz="4" w:space="0"/>
              <w:left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危险化学品石油产品</w:t>
            </w:r>
          </w:p>
        </w:tc>
        <w:tc>
          <w:tcPr>
            <w:tcW w:w="1843"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b/>
                <w:bCs/>
                <w:szCs w:val="21"/>
              </w:rPr>
            </w:pPr>
            <w:r>
              <w:rPr>
                <w:rFonts w:hint="eastAsia" w:asciiTheme="minorEastAsia" w:hAnsiTheme="minorEastAsia"/>
                <w:szCs w:val="21"/>
              </w:rPr>
              <w:t>液化石油气</w:t>
            </w:r>
          </w:p>
        </w:tc>
        <w:tc>
          <w:tcPr>
            <w:tcW w:w="53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left"/>
              <w:rPr>
                <w:rFonts w:ascii="宋体" w:hAnsi="宋体" w:cs="宋体"/>
                <w:kern w:val="0"/>
                <w:szCs w:val="21"/>
              </w:rPr>
            </w:pPr>
            <w:r>
              <w:rPr>
                <w:rFonts w:hint="eastAsia" w:asciiTheme="minorEastAsia" w:hAnsiTheme="minorEastAsia"/>
                <w:szCs w:val="21"/>
              </w:rPr>
              <w:t>产品单元：液化石油气</w:t>
            </w:r>
          </w:p>
          <w:p>
            <w:pPr>
              <w:spacing w:line="320" w:lineRule="exact"/>
              <w:jc w:val="left"/>
              <w:rPr>
                <w:rFonts w:asciiTheme="minorEastAsia" w:hAnsiTheme="minorEastAsia"/>
                <w:b/>
                <w:bCs/>
                <w:szCs w:val="21"/>
              </w:rPr>
            </w:pPr>
            <w:r>
              <w:rPr>
                <w:rFonts w:hint="eastAsia" w:ascii="宋体" w:hAnsi="宋体" w:cs="宋体"/>
                <w:kern w:val="0"/>
                <w:szCs w:val="21"/>
              </w:rPr>
              <w:t>产品品种：</w:t>
            </w:r>
            <w:r>
              <w:rPr>
                <w:rFonts w:hint="eastAsia" w:ascii="宋体" w:hAnsi="宋体" w:eastAsia="宋体" w:cs="宋体"/>
                <w:szCs w:val="21"/>
              </w:rPr>
              <w:t>工业丁烷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blHeader/>
          <w:jc w:val="center"/>
        </w:trPr>
        <w:tc>
          <w:tcPr>
            <w:tcW w:w="787" w:type="dxa"/>
            <w:vMerge w:val="continue"/>
            <w:tcBorders>
              <w:left w:val="single" w:color="auto" w:sz="4" w:space="0"/>
              <w:right w:val="single" w:color="auto" w:sz="4" w:space="0"/>
            </w:tcBorders>
            <w:vAlign w:val="center"/>
          </w:tcPr>
          <w:p>
            <w:pPr>
              <w:jc w:val="center"/>
              <w:rPr>
                <w:rFonts w:asciiTheme="minorEastAsia" w:hAnsiTheme="minorEastAsia"/>
                <w:szCs w:val="21"/>
              </w:rPr>
            </w:pPr>
          </w:p>
        </w:tc>
        <w:tc>
          <w:tcPr>
            <w:tcW w:w="1701" w:type="dxa"/>
            <w:vMerge w:val="continue"/>
            <w:tcBorders>
              <w:left w:val="single" w:color="auto" w:sz="4" w:space="0"/>
              <w:right w:val="single" w:color="auto" w:sz="4" w:space="0"/>
            </w:tcBorders>
            <w:vAlign w:val="center"/>
          </w:tcPr>
          <w:p>
            <w:pPr>
              <w:rPr>
                <w:rFonts w:asciiTheme="minorEastAsia" w:hAnsiTheme="minorEastAsia"/>
                <w:szCs w:val="21"/>
              </w:rPr>
            </w:pPr>
          </w:p>
        </w:tc>
        <w:tc>
          <w:tcPr>
            <w:tcW w:w="1843" w:type="dxa"/>
            <w:tcBorders>
              <w:top w:val="single" w:color="auto" w:sz="4" w:space="0"/>
              <w:left w:val="single" w:color="auto" w:sz="4" w:space="0"/>
              <w:right w:val="single" w:color="auto" w:sz="4" w:space="0"/>
            </w:tcBorders>
            <w:vAlign w:val="center"/>
          </w:tcPr>
          <w:p>
            <w:pPr>
              <w:rPr>
                <w:rFonts w:asciiTheme="minorEastAsia" w:hAnsiTheme="minorEastAsia"/>
                <w:szCs w:val="21"/>
              </w:rPr>
            </w:pPr>
            <w:r>
              <w:rPr>
                <w:rFonts w:hint="eastAsia" w:ascii="宋体" w:hAnsi="宋体" w:cs="宋体"/>
                <w:kern w:val="0"/>
                <w:szCs w:val="21"/>
              </w:rPr>
              <w:t>汽油</w:t>
            </w:r>
          </w:p>
        </w:tc>
        <w:tc>
          <w:tcPr>
            <w:tcW w:w="53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left"/>
              <w:rPr>
                <w:rFonts w:ascii="宋体" w:hAnsi="宋体" w:cs="宋体"/>
                <w:kern w:val="0"/>
                <w:szCs w:val="21"/>
              </w:rPr>
            </w:pPr>
            <w:r>
              <w:rPr>
                <w:rFonts w:hint="eastAsia" w:asciiTheme="minorEastAsia" w:hAnsiTheme="minorEastAsia"/>
                <w:szCs w:val="21"/>
              </w:rPr>
              <w:t>产品单元：</w:t>
            </w:r>
            <w:r>
              <w:rPr>
                <w:rFonts w:hint="eastAsia" w:ascii="宋体" w:hAnsi="宋体" w:cs="宋体"/>
                <w:kern w:val="0"/>
                <w:szCs w:val="21"/>
              </w:rPr>
              <w:t>汽油</w:t>
            </w:r>
          </w:p>
          <w:p>
            <w:pPr>
              <w:spacing w:line="320" w:lineRule="exact"/>
              <w:jc w:val="left"/>
              <w:rPr>
                <w:rFonts w:ascii="宋体" w:hAnsi="宋体" w:cs="宋体"/>
                <w:kern w:val="0"/>
                <w:szCs w:val="21"/>
              </w:rPr>
            </w:pPr>
            <w:r>
              <w:rPr>
                <w:rFonts w:hint="eastAsia" w:ascii="宋体" w:hAnsi="宋体" w:cs="宋体"/>
                <w:kern w:val="0"/>
                <w:szCs w:val="21"/>
              </w:rPr>
              <w:t>产品品种：车用汽油</w:t>
            </w:r>
          </w:p>
          <w:p>
            <w:pPr>
              <w:rPr>
                <w:rFonts w:asciiTheme="minorEastAsia" w:hAnsiTheme="minorEastAsia"/>
                <w:szCs w:val="21"/>
              </w:rPr>
            </w:pPr>
            <w:r>
              <w:rPr>
                <w:rFonts w:hint="eastAsia" w:ascii="宋体" w:hAnsi="宋体" w:cs="宋体"/>
                <w:kern w:val="0"/>
                <w:szCs w:val="21"/>
              </w:rPr>
              <w:t>关键生产设备：</w:t>
            </w:r>
            <w:r>
              <w:rPr>
                <w:rFonts w:hint="eastAsia" w:ascii="宋体" w:hAnsi="宋体" w:cs="宋体"/>
                <w:szCs w:val="21"/>
              </w:rPr>
              <w:t>催化裂化装置</w:t>
            </w:r>
            <w:r>
              <w:rPr>
                <w:rFonts w:hint="eastAsia" w:ascii="宋体" w:hAnsi="宋体"/>
                <w:iCs/>
                <w:szCs w:val="21"/>
              </w:rPr>
              <w:t>1套</w:t>
            </w:r>
          </w:p>
        </w:tc>
      </w:tr>
    </w:tbl>
    <w:p>
      <w:pPr>
        <w:spacing w:line="420" w:lineRule="exact"/>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spacing w:line="400" w:lineRule="exact"/>
        <w:ind w:firstLine="420" w:firstLineChars="200"/>
        <w:jc w:val="left"/>
        <w:rPr>
          <w:rFonts w:asciiTheme="minorEastAsia" w:hAnsiTheme="minorEastAsia"/>
          <w:szCs w:val="24"/>
        </w:rPr>
      </w:pPr>
      <w:bookmarkStart w:id="3" w:name="_GoBack"/>
      <w:bookmarkEnd w:id="3"/>
      <w:bookmarkStart w:id="2" w:name="_Toc507721782"/>
    </w:p>
    <w:p>
      <w:pPr>
        <w:spacing w:line="420" w:lineRule="exact"/>
        <w:ind w:firstLine="420" w:firstLineChars="200"/>
        <w:rPr>
          <w:rFonts w:ascii="宋体" w:hAnsi="宋体"/>
        </w:rPr>
      </w:pPr>
      <w:r>
        <w:rPr>
          <w:rFonts w:hint="eastAsia" w:ascii="宋体" w:hAnsi="宋体"/>
        </w:rPr>
        <w:t>附件：危险化学品石油产品执行的标准及检验项目。</w:t>
      </w:r>
    </w:p>
    <w:p>
      <w:pPr>
        <w:pStyle w:val="2"/>
        <w:rPr>
          <w:color w:val="000000" w:themeColor="text1"/>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sectPr>
          <w:headerReference r:id="rId3" w:type="default"/>
          <w:footerReference r:id="rId4" w:type="default"/>
          <w:pgSz w:w="11906" w:h="16838"/>
          <w:pgMar w:top="1418" w:right="1418" w:bottom="1418" w:left="1418" w:header="851" w:footer="992" w:gutter="0"/>
          <w:pgNumType w:start="1"/>
          <w:cols w:space="720" w:num="1"/>
        </w:sectPr>
      </w:pPr>
    </w:p>
    <w:p>
      <w:pPr>
        <w:pStyle w:val="15"/>
        <w:spacing w:line="400" w:lineRule="exact"/>
        <w:ind w:firstLine="0" w:firstLineChars="0"/>
        <w:jc w:val="left"/>
        <w:rPr>
          <w:rFonts w:ascii="方正黑体简体" w:hAnsi="方正黑体简体" w:eastAsia="方正黑体简体" w:cs="方正黑体简体"/>
          <w:bCs/>
          <w:kern w:val="0"/>
          <w:sz w:val="24"/>
          <w:szCs w:val="24"/>
        </w:rPr>
      </w:pPr>
      <w:r>
        <w:rPr>
          <w:rFonts w:hint="eastAsia" w:ascii="宋体" w:hAnsi="宋体" w:cs="宋体"/>
          <w:b/>
          <w:bCs/>
          <w:color w:val="000000" w:themeColor="text1"/>
        </w:rPr>
        <w:t>附件</w:t>
      </w:r>
    </w:p>
    <w:p>
      <w:pPr>
        <w:pStyle w:val="15"/>
        <w:spacing w:line="400" w:lineRule="exact"/>
        <w:ind w:firstLine="0" w:firstLineChars="0"/>
        <w:jc w:val="center"/>
        <w:rPr>
          <w:rFonts w:ascii="方正黑体简体" w:hAnsi="方正黑体简体" w:eastAsia="方正黑体简体" w:cs="方正黑体简体"/>
          <w:bCs/>
          <w:kern w:val="0"/>
          <w:sz w:val="24"/>
          <w:szCs w:val="24"/>
        </w:rPr>
      </w:pPr>
      <w:r>
        <w:rPr>
          <w:rFonts w:hint="eastAsia" w:ascii="方正黑体简体" w:hAnsi="方正黑体简体" w:eastAsia="方正黑体简体" w:cs="方正黑体简体"/>
          <w:bCs/>
          <w:kern w:val="0"/>
          <w:sz w:val="24"/>
          <w:szCs w:val="24"/>
        </w:rPr>
        <w:t>危险化学品石油产品执行的标准及检验项目</w:t>
      </w:r>
    </w:p>
    <w:p>
      <w:pPr>
        <w:pStyle w:val="2"/>
        <w:ind w:firstLine="0" w:firstLineChars="0"/>
        <w:jc w:val="center"/>
        <w:rPr>
          <w:rFonts w:ascii="方正楷体简体" w:hAnsi="方正楷体简体" w:eastAsia="方正楷体简体" w:cs="方正楷体简体"/>
          <w:bCs/>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10"/>
        <w:tblW w:w="12328"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697"/>
        <w:gridCol w:w="889"/>
        <w:gridCol w:w="1953"/>
        <w:gridCol w:w="3686"/>
        <w:gridCol w:w="510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blHeader/>
          <w:jc w:val="center"/>
        </w:trPr>
        <w:tc>
          <w:tcPr>
            <w:tcW w:w="697"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序号</w:t>
            </w:r>
          </w:p>
        </w:tc>
        <w:tc>
          <w:tcPr>
            <w:tcW w:w="889"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产品</w:t>
            </w:r>
          </w:p>
          <w:p>
            <w:pPr>
              <w:spacing w:before="72" w:beforeLines="30" w:line="280" w:lineRule="exact"/>
              <w:jc w:val="center"/>
              <w:rPr>
                <w:rFonts w:ascii="宋体" w:hAnsi="宋体"/>
                <w:b/>
                <w:bCs/>
              </w:rPr>
            </w:pPr>
            <w:r>
              <w:rPr>
                <w:rFonts w:hint="eastAsia" w:ascii="宋体" w:hAnsi="宋体"/>
                <w:b/>
                <w:bCs/>
              </w:rPr>
              <w:t>单元</w:t>
            </w:r>
          </w:p>
        </w:tc>
        <w:tc>
          <w:tcPr>
            <w:tcW w:w="1953"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产品品种</w:t>
            </w:r>
          </w:p>
        </w:tc>
        <w:tc>
          <w:tcPr>
            <w:tcW w:w="3686"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标准名称</w:t>
            </w:r>
          </w:p>
        </w:tc>
        <w:tc>
          <w:tcPr>
            <w:tcW w:w="5103"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检验项目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restart"/>
            <w:tcBorders>
              <w:tl2br w:val="nil"/>
              <w:tr2bl w:val="nil"/>
            </w:tcBorders>
            <w:vAlign w:val="center"/>
          </w:tcPr>
          <w:p>
            <w:pPr>
              <w:spacing w:before="72" w:beforeLines="30" w:line="280" w:lineRule="exact"/>
              <w:jc w:val="center"/>
              <w:rPr>
                <w:rFonts w:ascii="宋体" w:hAnsi="宋体"/>
              </w:rPr>
            </w:pPr>
            <w:r>
              <w:rPr>
                <w:rFonts w:hint="eastAsia" w:ascii="宋体" w:hAnsi="宋体"/>
              </w:rPr>
              <w:t>1</w:t>
            </w:r>
          </w:p>
        </w:tc>
        <w:tc>
          <w:tcPr>
            <w:tcW w:w="889" w:type="dxa"/>
            <w:vMerge w:val="restart"/>
            <w:tcBorders>
              <w:tl2br w:val="nil"/>
              <w:tr2bl w:val="nil"/>
            </w:tcBorders>
            <w:vAlign w:val="center"/>
          </w:tcPr>
          <w:p>
            <w:pPr>
              <w:adjustRightInd w:val="0"/>
              <w:spacing w:line="320" w:lineRule="exact"/>
              <w:jc w:val="center"/>
              <w:textAlignment w:val="baseline"/>
              <w:rPr>
                <w:rFonts w:ascii="宋体" w:hAnsi="宋体" w:eastAsia="宋体" w:cs="宋体"/>
                <w:color w:val="000000" w:themeColor="text1"/>
                <w:szCs w:val="21"/>
              </w:rPr>
            </w:pPr>
            <w:r>
              <w:rPr>
                <w:rFonts w:hint="eastAsia" w:ascii="宋体" w:hAnsi="宋体" w:eastAsia="宋体" w:cs="宋体"/>
                <w:color w:val="000000" w:themeColor="text1"/>
                <w:szCs w:val="21"/>
              </w:rPr>
              <w:t>液化</w:t>
            </w:r>
          </w:p>
          <w:p>
            <w:pPr>
              <w:adjustRightInd w:val="0"/>
              <w:spacing w:line="320" w:lineRule="exact"/>
              <w:jc w:val="center"/>
              <w:textAlignment w:val="baseline"/>
              <w:rPr>
                <w:rFonts w:ascii="宋体" w:hAnsi="宋体" w:eastAsia="宋体" w:cs="宋体"/>
                <w:b/>
                <w:color w:val="000000" w:themeColor="text1"/>
                <w:szCs w:val="21"/>
              </w:rPr>
            </w:pPr>
            <w:r>
              <w:rPr>
                <w:rFonts w:hint="eastAsia" w:ascii="宋体" w:hAnsi="宋体" w:eastAsia="宋体" w:cs="宋体"/>
                <w:color w:val="000000" w:themeColor="text1"/>
                <w:szCs w:val="21"/>
              </w:rPr>
              <w:t>石油气</w:t>
            </w:r>
          </w:p>
        </w:tc>
        <w:tc>
          <w:tcPr>
            <w:tcW w:w="1953" w:type="dxa"/>
            <w:tcBorders>
              <w:tl2br w:val="nil"/>
              <w:tr2bl w:val="nil"/>
            </w:tcBorders>
            <w:vAlign w:val="center"/>
          </w:tcPr>
          <w:p>
            <w:pPr>
              <w:adjustRightInd w:val="0"/>
              <w:spacing w:line="320" w:lineRule="exact"/>
              <w:jc w:val="center"/>
              <w:textAlignment w:val="baseline"/>
              <w:rPr>
                <w:rFonts w:ascii="宋体" w:hAnsi="宋体" w:eastAsia="宋体" w:cs="宋体"/>
                <w:b/>
                <w:color w:val="000000" w:themeColor="text1"/>
                <w:szCs w:val="21"/>
              </w:rPr>
            </w:pPr>
            <w:r>
              <w:rPr>
                <w:rFonts w:hint="eastAsia" w:ascii="宋体" w:hAnsi="宋体" w:eastAsia="宋体" w:cs="宋体"/>
                <w:color w:val="000000" w:themeColor="text1"/>
                <w:kern w:val="0"/>
                <w:szCs w:val="21"/>
              </w:rPr>
              <w:t>商品丙丁烷混合物</w:t>
            </w:r>
          </w:p>
        </w:tc>
        <w:tc>
          <w:tcPr>
            <w:tcW w:w="3686" w:type="dxa"/>
            <w:tcBorders>
              <w:tl2br w:val="nil"/>
              <w:tr2bl w:val="nil"/>
            </w:tcBorders>
            <w:vAlign w:val="center"/>
          </w:tcPr>
          <w:p>
            <w:pPr>
              <w:spacing w:before="72" w:beforeLines="30" w:line="280" w:lineRule="exact"/>
              <w:rPr>
                <w:rFonts w:ascii="宋体" w:hAnsi="宋体"/>
              </w:rPr>
            </w:pPr>
            <w:r>
              <w:rPr>
                <w:rFonts w:hint="eastAsia" w:ascii="宋体" w:hAnsi="宋体" w:eastAsia="宋体" w:cs="宋体"/>
                <w:bCs/>
                <w:color w:val="000000" w:themeColor="text1"/>
                <w:szCs w:val="21"/>
              </w:rPr>
              <w:t>GB 11174-2011液化石油气</w:t>
            </w:r>
          </w:p>
        </w:tc>
        <w:tc>
          <w:tcPr>
            <w:tcW w:w="5103" w:type="dxa"/>
            <w:tcBorders>
              <w:tl2br w:val="nil"/>
              <w:tr2bl w:val="nil"/>
            </w:tcBorders>
            <w:vAlign w:val="center"/>
          </w:tcPr>
          <w:p>
            <w:pPr>
              <w:adjustRightInd w:val="0"/>
              <w:spacing w:line="320" w:lineRule="exact"/>
              <w:textAlignment w:val="baseline"/>
              <w:rPr>
                <w:rFonts w:ascii="宋体" w:hAnsi="宋体"/>
              </w:rPr>
            </w:pPr>
            <w:r>
              <w:rPr>
                <w:rFonts w:hint="eastAsia" w:ascii="宋体" w:hAnsi="宋体" w:eastAsia="宋体" w:cs="宋体"/>
                <w:color w:val="000000" w:themeColor="text1"/>
                <w:szCs w:val="21"/>
              </w:rPr>
              <w:t>组分含量、残留物、铜片腐蚀、总硫含量、硫化氢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continue"/>
            <w:tcBorders>
              <w:tl2br w:val="nil"/>
              <w:tr2bl w:val="nil"/>
            </w:tcBorders>
            <w:vAlign w:val="center"/>
          </w:tcPr>
          <w:p>
            <w:pPr>
              <w:spacing w:before="72" w:beforeLines="30" w:line="280" w:lineRule="exact"/>
              <w:jc w:val="center"/>
              <w:rPr>
                <w:rFonts w:ascii="宋体" w:hAnsi="宋体"/>
              </w:rPr>
            </w:pPr>
          </w:p>
        </w:tc>
        <w:tc>
          <w:tcPr>
            <w:tcW w:w="889" w:type="dxa"/>
            <w:vMerge w:val="continue"/>
            <w:tcBorders>
              <w:tl2br w:val="nil"/>
              <w:tr2bl w:val="nil"/>
            </w:tcBorders>
            <w:vAlign w:val="center"/>
          </w:tcPr>
          <w:p>
            <w:pPr>
              <w:spacing w:before="72" w:beforeLines="30" w:line="280" w:lineRule="exact"/>
              <w:rPr>
                <w:rFonts w:ascii="宋体" w:hAnsi="宋体"/>
              </w:rPr>
            </w:pPr>
          </w:p>
        </w:tc>
        <w:tc>
          <w:tcPr>
            <w:tcW w:w="1953" w:type="dxa"/>
            <w:tcBorders>
              <w:tl2br w:val="nil"/>
              <w:tr2bl w:val="nil"/>
            </w:tcBorders>
            <w:vAlign w:val="center"/>
          </w:tcPr>
          <w:p>
            <w:pPr>
              <w:spacing w:before="72" w:beforeLines="30" w:line="280" w:lineRule="exact"/>
              <w:jc w:val="center"/>
              <w:rPr>
                <w:rFonts w:ascii="宋体" w:hAnsi="宋体"/>
              </w:rPr>
            </w:pPr>
            <w:r>
              <w:rPr>
                <w:rFonts w:hint="eastAsia" w:ascii="宋体" w:hAnsi="宋体" w:eastAsia="宋体" w:cs="宋体"/>
                <w:color w:val="000000" w:themeColor="text1"/>
                <w:szCs w:val="21"/>
              </w:rPr>
              <w:t>车用液化石油气</w:t>
            </w:r>
          </w:p>
        </w:tc>
        <w:tc>
          <w:tcPr>
            <w:tcW w:w="3686" w:type="dxa"/>
            <w:tcBorders>
              <w:tl2br w:val="nil"/>
              <w:tr2bl w:val="nil"/>
            </w:tcBorders>
            <w:vAlign w:val="center"/>
          </w:tcPr>
          <w:p>
            <w:pPr>
              <w:spacing w:line="320" w:lineRule="exact"/>
              <w:rPr>
                <w:rFonts w:ascii="宋体" w:hAnsi="宋体" w:eastAsia="宋体" w:cs="宋体"/>
                <w:color w:val="000000" w:themeColor="text1"/>
              </w:rPr>
            </w:pPr>
            <w:r>
              <w:rPr>
                <w:rFonts w:hint="eastAsia" w:ascii="宋体" w:hAnsi="宋体" w:eastAsia="宋体" w:cs="宋体"/>
                <w:color w:val="000000" w:themeColor="text1"/>
                <w:szCs w:val="21"/>
              </w:rPr>
              <w:t>GB 19159-2012车用液化石油气</w:t>
            </w:r>
          </w:p>
        </w:tc>
        <w:tc>
          <w:tcPr>
            <w:tcW w:w="5103" w:type="dxa"/>
            <w:tcBorders>
              <w:tl2br w:val="nil"/>
              <w:tr2bl w:val="nil"/>
            </w:tcBorders>
            <w:vAlign w:val="center"/>
          </w:tcPr>
          <w:p>
            <w:pPr>
              <w:adjustRightInd w:val="0"/>
              <w:spacing w:line="320" w:lineRule="exact"/>
              <w:textAlignment w:val="baseline"/>
              <w:rPr>
                <w:rFonts w:ascii="宋体" w:hAnsi="宋体"/>
              </w:rPr>
            </w:pPr>
            <w:r>
              <w:rPr>
                <w:rFonts w:hint="eastAsia" w:ascii="宋体" w:hAnsi="宋体" w:eastAsia="宋体" w:cs="宋体"/>
                <w:color w:val="000000" w:themeColor="text1"/>
                <w:szCs w:val="21"/>
              </w:rPr>
              <w:t>硫化氢、铜片腐蚀、总硫含量、蒸发残留物、C5及以上组分质量分数、最低蒸气压（表压）为150kPa的温度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continue"/>
            <w:vAlign w:val="center"/>
          </w:tcPr>
          <w:p>
            <w:pPr>
              <w:spacing w:before="72" w:beforeLines="30" w:line="280" w:lineRule="exact"/>
              <w:jc w:val="center"/>
              <w:rPr>
                <w:rFonts w:ascii="宋体" w:hAnsi="宋体"/>
              </w:rPr>
            </w:pPr>
          </w:p>
        </w:tc>
        <w:tc>
          <w:tcPr>
            <w:tcW w:w="889" w:type="dxa"/>
            <w:vMerge w:val="continue"/>
            <w:vAlign w:val="center"/>
          </w:tcPr>
          <w:p>
            <w:pPr>
              <w:adjustRightInd w:val="0"/>
              <w:spacing w:line="320" w:lineRule="exact"/>
              <w:jc w:val="center"/>
              <w:textAlignment w:val="baseline"/>
              <w:rPr>
                <w:rFonts w:ascii="宋体" w:hAnsi="宋体" w:eastAsia="宋体" w:cs="宋体"/>
                <w:b/>
                <w:color w:val="000000" w:themeColor="text1"/>
                <w:szCs w:val="21"/>
              </w:rPr>
            </w:pPr>
          </w:p>
        </w:tc>
        <w:tc>
          <w:tcPr>
            <w:tcW w:w="1953" w:type="dxa"/>
            <w:vAlign w:val="center"/>
          </w:tcPr>
          <w:p>
            <w:pPr>
              <w:adjustRightInd w:val="0"/>
              <w:spacing w:line="320" w:lineRule="exact"/>
              <w:jc w:val="center"/>
              <w:textAlignment w:val="baseline"/>
              <w:rPr>
                <w:rFonts w:ascii="宋体" w:hAnsi="宋体" w:eastAsia="宋体" w:cs="宋体"/>
                <w:color w:val="000000" w:themeColor="text1"/>
                <w:szCs w:val="21"/>
              </w:rPr>
            </w:pPr>
            <w:r>
              <w:rPr>
                <w:rFonts w:hint="eastAsia" w:ascii="宋体" w:hAnsi="宋体" w:eastAsia="宋体" w:cs="宋体"/>
                <w:color w:val="000000" w:themeColor="text1"/>
                <w:szCs w:val="21"/>
              </w:rPr>
              <w:t>工业丙烷</w:t>
            </w:r>
          </w:p>
        </w:tc>
        <w:tc>
          <w:tcPr>
            <w:tcW w:w="3686" w:type="dxa"/>
            <w:vMerge w:val="restart"/>
            <w:vAlign w:val="center"/>
          </w:tcPr>
          <w:p>
            <w:pPr>
              <w:spacing w:line="320" w:lineRule="exact"/>
              <w:jc w:val="center"/>
              <w:rPr>
                <w:rFonts w:ascii="宋体" w:hAnsi="宋体"/>
              </w:rPr>
            </w:pPr>
            <w:r>
              <w:rPr>
                <w:rFonts w:hint="eastAsia" w:ascii="宋体" w:hAnsi="宋体" w:eastAsia="宋体" w:cs="宋体"/>
                <w:color w:val="000000" w:themeColor="text1"/>
                <w:szCs w:val="21"/>
              </w:rPr>
              <w:t>SH/T0553-1993（2005）工业丙烷、丁烷</w:t>
            </w:r>
          </w:p>
        </w:tc>
        <w:tc>
          <w:tcPr>
            <w:tcW w:w="5103" w:type="dxa"/>
            <w:vMerge w:val="restart"/>
            <w:vAlign w:val="center"/>
          </w:tcPr>
          <w:p>
            <w:pPr>
              <w:adjustRightInd w:val="0"/>
              <w:spacing w:line="320" w:lineRule="exact"/>
              <w:textAlignment w:val="baseline"/>
              <w:rPr>
                <w:rFonts w:ascii="宋体" w:hAnsi="宋体"/>
              </w:rPr>
            </w:pPr>
            <w:r>
              <w:rPr>
                <w:rFonts w:hint="eastAsia" w:ascii="宋体" w:hAnsi="宋体" w:eastAsia="宋体" w:cs="宋体"/>
                <w:color w:val="000000" w:themeColor="text1"/>
                <w:szCs w:val="21"/>
              </w:rPr>
              <w:t>组分、蒸气压、铜片腐蚀、总硫含量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continue"/>
            <w:vAlign w:val="center"/>
          </w:tcPr>
          <w:p>
            <w:pPr>
              <w:spacing w:before="72" w:beforeLines="30" w:line="280" w:lineRule="exact"/>
              <w:jc w:val="center"/>
              <w:rPr>
                <w:rFonts w:ascii="宋体" w:hAnsi="宋体"/>
              </w:rPr>
            </w:pPr>
          </w:p>
        </w:tc>
        <w:tc>
          <w:tcPr>
            <w:tcW w:w="889" w:type="dxa"/>
            <w:vMerge w:val="continue"/>
            <w:vAlign w:val="center"/>
          </w:tcPr>
          <w:p>
            <w:pPr>
              <w:spacing w:before="72" w:beforeLines="30" w:line="280" w:lineRule="exact"/>
              <w:rPr>
                <w:rFonts w:ascii="宋体" w:hAnsi="宋体"/>
              </w:rPr>
            </w:pPr>
          </w:p>
        </w:tc>
        <w:tc>
          <w:tcPr>
            <w:tcW w:w="1953" w:type="dxa"/>
            <w:vAlign w:val="center"/>
          </w:tcPr>
          <w:p>
            <w:pPr>
              <w:spacing w:before="72" w:beforeLines="30" w:line="280" w:lineRule="exact"/>
              <w:jc w:val="center"/>
              <w:rPr>
                <w:rFonts w:ascii="宋体" w:hAnsi="宋体"/>
              </w:rPr>
            </w:pPr>
            <w:r>
              <w:rPr>
                <w:rFonts w:hint="eastAsia" w:ascii="宋体" w:hAnsi="宋体" w:eastAsia="宋体" w:cs="宋体"/>
                <w:color w:val="000000" w:themeColor="text1"/>
                <w:szCs w:val="21"/>
              </w:rPr>
              <w:t>工业丁烷</w:t>
            </w:r>
          </w:p>
        </w:tc>
        <w:tc>
          <w:tcPr>
            <w:tcW w:w="3686" w:type="dxa"/>
            <w:vMerge w:val="continue"/>
            <w:vAlign w:val="center"/>
          </w:tcPr>
          <w:p>
            <w:pPr>
              <w:spacing w:before="72" w:beforeLines="30" w:line="280" w:lineRule="exact"/>
              <w:rPr>
                <w:rFonts w:ascii="宋体" w:hAnsi="宋体"/>
              </w:rPr>
            </w:pPr>
          </w:p>
        </w:tc>
        <w:tc>
          <w:tcPr>
            <w:tcW w:w="5103" w:type="dxa"/>
            <w:vMerge w:val="continue"/>
            <w:vAlign w:val="center"/>
          </w:tcPr>
          <w:p>
            <w:pPr>
              <w:spacing w:before="72" w:beforeLines="30" w:line="280" w:lineRule="exact"/>
              <w:rPr>
                <w:rFonts w:ascii="宋体" w:hAnsi="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Align w:val="center"/>
          </w:tcPr>
          <w:p>
            <w:pPr>
              <w:spacing w:before="72" w:beforeLines="30" w:line="280" w:lineRule="exact"/>
              <w:jc w:val="center"/>
              <w:rPr>
                <w:rFonts w:ascii="宋体" w:hAnsi="宋体"/>
              </w:rPr>
            </w:pPr>
            <w:r>
              <w:rPr>
                <w:rFonts w:hint="eastAsia" w:ascii="宋体" w:hAnsi="宋体"/>
              </w:rPr>
              <w:t>2</w:t>
            </w:r>
          </w:p>
        </w:tc>
        <w:tc>
          <w:tcPr>
            <w:tcW w:w="889" w:type="dxa"/>
            <w:vAlign w:val="center"/>
          </w:tcPr>
          <w:p>
            <w:pPr>
              <w:adjustRightInd w:val="0"/>
              <w:spacing w:line="320" w:lineRule="exact"/>
              <w:jc w:val="center"/>
              <w:textAlignment w:val="baseline"/>
              <w:rPr>
                <w:rFonts w:ascii="宋体" w:hAnsi="宋体" w:eastAsia="宋体" w:cs="宋体"/>
                <w:b/>
                <w:color w:val="000000" w:themeColor="text1"/>
                <w:szCs w:val="21"/>
              </w:rPr>
            </w:pPr>
            <w:r>
              <w:rPr>
                <w:rFonts w:hint="eastAsia" w:ascii="宋体" w:hAnsi="宋体" w:eastAsia="宋体" w:cs="宋体"/>
                <w:color w:val="000000" w:themeColor="text1"/>
                <w:szCs w:val="21"/>
              </w:rPr>
              <w:t>汽油</w:t>
            </w:r>
          </w:p>
        </w:tc>
        <w:tc>
          <w:tcPr>
            <w:tcW w:w="1953" w:type="dxa"/>
            <w:vAlign w:val="center"/>
          </w:tcPr>
          <w:p>
            <w:pPr>
              <w:adjustRightInd w:val="0"/>
              <w:spacing w:line="320" w:lineRule="exact"/>
              <w:jc w:val="center"/>
              <w:textAlignment w:val="baseline"/>
              <w:rPr>
                <w:rFonts w:ascii="宋体" w:hAnsi="宋体" w:eastAsia="宋体" w:cs="宋体"/>
                <w:color w:val="000000" w:themeColor="text1"/>
                <w:szCs w:val="21"/>
              </w:rPr>
            </w:pPr>
            <w:r>
              <w:rPr>
                <w:rFonts w:hint="eastAsia" w:ascii="宋体" w:hAnsi="宋体" w:eastAsia="宋体" w:cs="宋体"/>
                <w:color w:val="000000" w:themeColor="text1"/>
                <w:szCs w:val="21"/>
              </w:rPr>
              <w:t>车用汽油</w:t>
            </w:r>
          </w:p>
        </w:tc>
        <w:tc>
          <w:tcPr>
            <w:tcW w:w="3686" w:type="dxa"/>
            <w:vAlign w:val="center"/>
          </w:tcPr>
          <w:p>
            <w:pPr>
              <w:spacing w:before="72" w:beforeLines="30" w:line="280" w:lineRule="exact"/>
              <w:rPr>
                <w:rFonts w:ascii="宋体" w:hAnsi="宋体"/>
              </w:rPr>
            </w:pPr>
            <w:r>
              <w:rPr>
                <w:rFonts w:hint="eastAsia" w:ascii="宋体" w:hAnsi="宋体" w:eastAsia="宋体" w:cs="宋体"/>
                <w:color w:val="000000" w:themeColor="text1"/>
                <w:szCs w:val="21"/>
              </w:rPr>
              <w:t>GB 17930-2016车用汽油</w:t>
            </w:r>
          </w:p>
        </w:tc>
        <w:tc>
          <w:tcPr>
            <w:tcW w:w="5103" w:type="dxa"/>
            <w:vAlign w:val="center"/>
          </w:tcPr>
          <w:p>
            <w:pPr>
              <w:adjustRightInd w:val="0"/>
              <w:spacing w:line="320" w:lineRule="exact"/>
              <w:textAlignment w:val="baseline"/>
              <w:rPr>
                <w:rFonts w:ascii="宋体" w:hAnsi="宋体"/>
              </w:rPr>
            </w:pPr>
            <w:r>
              <w:rPr>
                <w:rFonts w:hint="eastAsia" w:ascii="宋体" w:hAnsi="宋体" w:eastAsia="宋体" w:cs="宋体"/>
                <w:color w:val="000000" w:themeColor="text1"/>
                <w:szCs w:val="21"/>
              </w:rPr>
              <w:t>研究法辛烷值（RON）、抗爆指数（RON+MON）/2、铅含量、馏程、蒸气压、胶质、诱导期、硫含量、博士试验、铜片腐蚀、水溶性酸或碱、苯含量、芳烃含量、烯烃含量、氧含量、锰含量、铁含量、密度（20℃）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2399" w:hRule="atLeast"/>
          <w:jc w:val="center"/>
        </w:trPr>
        <w:tc>
          <w:tcPr>
            <w:tcW w:w="697" w:type="dxa"/>
            <w:vAlign w:val="center"/>
          </w:tcPr>
          <w:p>
            <w:pPr>
              <w:spacing w:before="72" w:beforeLines="30" w:line="280" w:lineRule="exact"/>
              <w:jc w:val="center"/>
              <w:rPr>
                <w:rFonts w:ascii="宋体" w:hAnsi="宋体"/>
              </w:rPr>
            </w:pPr>
            <w:r>
              <w:rPr>
                <w:rFonts w:hint="eastAsia" w:ascii="宋体" w:hAnsi="宋体"/>
              </w:rPr>
              <w:t xml:space="preserve">备 </w:t>
            </w:r>
          </w:p>
          <w:p>
            <w:pPr>
              <w:pStyle w:val="2"/>
              <w:rPr>
                <w:rFonts w:ascii="宋体" w:hAnsi="宋体"/>
              </w:rPr>
            </w:pPr>
          </w:p>
          <w:p>
            <w:pPr>
              <w:pStyle w:val="2"/>
              <w:rPr>
                <w:rFonts w:ascii="宋体" w:hAnsi="宋体"/>
              </w:rPr>
            </w:pPr>
          </w:p>
          <w:p>
            <w:pPr>
              <w:spacing w:before="72" w:beforeLines="30" w:line="280" w:lineRule="exact"/>
              <w:jc w:val="center"/>
              <w:rPr>
                <w:rFonts w:ascii="宋体" w:hAnsi="宋体"/>
              </w:rPr>
            </w:pPr>
            <w:r>
              <w:rPr>
                <w:rFonts w:hint="eastAsia" w:ascii="宋体" w:hAnsi="宋体"/>
              </w:rPr>
              <w:t>注</w:t>
            </w:r>
          </w:p>
        </w:tc>
        <w:tc>
          <w:tcPr>
            <w:tcW w:w="11631" w:type="dxa"/>
            <w:gridSpan w:val="4"/>
            <w:vAlign w:val="center"/>
          </w:tcPr>
          <w:p>
            <w:pPr>
              <w:pStyle w:val="12"/>
              <w:tabs>
                <w:tab w:val="left" w:pos="1276"/>
              </w:tabs>
              <w:adjustRightInd w:val="0"/>
              <w:snapToGrid w:val="0"/>
              <w:spacing w:line="360" w:lineRule="auto"/>
              <w:ind w:firstLine="0" w:firstLineChars="0"/>
              <w:rPr>
                <w:rFonts w:ascii="宋体" w:hAnsi="宋体"/>
                <w:bCs/>
                <w:color w:val="000000" w:themeColor="text1"/>
              </w:rPr>
            </w:pPr>
            <w:r>
              <w:rPr>
                <w:rFonts w:hint="eastAsia" w:ascii="宋体" w:hAnsi="宋体"/>
                <w:kern w:val="0"/>
                <w:szCs w:val="24"/>
              </w:rPr>
              <w:t>1.企业在申请取证时应按照产品品种提交检验报告，</w:t>
            </w:r>
            <w:r>
              <w:rPr>
                <w:rFonts w:hint="eastAsia" w:ascii="宋体" w:hAnsi="宋体"/>
                <w:bCs/>
                <w:color w:val="000000" w:themeColor="text1"/>
              </w:rPr>
              <w:t>其中，提交型式试验报告或委托产品检验报告的，检验项目应当覆盖本表规定的产品检验项目。</w:t>
            </w:r>
          </w:p>
          <w:p>
            <w:pPr>
              <w:pStyle w:val="12"/>
              <w:tabs>
                <w:tab w:val="left" w:pos="1276"/>
              </w:tabs>
              <w:adjustRightInd w:val="0"/>
              <w:snapToGrid w:val="0"/>
              <w:spacing w:line="360" w:lineRule="auto"/>
              <w:ind w:firstLine="0" w:firstLineChars="0"/>
              <w:rPr>
                <w:rFonts w:ascii="宋体" w:hAnsi="宋体" w:cs="宋体"/>
                <w:color w:val="000000" w:themeColor="text1"/>
              </w:rPr>
            </w:pPr>
            <w:r>
              <w:rPr>
                <w:rFonts w:hint="eastAsia" w:ascii="宋体" w:hAnsi="宋体"/>
                <w:bCs/>
                <w:color w:val="000000" w:themeColor="text1"/>
              </w:rPr>
              <w:t>2.</w:t>
            </w:r>
            <w:r>
              <w:rPr>
                <w:rFonts w:hint="eastAsia" w:ascii="宋体" w:hAnsi="宋体"/>
                <w:color w:val="000000" w:themeColor="text1"/>
                <w:kern w:val="0"/>
                <w:szCs w:val="24"/>
              </w:rPr>
              <w:t>产品检验报告</w:t>
            </w:r>
            <w:r>
              <w:rPr>
                <w:rFonts w:hint="eastAsia" w:ascii="宋体" w:hAnsi="宋体" w:cs="宋体"/>
                <w:color w:val="000000" w:themeColor="text1"/>
              </w:rPr>
              <w:t>覆盖或替代原则：</w:t>
            </w:r>
          </w:p>
          <w:p>
            <w:pPr>
              <w:pStyle w:val="17"/>
              <w:tabs>
                <w:tab w:val="left" w:pos="1418"/>
              </w:tabs>
              <w:spacing w:line="360" w:lineRule="auto"/>
              <w:ind w:firstLine="0" w:firstLineChars="0"/>
              <w:rPr>
                <w:rFonts w:ascii="宋体" w:hAnsi="宋体" w:eastAsia="宋体" w:cs="宋体"/>
                <w:color w:val="000000" w:themeColor="text1"/>
                <w:kern w:val="0"/>
              </w:rPr>
            </w:pPr>
            <w:r>
              <w:rPr>
                <w:rFonts w:hint="eastAsia" w:ascii="宋体" w:hAnsi="宋体" w:eastAsia="宋体" w:cs="宋体"/>
                <w:color w:val="000000" w:themeColor="text1"/>
              </w:rPr>
              <w:t>（1）车用液化石油气可以覆盖</w:t>
            </w:r>
            <w:r>
              <w:rPr>
                <w:rFonts w:hint="eastAsia" w:ascii="宋体" w:hAnsi="宋体" w:eastAsia="宋体" w:cs="宋体"/>
                <w:color w:val="000000" w:themeColor="text1"/>
                <w:kern w:val="0"/>
              </w:rPr>
              <w:t>商品丙丁烷混合物；</w:t>
            </w:r>
          </w:p>
          <w:p>
            <w:pPr>
              <w:pStyle w:val="17"/>
              <w:tabs>
                <w:tab w:val="left" w:pos="1418"/>
              </w:tabs>
              <w:spacing w:line="360" w:lineRule="auto"/>
              <w:ind w:firstLine="0" w:firstLineChars="0"/>
              <w:rPr>
                <w:rFonts w:ascii="宋体" w:hAnsi="宋体" w:eastAsia="宋体" w:cs="宋体"/>
                <w:color w:val="000000" w:themeColor="text1"/>
                <w:kern w:val="0"/>
              </w:rPr>
            </w:pPr>
            <w:r>
              <w:rPr>
                <w:rFonts w:hint="eastAsia" w:ascii="宋体" w:hAnsi="宋体" w:eastAsia="宋体" w:cs="宋体"/>
                <w:color w:val="000000" w:themeColor="text1"/>
                <w:kern w:val="0"/>
              </w:rPr>
              <w:t>（2）工业丙烷和工业丁烷可以互相替代；</w:t>
            </w:r>
          </w:p>
          <w:p>
            <w:pPr>
              <w:pStyle w:val="17"/>
              <w:tabs>
                <w:tab w:val="left" w:pos="1418"/>
              </w:tabs>
              <w:spacing w:line="360" w:lineRule="auto"/>
              <w:ind w:firstLine="0" w:firstLineChars="0"/>
              <w:rPr>
                <w:rFonts w:ascii="宋体" w:hAnsi="宋体" w:eastAsia="宋体"/>
                <w:color w:val="000000" w:themeColor="text1"/>
                <w:kern w:val="0"/>
                <w:szCs w:val="24"/>
              </w:rPr>
            </w:pPr>
            <w:r>
              <w:rPr>
                <w:rFonts w:hint="eastAsia" w:ascii="宋体" w:hAnsi="宋体" w:eastAsia="宋体" w:cs="宋体"/>
                <w:color w:val="000000" w:themeColor="text1"/>
                <w:kern w:val="0"/>
              </w:rPr>
              <w:t>（3）其它产品品种分别</w:t>
            </w:r>
            <w:r>
              <w:rPr>
                <w:rFonts w:hint="eastAsia" w:ascii="宋体" w:hAnsi="宋体" w:eastAsia="宋体"/>
                <w:color w:val="000000" w:themeColor="text1"/>
                <w:kern w:val="0"/>
                <w:szCs w:val="24"/>
              </w:rPr>
              <w:t>提交产品检验报告。</w:t>
            </w:r>
          </w:p>
          <w:p>
            <w:pPr>
              <w:spacing w:line="360" w:lineRule="auto"/>
              <w:rPr>
                <w:rFonts w:ascii="宋体" w:hAnsi="宋体" w:eastAsia="宋体" w:cs="宋体"/>
                <w:color w:val="000000" w:themeColor="text1"/>
                <w:szCs w:val="21"/>
              </w:rPr>
            </w:pPr>
            <w:r>
              <w:rPr>
                <w:rFonts w:hint="eastAsia" w:ascii="宋体" w:hAnsi="宋体" w:eastAsia="宋体" w:cs="Calibri"/>
                <w:color w:val="000000" w:themeColor="text1"/>
                <w:kern w:val="0"/>
                <w:szCs w:val="24"/>
              </w:rPr>
              <w:t>3.</w:t>
            </w:r>
            <w:r>
              <w:rPr>
                <w:rFonts w:hint="eastAsia" w:ascii="宋体" w:hAnsi="宋体"/>
                <w:color w:val="000000" w:themeColor="text1"/>
              </w:rPr>
              <w:t>企业获证后同产品单元增产品品种时应提交</w:t>
            </w:r>
            <w:r>
              <w:rPr>
                <w:rFonts w:hint="eastAsia" w:ascii="宋体" w:hAnsi="宋体"/>
                <w:bCs/>
                <w:color w:val="000000" w:themeColor="text1"/>
              </w:rPr>
              <w:t>与所申请产品品种名称一致的检验报告。</w:t>
            </w:r>
          </w:p>
        </w:tc>
      </w:tr>
      <w:bookmarkEnd w:id="2"/>
    </w:tbl>
    <w:p>
      <w:pPr>
        <w:pStyle w:val="3"/>
        <w:rPr>
          <w:color w:val="000000" w:themeColor="text1"/>
        </w:rPr>
      </w:pPr>
    </w:p>
    <w:sectPr>
      <w:pgSz w:w="16838" w:h="11906" w:orient="landscape"/>
      <w:pgMar w:top="1418" w:right="1418" w:bottom="1418" w:left="1418"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1"/>
      </w:rPr>
    </w:pPr>
    <w:r>
      <w:rPr>
        <w:sz w:val="21"/>
      </w:rPr>
      <w:pict>
        <v:shape id="_x0000_s2049" o:spid="_x0000_s2049" o:spt="202" type="#_x0000_t202" style="position:absolute;left:0pt;margin-top:0pt;height:12.8pt;width:10.65pt;mso-position-horizontal:center;mso-position-horizontal-relative:margin;mso-wrap-style:none;z-index:251691008;mso-width-relative:page;mso-height-relative:page;" filled="f" stroked="f" coordsize="21600,21600" o:gfxdata="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0cwdEA&#10;AAADAQAADwAAAAAAAAABACAAAAAiAAAAZHJzL2Rvd25yZXYueG1sUEsBAhQAFAAAAAgAh07iQBOY&#10;QBq0AQAASQMAAA4AAAAAAAAAAQAgAAAAIAEAAGRycy9lMm9Eb2MueG1sUEsFBgAAAAAGAAYAWQEA&#10;AEYFAAAAAA==&#10;">
          <v:path/>
          <v:fill on="f" focussize="0,0"/>
          <v:stroke on="f" joinstyle="miter"/>
          <v:imagedata o:title=""/>
          <o:lock v:ext="edit"/>
          <v:textbox inset="0mm,0mm,0mm,0mm" style="mso-fit-shape-to-text:t;">
            <w:txbxContent>
              <w:p>
                <w:pPr>
                  <w:pStyle w:val="4"/>
                  <w:jc w:val="center"/>
                </w:pPr>
                <w:r>
                  <w:rPr>
                    <w:sz w:val="21"/>
                  </w:rPr>
                  <w:fldChar w:fldCharType="begin"/>
                </w:r>
                <w:r>
                  <w:rPr>
                    <w:rStyle w:val="9"/>
                    <w:sz w:val="21"/>
                  </w:rPr>
                  <w:instrText xml:space="preserve"> PAGE </w:instrText>
                </w:r>
                <w:r>
                  <w:rPr>
                    <w:sz w:val="21"/>
                  </w:rPr>
                  <w:fldChar w:fldCharType="separate"/>
                </w:r>
                <w:r>
                  <w:rPr>
                    <w:rStyle w:val="9"/>
                    <w:sz w:val="21"/>
                  </w:rPr>
                  <w:t>4</w:t>
                </w:r>
                <w:r>
                  <w:rPr>
                    <w:sz w:val="21"/>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B083884"/>
    <w:rsid w:val="00071E2B"/>
    <w:rsid w:val="00094250"/>
    <w:rsid w:val="000A74B3"/>
    <w:rsid w:val="000E73C3"/>
    <w:rsid w:val="00100797"/>
    <w:rsid w:val="00130509"/>
    <w:rsid w:val="0018034F"/>
    <w:rsid w:val="00192781"/>
    <w:rsid w:val="001E145B"/>
    <w:rsid w:val="00220782"/>
    <w:rsid w:val="00246204"/>
    <w:rsid w:val="00281EFC"/>
    <w:rsid w:val="00283FD6"/>
    <w:rsid w:val="00296826"/>
    <w:rsid w:val="002B754B"/>
    <w:rsid w:val="003125B1"/>
    <w:rsid w:val="003A724B"/>
    <w:rsid w:val="003C5A30"/>
    <w:rsid w:val="003C7865"/>
    <w:rsid w:val="003D5032"/>
    <w:rsid w:val="00423A23"/>
    <w:rsid w:val="00425CE7"/>
    <w:rsid w:val="00437F83"/>
    <w:rsid w:val="004505E5"/>
    <w:rsid w:val="00473D17"/>
    <w:rsid w:val="00492A11"/>
    <w:rsid w:val="00550517"/>
    <w:rsid w:val="00563E62"/>
    <w:rsid w:val="00592BE5"/>
    <w:rsid w:val="005D6563"/>
    <w:rsid w:val="005F7E1F"/>
    <w:rsid w:val="00637ACE"/>
    <w:rsid w:val="006558D0"/>
    <w:rsid w:val="00655D73"/>
    <w:rsid w:val="00664387"/>
    <w:rsid w:val="006B418D"/>
    <w:rsid w:val="006C75BB"/>
    <w:rsid w:val="006D0847"/>
    <w:rsid w:val="006E6D7F"/>
    <w:rsid w:val="006F2B02"/>
    <w:rsid w:val="0072729B"/>
    <w:rsid w:val="00757D95"/>
    <w:rsid w:val="00796E6C"/>
    <w:rsid w:val="007A0357"/>
    <w:rsid w:val="007C6DC4"/>
    <w:rsid w:val="00813B7E"/>
    <w:rsid w:val="00830EFF"/>
    <w:rsid w:val="008347F5"/>
    <w:rsid w:val="00841308"/>
    <w:rsid w:val="00863F8F"/>
    <w:rsid w:val="008A225B"/>
    <w:rsid w:val="008A2E4C"/>
    <w:rsid w:val="008D53F7"/>
    <w:rsid w:val="008D57CC"/>
    <w:rsid w:val="00926FDD"/>
    <w:rsid w:val="00932F7E"/>
    <w:rsid w:val="00945A3E"/>
    <w:rsid w:val="009508E3"/>
    <w:rsid w:val="009F7E73"/>
    <w:rsid w:val="00A2321D"/>
    <w:rsid w:val="00A54DB2"/>
    <w:rsid w:val="00AD318F"/>
    <w:rsid w:val="00AD713F"/>
    <w:rsid w:val="00AE3D7B"/>
    <w:rsid w:val="00B424F3"/>
    <w:rsid w:val="00B4280F"/>
    <w:rsid w:val="00B60682"/>
    <w:rsid w:val="00B82D6E"/>
    <w:rsid w:val="00B84CA5"/>
    <w:rsid w:val="00BC3467"/>
    <w:rsid w:val="00BE042A"/>
    <w:rsid w:val="00CB0A42"/>
    <w:rsid w:val="00CB1F03"/>
    <w:rsid w:val="00CD58AB"/>
    <w:rsid w:val="00D0595D"/>
    <w:rsid w:val="00D213D3"/>
    <w:rsid w:val="00D254B8"/>
    <w:rsid w:val="00D25D9E"/>
    <w:rsid w:val="00D305EB"/>
    <w:rsid w:val="00D72F64"/>
    <w:rsid w:val="00D877B1"/>
    <w:rsid w:val="00EA155F"/>
    <w:rsid w:val="00EB5DC1"/>
    <w:rsid w:val="00F03230"/>
    <w:rsid w:val="00F1712A"/>
    <w:rsid w:val="00F567CC"/>
    <w:rsid w:val="00F61AC7"/>
    <w:rsid w:val="00F66BD0"/>
    <w:rsid w:val="00F67E46"/>
    <w:rsid w:val="00F83A65"/>
    <w:rsid w:val="00F84481"/>
    <w:rsid w:val="00FF6DDF"/>
    <w:rsid w:val="034B516A"/>
    <w:rsid w:val="043F3A36"/>
    <w:rsid w:val="07CA6188"/>
    <w:rsid w:val="08B47B0F"/>
    <w:rsid w:val="09826059"/>
    <w:rsid w:val="09B55EDC"/>
    <w:rsid w:val="0D8506D1"/>
    <w:rsid w:val="0EEC71E4"/>
    <w:rsid w:val="115E6532"/>
    <w:rsid w:val="12F93E8E"/>
    <w:rsid w:val="143B47CE"/>
    <w:rsid w:val="14E66D69"/>
    <w:rsid w:val="14F861D2"/>
    <w:rsid w:val="15ED7BBC"/>
    <w:rsid w:val="167C5299"/>
    <w:rsid w:val="18DA7F86"/>
    <w:rsid w:val="19BF6050"/>
    <w:rsid w:val="19FF09CD"/>
    <w:rsid w:val="1CEC472E"/>
    <w:rsid w:val="1D2865CE"/>
    <w:rsid w:val="1DE55E74"/>
    <w:rsid w:val="1F9E3F13"/>
    <w:rsid w:val="21E75AE0"/>
    <w:rsid w:val="23EB24C8"/>
    <w:rsid w:val="26243407"/>
    <w:rsid w:val="27430C48"/>
    <w:rsid w:val="284133A6"/>
    <w:rsid w:val="2A7D521B"/>
    <w:rsid w:val="2B785D7C"/>
    <w:rsid w:val="2D466A08"/>
    <w:rsid w:val="2E0C0415"/>
    <w:rsid w:val="2E502E8D"/>
    <w:rsid w:val="2F1F1DA3"/>
    <w:rsid w:val="2F4710DE"/>
    <w:rsid w:val="314247CD"/>
    <w:rsid w:val="32150039"/>
    <w:rsid w:val="349F372B"/>
    <w:rsid w:val="36C6133D"/>
    <w:rsid w:val="387E157E"/>
    <w:rsid w:val="38BF4B42"/>
    <w:rsid w:val="3A940B8C"/>
    <w:rsid w:val="3B083884"/>
    <w:rsid w:val="3B364B8C"/>
    <w:rsid w:val="3D01383A"/>
    <w:rsid w:val="3E042B39"/>
    <w:rsid w:val="3E3C3569"/>
    <w:rsid w:val="3F24662A"/>
    <w:rsid w:val="3F972ED9"/>
    <w:rsid w:val="44E75F6C"/>
    <w:rsid w:val="456E3A76"/>
    <w:rsid w:val="473C1281"/>
    <w:rsid w:val="48536338"/>
    <w:rsid w:val="495D1ED7"/>
    <w:rsid w:val="4A0E6815"/>
    <w:rsid w:val="4A1462ED"/>
    <w:rsid w:val="4C4062E6"/>
    <w:rsid w:val="4C9D0A0E"/>
    <w:rsid w:val="4DA40412"/>
    <w:rsid w:val="4E2A5857"/>
    <w:rsid w:val="4F8B2F9F"/>
    <w:rsid w:val="50106C67"/>
    <w:rsid w:val="50B42BA9"/>
    <w:rsid w:val="54532188"/>
    <w:rsid w:val="59DB0801"/>
    <w:rsid w:val="5A086AC0"/>
    <w:rsid w:val="5A5761D8"/>
    <w:rsid w:val="5AC51411"/>
    <w:rsid w:val="5B790692"/>
    <w:rsid w:val="62E36011"/>
    <w:rsid w:val="6498348F"/>
    <w:rsid w:val="6E0C5DB9"/>
    <w:rsid w:val="6E6C5646"/>
    <w:rsid w:val="6E701245"/>
    <w:rsid w:val="70B42977"/>
    <w:rsid w:val="71553FE7"/>
    <w:rsid w:val="73DA0FA5"/>
    <w:rsid w:val="757225E3"/>
    <w:rsid w:val="75843597"/>
    <w:rsid w:val="77D52AB7"/>
    <w:rsid w:val="79E96F57"/>
    <w:rsid w:val="7A3066AB"/>
    <w:rsid w:val="7DF37195"/>
    <w:rsid w:val="7E2205B2"/>
    <w:rsid w:val="7ECA0771"/>
    <w:rsid w:val="7EE02F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line="440" w:lineRule="exact"/>
      <w:outlineLvl w:val="2"/>
    </w:pPr>
    <w:rPr>
      <w:rFonts w:ascii="Times New Roman" w:hAnsi="Times New Roman" w:eastAsia="宋体" w:cs="Times New Roman"/>
      <w:b/>
      <w:bCs/>
      <w:sz w:val="30"/>
      <w:szCs w:val="32"/>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0"/>
    <w:pPr>
      <w:tabs>
        <w:tab w:val="right" w:leader="dot" w:pos="9060"/>
      </w:tabs>
      <w:spacing w:line="460" w:lineRule="exact"/>
    </w:pPr>
    <w:rPr>
      <w:rFonts w:ascii="Times New Roman" w:hAnsi="Times New Roman" w:eastAsia="宋体" w:cs="Times New Roman"/>
      <w:color w:val="7030A0"/>
      <w:sz w:val="24"/>
      <w:szCs w:val="21"/>
    </w:rPr>
  </w:style>
  <w:style w:type="paragraph" w:styleId="7">
    <w:name w:val="Body Text 2"/>
    <w:basedOn w:val="1"/>
    <w:qFormat/>
    <w:uiPriority w:val="0"/>
    <w:pPr>
      <w:spacing w:after="120" w:line="480" w:lineRule="auto"/>
    </w:pPr>
    <w:rPr>
      <w:rFonts w:ascii="Times New Roman" w:hAnsi="Times New Roman" w:eastAsia="宋体" w:cs="Times New Roman"/>
      <w:szCs w:val="20"/>
    </w:rPr>
  </w:style>
  <w:style w:type="character" w:styleId="9">
    <w:name w:val="page number"/>
    <w:basedOn w:val="8"/>
    <w:qFormat/>
    <w:uiPriority w:val="0"/>
  </w:style>
  <w:style w:type="table" w:styleId="11">
    <w:name w:val="Table Grid"/>
    <w:basedOn w:val="1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出段落4"/>
    <w:basedOn w:val="1"/>
    <w:qFormat/>
    <w:uiPriority w:val="0"/>
    <w:pPr>
      <w:ind w:firstLine="420" w:firstLineChars="200"/>
    </w:pPr>
    <w:rPr>
      <w:rFonts w:ascii="Calibri" w:hAnsi="Calibri" w:eastAsia="宋体" w:cs="Calibri"/>
      <w:szCs w:val="21"/>
    </w:rPr>
  </w:style>
  <w:style w:type="paragraph" w:customStyle="1" w:styleId="13">
    <w:name w:val="纯文本4"/>
    <w:basedOn w:val="1"/>
    <w:qFormat/>
    <w:uiPriority w:val="0"/>
    <w:pPr>
      <w:adjustRightInd w:val="0"/>
      <w:textAlignment w:val="baseline"/>
    </w:pPr>
    <w:rPr>
      <w:rFonts w:ascii="宋体" w:hAnsi="Courier New" w:eastAsia="宋体" w:cs="Times New Roman"/>
      <w:szCs w:val="20"/>
    </w:r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列出段落1"/>
    <w:basedOn w:val="1"/>
    <w:qFormat/>
    <w:uiPriority w:val="0"/>
    <w:pPr>
      <w:ind w:firstLine="420" w:firstLineChars="200"/>
    </w:pPr>
    <w:rPr>
      <w:rFonts w:ascii="Calibri" w:hAnsi="Calibri" w:cs="Calibri"/>
      <w:szCs w:val="21"/>
    </w:rPr>
  </w:style>
  <w:style w:type="paragraph" w:customStyle="1" w:styleId="16">
    <w:name w:val="List Paragraph1"/>
    <w:basedOn w:val="1"/>
    <w:qFormat/>
    <w:uiPriority w:val="0"/>
    <w:pPr>
      <w:ind w:firstLine="420" w:firstLineChars="200"/>
    </w:pPr>
    <w:rPr>
      <w:rFonts w:ascii="Calibri" w:hAnsi="Calibri" w:cs="Calibri"/>
      <w:szCs w:val="21"/>
    </w:rPr>
  </w:style>
  <w:style w:type="paragraph" w:customStyle="1" w:styleId="17">
    <w:name w:val="列出段落2"/>
    <w:basedOn w:val="1"/>
    <w:qFormat/>
    <w:uiPriority w:val="0"/>
    <w:pPr>
      <w:ind w:firstLine="420" w:firstLineChars="200"/>
    </w:pPr>
    <w:rPr>
      <w:rFonts w:ascii="Calibri" w:hAnsi="Calibri" w:cs="Calibri"/>
      <w:szCs w:val="21"/>
    </w:rPr>
  </w:style>
  <w:style w:type="paragraph" w:customStyle="1" w:styleId="18">
    <w:name w:val="列出段落3"/>
    <w:basedOn w:val="1"/>
    <w:qFormat/>
    <w:uiPriority w:val="0"/>
    <w:pPr>
      <w:ind w:firstLine="420" w:firstLineChars="200"/>
    </w:pPr>
    <w:rPr>
      <w:rFonts w:ascii="Calibri" w:hAnsi="Calibri" w:eastAsia="宋体" w:cs="Calibri"/>
      <w:szCs w:val="21"/>
    </w:rPr>
  </w:style>
  <w:style w:type="paragraph" w:customStyle="1" w:styleId="19">
    <w:name w:val="纯文本1"/>
    <w:basedOn w:val="1"/>
    <w:qFormat/>
    <w:uiPriority w:val="0"/>
    <w:pPr>
      <w:adjustRightInd w:val="0"/>
      <w:textAlignment w:val="baseline"/>
    </w:pPr>
    <w:rPr>
      <w:rFonts w:ascii="宋体" w:hAnsi="Courier New"/>
    </w:rPr>
  </w:style>
  <w:style w:type="paragraph" w:styleId="20">
    <w:name w:val="List Paragraph"/>
    <w:basedOn w:val="1"/>
    <w:qFormat/>
    <w:uiPriority w:val="34"/>
    <w:pPr>
      <w:ind w:firstLine="420" w:firstLineChars="200"/>
    </w:pPr>
  </w:style>
  <w:style w:type="character" w:customStyle="1" w:styleId="21">
    <w:name w:val="页眉 字符"/>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83816-F15D-4779-AB89-C28EDA885A0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431</Words>
  <Characters>2463</Characters>
  <Lines>20</Lines>
  <Paragraphs>5</Paragraphs>
  <TotalTime>0</TotalTime>
  <ScaleCrop>false</ScaleCrop>
  <LinksUpToDate>false</LinksUpToDate>
  <CharactersWithSpaces>2889</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2020-02-21T07:44:00Z</dcterms:created>
  <dc:creator>柠檬树</dc:creator>
  <cp:lastModifiedBy>hp</cp:lastModifiedBy>
  <cp:lastPrinted>2020-05-28T08:32:00Z</cp:lastPrinted>
  <dcterms:modified xsi:type="dcterms:W3CDTF">2021-03-30T02:24:58Z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