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hAnsi="宋体"/>
          <w:sz w:val="28"/>
          <w:szCs w:val="24"/>
        </w:rPr>
      </w:pPr>
    </w:p>
    <w:p>
      <w:pPr>
        <w:tabs>
          <w:tab w:val="left" w:pos="720"/>
        </w:tabs>
        <w:autoSpaceDE w:val="0"/>
        <w:autoSpaceDN w:val="0"/>
        <w:adjustRightInd w:val="0"/>
        <w:ind w:left="352" w:right="18" w:hanging="180"/>
        <w:jc w:val="right"/>
        <w:rPr>
          <w:rFonts w:ascii="宋体" w:hAnsi="宋体"/>
          <w:sz w:val="28"/>
          <w:szCs w:val="24"/>
        </w:rPr>
      </w:pPr>
      <w:r>
        <w:rPr>
          <w:rFonts w:hint="eastAsia" w:ascii="宋体" w:hAnsi="宋体"/>
          <w:sz w:val="28"/>
          <w:szCs w:val="24"/>
        </w:rPr>
        <w:t>编号：（X）XK</w:t>
      </w:r>
      <w:r>
        <w:rPr>
          <w:rFonts w:ascii="宋体" w:hAnsi="宋体"/>
          <w:sz w:val="28"/>
          <w:szCs w:val="24"/>
        </w:rPr>
        <w:t>13</w:t>
      </w:r>
      <w:r>
        <w:rPr>
          <w:rFonts w:hint="eastAsia" w:ascii="宋体" w:hAnsi="宋体"/>
          <w:sz w:val="28"/>
          <w:szCs w:val="24"/>
        </w:rPr>
        <w:t>-001</w:t>
      </w: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化肥产品生产许可证实施细则（一）</w:t>
      </w:r>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44"/>
        </w:rPr>
      </w:pPr>
      <w:r>
        <w:rPr>
          <w:rFonts w:hint="eastAsia" w:ascii="方正楷体简体" w:hAnsi="方正楷体简体" w:eastAsia="方正楷体简体" w:cs="方正楷体简体"/>
          <w:kern w:val="0"/>
          <w:sz w:val="36"/>
          <w:szCs w:val="36"/>
        </w:rPr>
        <w:t>（复肥产品部分）</w:t>
      </w:r>
    </w:p>
    <w:p>
      <w:pPr>
        <w:tabs>
          <w:tab w:val="left" w:pos="720"/>
        </w:tabs>
        <w:autoSpaceDE w:val="0"/>
        <w:autoSpaceDN w:val="0"/>
        <w:adjustRightInd w:val="0"/>
        <w:ind w:left="352" w:right="18" w:hanging="180"/>
        <w:jc w:val="center"/>
        <w:rPr>
          <w:rFonts w:ascii="宋体" w:hAnsi="宋体"/>
          <w:b/>
          <w:bCs/>
          <w:kern w:val="0"/>
          <w:sz w:val="44"/>
          <w:szCs w:val="32"/>
        </w:rPr>
      </w:pP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（修订稿）</w:t>
      </w:r>
    </w:p>
    <w:p>
      <w:pPr>
        <w:tabs>
          <w:tab w:val="left" w:pos="720"/>
        </w:tabs>
        <w:autoSpaceDE w:val="0"/>
        <w:autoSpaceDN w:val="0"/>
        <w:adjustRightInd w:val="0"/>
        <w:ind w:left="352" w:right="18" w:hanging="180"/>
        <w:jc w:val="center"/>
        <w:rPr>
          <w:rFonts w:ascii="宋体" w:hAnsi="宋体"/>
          <w:kern w:val="0"/>
          <w:sz w:val="44"/>
          <w:szCs w:val="32"/>
        </w:rPr>
      </w:pPr>
    </w:p>
    <w:p>
      <w:pPr>
        <w:tabs>
          <w:tab w:val="left" w:pos="720"/>
        </w:tabs>
        <w:autoSpaceDE w:val="0"/>
        <w:autoSpaceDN w:val="0"/>
        <w:adjustRightInd w:val="0"/>
        <w:ind w:left="352" w:right="18" w:hanging="180"/>
        <w:jc w:val="center"/>
        <w:rPr>
          <w:rFonts w:ascii="MS+Sans+Serif" w:eastAsia="MS+Sans+Serif"/>
          <w:kern w:val="0"/>
          <w:sz w:val="32"/>
          <w:szCs w:val="32"/>
        </w:rPr>
      </w:pPr>
    </w:p>
    <w:p>
      <w:pPr>
        <w:tabs>
          <w:tab w:val="left" w:pos="720"/>
        </w:tabs>
        <w:autoSpaceDE w:val="0"/>
        <w:autoSpaceDN w:val="0"/>
        <w:adjustRightInd w:val="0"/>
        <w:ind w:left="352" w:right="18" w:hanging="180"/>
        <w:jc w:val="left"/>
        <w:rPr>
          <w:rFonts w:ascii="方正仿宋简体" w:eastAsia="方正仿宋简体"/>
          <w:b/>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spacing w:line="360" w:lineRule="auto"/>
        <w:ind w:firstLine="562" w:firstLineChars="200"/>
        <w:rPr>
          <w:rFonts w:ascii="宋体" w:hAnsi="宋体"/>
          <w:b/>
          <w:kern w:val="0"/>
          <w:sz w:val="32"/>
          <w:szCs w:val="32"/>
        </w:rPr>
      </w:pP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 xml:space="preserve">公布                   </w:t>
      </w: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实施</w:t>
      </w:r>
      <w:r>
        <w:rPr>
          <w:rFonts w:ascii="宋体" w:hAnsi="宋体"/>
          <w:b/>
          <w:kern w:val="0"/>
          <w:sz w:val="32"/>
          <w:szCs w:val="32"/>
        </w:rPr>
        <mc:AlternateContent>
          <mc:Choice Requires="wps">
            <w:drawing>
              <wp:anchor distT="0" distB="0" distL="114300" distR="114300" simplePos="0" relativeHeight="251666432" behindDoc="0" locked="0" layoutInCell="1" allowOverlap="1">
                <wp:simplePos x="0" y="0"/>
                <wp:positionH relativeFrom="column">
                  <wp:posOffset>160655</wp:posOffset>
                </wp:positionH>
                <wp:positionV relativeFrom="paragraph">
                  <wp:posOffset>238125</wp:posOffset>
                </wp:positionV>
                <wp:extent cx="5532120" cy="0"/>
                <wp:effectExtent l="0" t="0" r="0" b="0"/>
                <wp:wrapNone/>
                <wp:docPr id="1" name="直线 14"/>
                <wp:cNvGraphicFramePr/>
                <a:graphic xmlns:a="http://schemas.openxmlformats.org/drawingml/2006/main">
                  <a:graphicData uri="http://schemas.microsoft.com/office/word/2010/wordprocessingShape">
                    <wps:wsp>
                      <wps:cNvCnPr/>
                      <wps:spPr bwMode="auto">
                        <a:xfrm flipV="1">
                          <a:off x="0" y="0"/>
                          <a:ext cx="5532120" cy="0"/>
                        </a:xfrm>
                        <a:prstGeom prst="line">
                          <a:avLst/>
                        </a:prstGeom>
                        <a:noFill/>
                        <a:ln w="19050">
                          <a:solidFill>
                            <a:srgbClr val="000000"/>
                          </a:solidFill>
                          <a:round/>
                        </a:ln>
                      </wps:spPr>
                      <wps:bodyPr/>
                    </wps:wsp>
                  </a:graphicData>
                </a:graphic>
              </wp:anchor>
            </w:drawing>
          </mc:Choice>
          <mc:Fallback>
            <w:pict>
              <v:line id="直线 14" o:spid="_x0000_s1026" o:spt="20" style="position:absolute;left:0pt;flip:y;margin-left:12.65pt;margin-top:18.75pt;height:0pt;width:435.6pt;z-index:251666432;mso-width-relative:page;mso-height-relative:page;" filled="f" stroked="t" coordsize="21600,21600" o:gfxdata="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6+D4F1wAAAAgBAAAP&#10;AAAAAAAAAAEAIAAAACIAAABkcnMvZG93bnJldi54bWxQSwECFAAUAAAACACHTuJAuFcaIqcBAAAt&#10;AwAADgAAAAAAAAABACAAAAAmAQAAZHJzL2Uyb0RvYy54bWxQSwUGAAAAAAYABgBZAQAAPwUAAAAA&#10;">
                <v:fill on="f" focussize="0,0"/>
                <v:stroke weight="1.5pt" color="#000000" joinstyle="round"/>
                <v:imagedata o:title=""/>
                <o:lock v:ext="edit" aspectratio="f"/>
              </v:line>
            </w:pict>
          </mc:Fallback>
        </mc:AlternateContent>
      </w:r>
    </w:p>
    <w:p>
      <w:pPr>
        <w:tabs>
          <w:tab w:val="left" w:pos="8788"/>
        </w:tabs>
        <w:spacing w:line="300" w:lineRule="auto"/>
        <w:ind w:left="1" w:right="-31" w:rightChars="-15"/>
        <w:jc w:val="center"/>
        <w:rPr>
          <w:rFonts w:ascii="宋体" w:hAnsi="宋体"/>
          <w:b/>
          <w:sz w:val="36"/>
          <w:szCs w:val="24"/>
        </w:rPr>
        <w:sectPr>
          <w:footerReference r:id="rId3" w:type="default"/>
          <w:pgSz w:w="11906" w:h="16838"/>
          <w:pgMar w:top="1644" w:right="1418" w:bottom="1417" w:left="1418" w:header="851" w:footer="992" w:gutter="0"/>
          <w:pgNumType w:start="1"/>
          <w:cols w:space="0" w:num="1"/>
          <w:docGrid w:linePitch="312" w:charSpace="0"/>
        </w:sectPr>
      </w:pPr>
      <w:r>
        <w:rPr>
          <w:rFonts w:hint="eastAsia" w:ascii="宋体" w:hAnsi="宋体"/>
          <w:b/>
          <w:sz w:val="36"/>
          <w:szCs w:val="24"/>
        </w:rPr>
        <w:t>国家市场监督管理总局</w:t>
      </w:r>
    </w:p>
    <w:p>
      <w:pPr>
        <w:tabs>
          <w:tab w:val="left" w:pos="720"/>
        </w:tabs>
        <w:autoSpaceDE w:val="0"/>
        <w:autoSpaceDN w:val="0"/>
        <w:adjustRightInd w:val="0"/>
        <w:ind w:left="352" w:right="18" w:hanging="180"/>
        <w:jc w:val="center"/>
        <w:rPr>
          <w:rFonts w:ascii="宋体" w:hAnsi="宋体"/>
          <w:b/>
          <w:kern w:val="0"/>
          <w:sz w:val="44"/>
          <w:szCs w:val="28"/>
        </w:rPr>
      </w:pPr>
      <w:bookmarkStart w:id="0" w:name="_Toc461207068"/>
      <w:bookmarkStart w:id="1" w:name="_Toc461207042"/>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28"/>
        </w:rPr>
      </w:pPr>
      <w:r>
        <w:rPr>
          <w:rFonts w:hint="eastAsia" w:ascii="方正小标宋简体" w:hAnsi="方正小标宋简体" w:eastAsia="方正小标宋简体" w:cs="方正小标宋简体"/>
          <w:bCs/>
          <w:kern w:val="0"/>
          <w:sz w:val="44"/>
          <w:szCs w:val="28"/>
        </w:rPr>
        <w:t>化肥产品生产许可证实施细则（一）</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（复肥产品部分）</w:t>
      </w:r>
    </w:p>
    <w:bookmarkEnd w:id="0"/>
    <w:bookmarkEnd w:id="1"/>
    <w:p>
      <w:pPr>
        <w:pStyle w:val="63"/>
        <w:spacing w:line="360" w:lineRule="auto"/>
        <w:ind w:firstLineChars="0"/>
        <w:rPr>
          <w:rFonts w:ascii="宋体" w:hAnsi="宋体" w:cs="宋体"/>
        </w:rPr>
      </w:pPr>
    </w:p>
    <w:p>
      <w:pPr>
        <w:pStyle w:val="63"/>
        <w:spacing w:line="400" w:lineRule="exact"/>
        <w:ind w:firstLineChars="0"/>
        <w:rPr>
          <w:rFonts w:ascii="宋体" w:hAnsi="宋体" w:cs="宋体"/>
        </w:rPr>
      </w:pPr>
      <w:r>
        <w:rPr>
          <w:rFonts w:hint="eastAsia" w:ascii="宋体" w:hAnsi="宋体" w:cs="宋体"/>
        </w:rPr>
        <w:t>第一条 依据《中华人民共和国工业产品生产许可证管理条例》</w:t>
      </w:r>
      <w:r>
        <w:rPr>
          <w:rFonts w:hint="eastAsia" w:ascii="宋体" w:hAnsi="宋体" w:cs="宋体"/>
          <w:szCs w:val="24"/>
        </w:rPr>
        <w:t>《</w:t>
      </w:r>
      <w:r>
        <w:rPr>
          <w:rFonts w:hint="eastAsia" w:ascii="宋体" w:hAnsi="宋体" w:cs="宋体"/>
        </w:rPr>
        <w:t>中华人民共和国工业产品生产许可证管理条例实施办法》及国务院关于工业产品生产许可证制度的改革要求，制定本细则。</w:t>
      </w:r>
    </w:p>
    <w:p>
      <w:pPr>
        <w:pStyle w:val="63"/>
        <w:spacing w:line="400" w:lineRule="exact"/>
        <w:ind w:firstLineChars="0"/>
        <w:rPr>
          <w:rFonts w:ascii="宋体" w:hAnsi="宋体" w:cs="宋体"/>
          <w:szCs w:val="24"/>
        </w:rPr>
      </w:pPr>
      <w:r>
        <w:rPr>
          <w:rFonts w:hint="eastAsia" w:ascii="宋体" w:hAnsi="宋体" w:cs="宋体"/>
          <w:szCs w:val="24"/>
        </w:rPr>
        <w:t>第二条 本细则适用于省级市场监管部门复肥产品的生产许可核发等工作。</w:t>
      </w:r>
    </w:p>
    <w:p>
      <w:pPr>
        <w:pStyle w:val="63"/>
        <w:spacing w:line="400" w:lineRule="exact"/>
        <w:ind w:firstLineChars="0"/>
        <w:rPr>
          <w:rFonts w:ascii="宋体" w:hAnsi="宋体" w:cs="宋体"/>
        </w:rPr>
      </w:pPr>
      <w:r>
        <w:rPr>
          <w:rFonts w:hint="eastAsia" w:ascii="宋体" w:hAnsi="宋体" w:cs="宋体"/>
        </w:rPr>
        <w:t>第三条 发证产品范围及产品单元。</w:t>
      </w:r>
    </w:p>
    <w:p>
      <w:pPr>
        <w:pStyle w:val="63"/>
        <w:spacing w:line="400" w:lineRule="exact"/>
        <w:ind w:firstLineChars="0"/>
        <w:rPr>
          <w:rFonts w:ascii="宋体" w:hAnsi="宋体" w:cs="宋体"/>
        </w:rPr>
      </w:pPr>
      <w:r>
        <w:rPr>
          <w:rFonts w:hint="eastAsia" w:ascii="宋体" w:hAnsi="宋体" w:cs="宋体"/>
        </w:rPr>
        <w:t>本细则中的复肥产品包括复合肥料、</w:t>
      </w:r>
      <w:r>
        <w:rPr>
          <w:rFonts w:hint="eastAsia" w:ascii="宋体" w:hAnsi="宋体" w:cs="宋体"/>
          <w:color w:val="000000" w:themeColor="text1"/>
          <w14:textFill>
            <w14:solidFill>
              <w14:schemeClr w14:val="tx1"/>
            </w14:solidFill>
          </w14:textFill>
        </w:rPr>
        <w:t>掺混肥料、有机-无机复混肥料</w:t>
      </w:r>
      <w:r>
        <w:rPr>
          <w:rFonts w:ascii="宋体" w:hAnsi="宋体" w:cs="宋体"/>
        </w:rPr>
        <w:t>3</w:t>
      </w:r>
      <w:r>
        <w:rPr>
          <w:rFonts w:hint="eastAsia" w:ascii="宋体" w:hAnsi="宋体" w:cs="宋体"/>
        </w:rPr>
        <w:t>个产品单元。</w:t>
      </w:r>
    </w:p>
    <w:p>
      <w:pPr>
        <w:pStyle w:val="63"/>
        <w:spacing w:line="400" w:lineRule="exact"/>
        <w:rPr>
          <w:rFonts w:ascii="宋体" w:hAnsi="宋体" w:cs="宋体"/>
        </w:rPr>
      </w:pPr>
      <w:r>
        <w:rPr>
          <w:rFonts w:hint="eastAsia" w:ascii="宋体" w:hAnsi="宋体" w:cs="宋体"/>
        </w:rPr>
        <w:t>复合肥料是指</w:t>
      </w:r>
      <w:r>
        <w:rPr>
          <w:rFonts w:hint="eastAsia" w:ascii="宋体" w:hAnsi="宋体" w:cs="宋体"/>
          <w:color w:val="000000" w:themeColor="text1"/>
          <w14:textFill>
            <w14:solidFill>
              <w14:schemeClr w14:val="tx1"/>
            </w14:solidFill>
          </w14:textFill>
        </w:rPr>
        <w:t>氮、磷、钾三种养分中，至少有两种养分标明量的由化学方法和（或）物理混合造粒方法制成的肥料。</w:t>
      </w:r>
    </w:p>
    <w:p>
      <w:pPr>
        <w:pStyle w:val="63"/>
        <w:spacing w:line="400" w:lineRule="exact"/>
        <w:rPr>
          <w:rFonts w:ascii="宋体" w:hAnsi="宋体" w:cs="宋体"/>
        </w:rPr>
      </w:pPr>
      <w:r>
        <w:rPr>
          <w:rFonts w:hint="eastAsia" w:ascii="宋体" w:hAnsi="宋体" w:cs="宋体"/>
          <w:color w:val="000000" w:themeColor="text1"/>
          <w14:textFill>
            <w14:solidFill>
              <w14:schemeClr w14:val="tx1"/>
            </w14:solidFill>
          </w14:textFill>
        </w:rPr>
        <w:t>掺混肥料</w:t>
      </w:r>
      <w:r>
        <w:rPr>
          <w:rFonts w:hint="eastAsia" w:ascii="宋体" w:hAnsi="宋体" w:cs="宋体"/>
        </w:rPr>
        <w:t>是指</w:t>
      </w:r>
      <w:r>
        <w:rPr>
          <w:rFonts w:hint="eastAsia" w:ascii="宋体" w:hAnsi="宋体" w:cs="宋体"/>
          <w:color w:val="000000" w:themeColor="text1"/>
          <w14:textFill>
            <w14:solidFill>
              <w14:schemeClr w14:val="tx1"/>
            </w14:solidFill>
          </w14:textFill>
        </w:rPr>
        <w:t>氮、磷、钾三种养分中，至少有两种养分标明量的由干混方法制成的颗粒状肥料</w:t>
      </w:r>
      <w:r>
        <w:rPr>
          <w:rFonts w:hint="eastAsia" w:ascii="宋体" w:hAnsi="宋体" w:cs="宋体"/>
          <w:bCs/>
          <w:color w:val="000000" w:themeColor="text1"/>
          <w14:textFill>
            <w14:solidFill>
              <w14:schemeClr w14:val="tx1"/>
            </w14:solidFill>
          </w14:textFill>
        </w:rPr>
        <w:t>。</w:t>
      </w:r>
    </w:p>
    <w:p>
      <w:pPr>
        <w:pStyle w:val="63"/>
        <w:spacing w:line="400" w:lineRule="exact"/>
        <w:rPr>
          <w:rFonts w:ascii="宋体" w:hAnsi="宋体" w:cs="宋体"/>
          <w:bCs/>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有机-无机复混肥料</w:t>
      </w:r>
      <w:r>
        <w:rPr>
          <w:rFonts w:hint="eastAsia" w:ascii="宋体" w:hAnsi="宋体" w:cs="宋体"/>
        </w:rPr>
        <w:t>是指</w:t>
      </w:r>
      <w:r>
        <w:rPr>
          <w:rFonts w:hint="eastAsia" w:ascii="宋体" w:hAnsi="宋体" w:cs="宋体"/>
          <w:color w:val="000000" w:themeColor="text1"/>
          <w14:textFill>
            <w14:solidFill>
              <w14:schemeClr w14:val="tx1"/>
            </w14:solidFill>
          </w14:textFill>
        </w:rPr>
        <w:t>含有一定量有机质的复混肥料（包括各种专用肥料以及冠以各种名称的以氮、磷、钾为基础养分的三元或二元固体肥料）</w:t>
      </w:r>
      <w:r>
        <w:rPr>
          <w:rFonts w:hint="eastAsia" w:ascii="宋体" w:hAnsi="宋体" w:cs="宋体"/>
          <w:bCs/>
          <w:color w:val="000000" w:themeColor="text1"/>
          <w14:textFill>
            <w14:solidFill>
              <w14:schemeClr w14:val="tx1"/>
            </w14:solidFill>
          </w14:textFill>
        </w:rPr>
        <w:t>。</w:t>
      </w:r>
    </w:p>
    <w:p>
      <w:pPr>
        <w:pStyle w:val="63"/>
        <w:spacing w:line="400" w:lineRule="exact"/>
        <w:rPr>
          <w:rFonts w:ascii="宋体" w:hAnsi="宋体" w:cs="宋体"/>
          <w:bCs/>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按国际标准、国外标准</w:t>
      </w:r>
      <w:r>
        <w:rPr>
          <w:rFonts w:hint="eastAsia" w:ascii="宋体" w:hAnsi="宋体" w:cs="宋体"/>
        </w:rPr>
        <w:t>、地方标准、团体标准和企业标准等生产的上述产品，属于本细则列出的相关国家标准和行业标准范畴或适用范围的，企业应按相应的国家标准或行业标准取证，企业获证后生产的产品应当满足相应国家标准和行业标准要求。</w:t>
      </w:r>
      <w:r>
        <w:rPr>
          <w:color w:val="000000" w:themeColor="text1"/>
          <w14:textFill>
            <w14:solidFill>
              <w14:schemeClr w14:val="tx1"/>
            </w14:solidFill>
          </w14:textFill>
        </w:rPr>
        <w:t>年配肥服务能力在2万吨以下或每小时2.8吨以下的基层小型智能化配肥服务网点，以农民购买的原料肥为基础肥料，按照农民施肥配方进行智能化掺混，掺混后不进入市场流通，不</w:t>
      </w:r>
      <w:r>
        <w:rPr>
          <w:rFonts w:hint="eastAsia"/>
          <w:color w:val="000000" w:themeColor="text1"/>
          <w14:textFill>
            <w14:solidFill>
              <w14:schemeClr w14:val="tx1"/>
            </w14:solidFill>
          </w14:textFill>
        </w:rPr>
        <w:t>纳入发证范围</w:t>
      </w:r>
      <w:r>
        <w:rPr>
          <w:color w:val="000000" w:themeColor="text1"/>
          <w14:textFill>
            <w14:solidFill>
              <w14:schemeClr w14:val="tx1"/>
            </w14:solidFill>
          </w14:textFill>
        </w:rPr>
        <w:t>。</w:t>
      </w:r>
    </w:p>
    <w:p>
      <w:pPr>
        <w:pStyle w:val="63"/>
        <w:spacing w:line="400" w:lineRule="exact"/>
        <w:rPr>
          <w:rFonts w:ascii="宋体" w:hAnsi="宋体" w:cs="宋体"/>
          <w:szCs w:val="24"/>
        </w:rPr>
      </w:pPr>
      <w:r>
        <w:rPr>
          <w:rFonts w:hint="eastAsia" w:ascii="宋体" w:hAnsi="宋体" w:cs="宋体"/>
          <w:szCs w:val="24"/>
        </w:rPr>
        <w:t>第四条 企业应符合的条件</w:t>
      </w:r>
    </w:p>
    <w:p>
      <w:pPr>
        <w:pStyle w:val="63"/>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63"/>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63"/>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w:t>
      </w:r>
      <w:r>
        <w:rPr>
          <w:rFonts w:ascii="宋体" w:hAnsi="宋体" w:cs="宋体"/>
          <w:szCs w:val="24"/>
        </w:rPr>
        <w:t>1</w:t>
      </w:r>
      <w:r>
        <w:rPr>
          <w:rFonts w:hint="eastAsia" w:ascii="宋体" w:hAnsi="宋体" w:cs="宋体"/>
          <w:szCs w:val="24"/>
        </w:rPr>
        <w:t>）。</w:t>
      </w:r>
    </w:p>
    <w:p>
      <w:pPr>
        <w:pStyle w:val="63"/>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63"/>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（五）企业生产产品符合有关国家标准、行业标准以及保障人体健康和人身、财产安全的要求（见附件）。企业申请许可证时应提交1年内（自检验报告签发日期起）符合现行有效标准的产品检验合格报告。</w:t>
      </w:r>
    </w:p>
    <w:p>
      <w:pPr>
        <w:pStyle w:val="63"/>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63"/>
        <w:adjustRightInd w:val="0"/>
        <w:snapToGrid w:val="0"/>
        <w:spacing w:line="400" w:lineRule="exact"/>
        <w:rPr>
          <w:rFonts w:asciiTheme="minorEastAsia" w:hAnsiTheme="minorEastAsia" w:eastAsiaTheme="minorEastAsia"/>
          <w:szCs w:val="24"/>
        </w:rPr>
      </w:pPr>
      <w:r>
        <w:rPr>
          <w:rFonts w:hint="eastAsia" w:ascii="宋体" w:hAnsi="宋体" w:cs="宋体"/>
          <w:szCs w:val="24"/>
        </w:rPr>
        <w:t>法律、行政法规有其他规定的，还应当符合其规</w:t>
      </w:r>
      <w:r>
        <w:rPr>
          <w:rFonts w:hint="eastAsia" w:asciiTheme="minorEastAsia" w:hAnsiTheme="minorEastAsia" w:eastAsia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spacing w:line="360" w:lineRule="auto"/>
        <w:ind w:right="787"/>
        <w:jc w:val="center"/>
        <w:rPr>
          <w:rFonts w:ascii="宋体" w:hAnsi="宋体"/>
          <w:b/>
          <w:szCs w:val="21"/>
        </w:rPr>
      </w:pPr>
    </w:p>
    <w:p>
      <w:pPr>
        <w:spacing w:line="360" w:lineRule="auto"/>
        <w:ind w:right="787"/>
        <w:jc w:val="center"/>
        <w:rPr>
          <w:rFonts w:ascii="宋体" w:hAnsi="宋体"/>
          <w:szCs w:val="21"/>
        </w:rPr>
      </w:pPr>
      <w:r>
        <w:rPr>
          <w:rFonts w:hint="eastAsia" w:ascii="宋体" w:hAnsi="宋体"/>
          <w:b/>
          <w:szCs w:val="21"/>
        </w:rPr>
        <w:t>表</w:t>
      </w:r>
      <w:r>
        <w:rPr>
          <w:rFonts w:ascii="宋体" w:hAnsi="宋体"/>
          <w:b/>
          <w:szCs w:val="21"/>
        </w:rPr>
        <w:t>1</w:t>
      </w:r>
      <w:r>
        <w:rPr>
          <w:rFonts w:hint="eastAsia" w:ascii="宋体" w:hAnsi="宋体"/>
          <w:b/>
          <w:szCs w:val="21"/>
        </w:rPr>
        <w:t xml:space="preserve"> 企业生产</w:t>
      </w:r>
      <w:r>
        <w:rPr>
          <w:rFonts w:hint="eastAsia" w:ascii="宋体" w:hAnsi="宋体"/>
          <w:b/>
        </w:rPr>
        <w:t>复肥产品应具备的</w:t>
      </w:r>
      <w:r>
        <w:rPr>
          <w:rFonts w:hint="eastAsia" w:ascii="宋体" w:hAnsi="宋体"/>
          <w:b/>
          <w:szCs w:val="21"/>
        </w:rPr>
        <w:t>生产设备与检验设备表</w:t>
      </w:r>
    </w:p>
    <w:tbl>
      <w:tblPr>
        <w:tblStyle w:val="26"/>
        <w:tblW w:w="102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134"/>
        <w:gridCol w:w="2092"/>
        <w:gridCol w:w="2835"/>
        <w:gridCol w:w="2551"/>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blHeader/>
          <w:jc w:val="center"/>
        </w:trPr>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序号</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单元名称</w:t>
            </w:r>
          </w:p>
        </w:tc>
        <w:tc>
          <w:tcPr>
            <w:tcW w:w="20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生产设备名称</w:t>
            </w:r>
          </w:p>
        </w:tc>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生产设备要求</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检验设备名称</w:t>
            </w:r>
          </w:p>
        </w:tc>
        <w:tc>
          <w:tcPr>
            <w:tcW w:w="1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cs="宋体"/>
                <w:bCs/>
                <w:color w:val="000000" w:themeColor="text1"/>
                <w:szCs w:val="21"/>
                <w14:textFill>
                  <w14:solidFill>
                    <w14:schemeClr w14:val="tx1"/>
                  </w14:solidFill>
                </w14:textFill>
              </w:rPr>
              <w:t>复合肥料</w:t>
            </w:r>
          </w:p>
        </w:tc>
        <w:tc>
          <w:tcPr>
            <w:tcW w:w="2092"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配料计量设备</w:t>
            </w:r>
          </w:p>
          <w:p>
            <w:pPr>
              <w:snapToGrid w:val="0"/>
              <w:rPr>
                <w:rFonts w:ascii="宋体" w:hAnsi="宋体"/>
                <w:szCs w:val="21"/>
              </w:rPr>
            </w:pPr>
            <w:r>
              <w:rPr>
                <w:rFonts w:hint="eastAsia" w:ascii="宋体" w:hAnsi="宋体"/>
                <w:szCs w:val="21"/>
              </w:rPr>
              <w:t>2、混合设备或化学合成设备</w:t>
            </w:r>
          </w:p>
          <w:p>
            <w:pPr>
              <w:snapToGrid w:val="0"/>
              <w:rPr>
                <w:rFonts w:ascii="宋体" w:hAnsi="宋体"/>
                <w:szCs w:val="21"/>
              </w:rPr>
            </w:pPr>
            <w:r>
              <w:rPr>
                <w:rFonts w:hint="eastAsia" w:ascii="宋体" w:hAnsi="宋体"/>
                <w:szCs w:val="21"/>
              </w:rPr>
              <w:t>3、造粒设备</w:t>
            </w:r>
          </w:p>
          <w:p>
            <w:pPr>
              <w:snapToGrid w:val="0"/>
              <w:rPr>
                <w:rFonts w:ascii="宋体" w:hAnsi="宋体"/>
                <w:szCs w:val="21"/>
              </w:rPr>
            </w:pPr>
            <w:r>
              <w:rPr>
                <w:rFonts w:hint="eastAsia" w:ascii="宋体" w:hAnsi="宋体"/>
                <w:szCs w:val="21"/>
              </w:rPr>
              <w:t>4、干燥及温控设备</w:t>
            </w:r>
          </w:p>
          <w:p>
            <w:pPr>
              <w:snapToGrid w:val="0"/>
              <w:rPr>
                <w:rFonts w:ascii="宋体" w:hAnsi="宋体"/>
                <w:szCs w:val="21"/>
              </w:rPr>
            </w:pPr>
            <w:r>
              <w:rPr>
                <w:rFonts w:hint="eastAsia" w:ascii="宋体" w:hAnsi="宋体"/>
                <w:szCs w:val="21"/>
              </w:rPr>
              <w:t>5、冷却设备</w:t>
            </w:r>
          </w:p>
          <w:p>
            <w:pPr>
              <w:snapToGrid w:val="0"/>
              <w:rPr>
                <w:rFonts w:ascii="宋体" w:hAnsi="宋体"/>
                <w:szCs w:val="21"/>
              </w:rPr>
            </w:pPr>
            <w:r>
              <w:rPr>
                <w:rFonts w:hint="eastAsia" w:ascii="宋体" w:hAnsi="宋体"/>
                <w:szCs w:val="21"/>
              </w:rPr>
              <w:t>6、成品筛分设备</w:t>
            </w:r>
          </w:p>
          <w:p>
            <w:pPr>
              <w:snapToGrid w:val="0"/>
              <w:rPr>
                <w:rFonts w:ascii="宋体" w:hAnsi="宋体"/>
                <w:szCs w:val="21"/>
              </w:rPr>
            </w:pPr>
            <w:r>
              <w:rPr>
                <w:rFonts w:hint="eastAsia" w:ascii="宋体" w:hAnsi="宋体"/>
                <w:szCs w:val="21"/>
              </w:rPr>
              <w:t>7、从配料计量到产品包装形成连续的机械化生产线</w:t>
            </w:r>
          </w:p>
          <w:p>
            <w:pPr>
              <w:snapToGrid w:val="0"/>
              <w:rPr>
                <w:rFonts w:ascii="宋体" w:hAnsi="宋体"/>
                <w:szCs w:val="21"/>
              </w:rPr>
            </w:pPr>
            <w:r>
              <w:rPr>
                <w:rFonts w:ascii="宋体" w:hAnsi="宋体"/>
                <w:szCs w:val="21"/>
              </w:rPr>
              <w:t>8</w:t>
            </w:r>
            <w:r>
              <w:rPr>
                <w:rFonts w:hint="eastAsia" w:ascii="宋体" w:hAnsi="宋体"/>
                <w:szCs w:val="21"/>
              </w:rPr>
              <w:t>、气体除尘净化回收及排风设备</w:t>
            </w:r>
          </w:p>
        </w:tc>
        <w:tc>
          <w:tcPr>
            <w:tcW w:w="2835"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采用圆盘造粒工艺的，圆盘直径≥3米或者配备两个直径≥2.8米的圆盘；采用转鼓造粒工艺的，转鼓造粒机直径≥1.5米。采用挤压造粒工艺的，挤压造粒机产品说明书中规定的产能≥5万吨/年或同一条生产线不同挤压机混合后总和产能≥5万吨/年；采用高塔造粒工艺的，高塔直径≥9米。</w:t>
            </w:r>
          </w:p>
          <w:p>
            <w:pPr>
              <w:snapToGrid w:val="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干燥机至少一台，直径≥1.5米，长度≥15米并配</w:t>
            </w:r>
            <w:r>
              <w:rPr>
                <w:rFonts w:hint="eastAsia"/>
                <w:color w:val="000000" w:themeColor="text1"/>
                <w14:textFill>
                  <w14:solidFill>
                    <w14:schemeClr w14:val="tx1"/>
                  </w14:solidFill>
                </w14:textFill>
              </w:rPr>
              <w:t>备进出口风温度测定仪。</w:t>
            </w:r>
          </w:p>
          <w:p>
            <w:pPr>
              <w:snapToGrid w:val="0"/>
              <w:rPr>
                <w:rFonts w:ascii="宋体" w:hAnsi="宋体"/>
                <w:szCs w:val="21"/>
              </w:rPr>
            </w:pPr>
            <w:r>
              <w:rPr>
                <w:rFonts w:hint="eastAsia" w:ascii="宋体" w:hAnsi="宋体" w:cs="宋体"/>
                <w:bCs/>
                <w:color w:val="000000" w:themeColor="text1"/>
                <w:szCs w:val="21"/>
                <w14:textFill>
                  <w14:solidFill>
                    <w14:schemeClr w14:val="tx1"/>
                  </w14:solidFill>
                </w14:textFill>
              </w:rPr>
              <w:t>冷却设备(包装前物料温度≤50 ℃):冷却机至少一台，直径≥1.2米，长度≥12米或其他类型冷却设备。</w:t>
            </w:r>
          </w:p>
        </w:tc>
        <w:tc>
          <w:tcPr>
            <w:tcW w:w="2551"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出厂检验设备：滴定管、消化蒸馏装置、</w:t>
            </w:r>
            <w:r>
              <w:rPr>
                <w:rFonts w:hint="eastAsia" w:ascii="宋体" w:hAnsi="宋体"/>
                <w:szCs w:val="21"/>
              </w:rPr>
              <w:t>分析天平（</w:t>
            </w:r>
            <w:r>
              <w:rPr>
                <w:rFonts w:hint="eastAsia" w:ascii="宋体" w:hAnsi="宋体"/>
                <w:kern w:val="0"/>
              </w:rPr>
              <w:t>精度应</w:t>
            </w:r>
            <w:r>
              <w:rPr>
                <w:rFonts w:ascii="宋体" w:hAnsi="宋体"/>
                <w:kern w:val="0"/>
              </w:rPr>
              <w:t>满足</w:t>
            </w:r>
            <w:r>
              <w:rPr>
                <w:rFonts w:hint="eastAsia" w:ascii="宋体" w:hAnsi="宋体"/>
                <w:kern w:val="0"/>
              </w:rPr>
              <w:t>相应测量</w:t>
            </w:r>
            <w:r>
              <w:rPr>
                <w:rFonts w:ascii="宋体" w:hAnsi="宋体"/>
                <w:kern w:val="0"/>
              </w:rPr>
              <w:t>要求</w:t>
            </w:r>
            <w:r>
              <w:rPr>
                <w:rFonts w:hint="eastAsia" w:ascii="宋体" w:hAnsi="宋体"/>
                <w:szCs w:val="21"/>
              </w:rPr>
              <w:t>）、</w:t>
            </w:r>
            <w:r>
              <w:rPr>
                <w:rFonts w:hint="eastAsia" w:ascii="宋体" w:hAnsi="宋体" w:cs="宋体"/>
                <w:bCs/>
                <w:color w:val="000000" w:themeColor="text1"/>
                <w:szCs w:val="21"/>
                <w14:textFill>
                  <w14:solidFill>
                    <w14:schemeClr w14:val="tx1"/>
                  </w14:solidFill>
                </w14:textFill>
              </w:rPr>
              <w:t>电热恒温真空干燥箱（真空烘箱）、玻璃坩埚式滤器、恒温水浴振荡器、等离子体发射光谱仪（仅采用等离子体发射光谱法测定有效磷含量时适用）、电热恒温干燥箱、试验筛</w:t>
            </w:r>
          </w:p>
          <w:p>
            <w:pPr>
              <w:snapToGrid w:val="0"/>
              <w:rPr>
                <w:rFonts w:ascii="宋体" w:hAnsi="宋体"/>
                <w:szCs w:val="21"/>
              </w:rPr>
            </w:pPr>
            <w:r>
              <w:rPr>
                <w:rFonts w:hint="eastAsia" w:ascii="宋体" w:hAnsi="宋体" w:cs="宋体"/>
                <w:bCs/>
                <w:color w:val="000000" w:themeColor="text1"/>
                <w:szCs w:val="21"/>
                <w14:textFill>
                  <w14:solidFill>
                    <w14:schemeClr w14:val="tx1"/>
                  </w14:solidFill>
                </w14:textFill>
              </w:rPr>
              <w:t>型式检验设备：超声波</w:t>
            </w:r>
            <w:r>
              <w:rPr>
                <w:rFonts w:hint="eastAsia" w:ascii="宋体" w:hAnsi="宋体"/>
                <w:bCs/>
                <w:iCs/>
                <w:color w:val="000000" w:themeColor="text1"/>
                <w:szCs w:val="32"/>
                <w14:textFill>
                  <w14:solidFill>
                    <w14:schemeClr w14:val="tx1"/>
                  </w14:solidFill>
                </w14:textFill>
              </w:rPr>
              <w:t>清洗器、</w:t>
            </w:r>
            <w:r>
              <w:rPr>
                <w:rFonts w:hint="eastAsia" w:ascii="宋体" w:hAnsi="宋体" w:cs="宋体"/>
                <w:bCs/>
                <w:color w:val="000000" w:themeColor="text1"/>
                <w:szCs w:val="21"/>
                <w14:textFill>
                  <w14:solidFill>
                    <w14:schemeClr w14:val="tx1"/>
                  </w14:solidFill>
                </w14:textFill>
              </w:rPr>
              <w:t>分光光度计(</w:t>
            </w:r>
            <w:r>
              <w:rPr>
                <w:rFonts w:hint="eastAsia"/>
                <w:color w:val="000000" w:themeColor="text1"/>
                <w14:textFill>
                  <w14:solidFill>
                    <w14:schemeClr w14:val="tx1"/>
                  </w14:solidFill>
                </w14:textFill>
              </w:rPr>
              <w:t>如具备液相色谱法检测设备也满足检验要求</w:t>
            </w:r>
            <w:r>
              <w:rPr>
                <w:rFonts w:ascii="宋体" w:hAnsi="宋体" w:cs="宋体"/>
                <w:bCs/>
                <w:color w:val="000000" w:themeColor="text1"/>
                <w:szCs w:val="21"/>
                <w14:textFill>
                  <w14:solidFill>
                    <w14:schemeClr w14:val="tx1"/>
                  </w14:solidFill>
                </w14:textFill>
              </w:rPr>
              <w:t>)</w:t>
            </w:r>
          </w:p>
        </w:tc>
        <w:tc>
          <w:tcPr>
            <w:tcW w:w="1065"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hAnsi="宋体" w:cs="宋体"/>
                <w:color w:val="000000" w:themeColor="text1"/>
                <w14:textFill>
                  <w14:solidFill>
                    <w14:schemeClr w14:val="tx1"/>
                  </w14:solidFill>
                </w14:textFill>
              </w:rPr>
              <w:t>生产具有缓控释功能的复合肥料时需具备缓/控释剂配制设备和</w:t>
            </w:r>
            <w:r>
              <w:rPr>
                <w:rFonts w:hint="eastAsia" w:ascii="宋体" w:hAnsi="宋体" w:cs="宋体"/>
                <w:bCs/>
                <w:color w:val="000000" w:themeColor="text1"/>
                <w:szCs w:val="21"/>
                <w14:textFill>
                  <w14:solidFill>
                    <w14:schemeClr w14:val="tx1"/>
                  </w14:solidFill>
                </w14:textFill>
              </w:rPr>
              <w:t>喷涂设备</w:t>
            </w:r>
            <w:r>
              <w:rPr>
                <w:rFonts w:hint="eastAsia" w:hAnsi="宋体" w:cs="宋体"/>
                <w:color w:val="000000" w:themeColor="text1"/>
                <w14:textFill>
                  <w14:solidFill>
                    <w14:schemeClr w14:val="tx1"/>
                  </w14:solidFill>
                </w14:textFill>
              </w:rPr>
              <w:t>（稳定性复合肥料和外购脲甲醛粉料生产脲醛缓释复合肥料不适用)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2</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cs="宋体"/>
                <w:bCs/>
                <w:color w:val="000000" w:themeColor="text1"/>
                <w:szCs w:val="21"/>
                <w14:textFill>
                  <w14:solidFill>
                    <w14:schemeClr w14:val="tx1"/>
                  </w14:solidFill>
                </w14:textFill>
              </w:rPr>
              <w:t>掺混肥料</w:t>
            </w:r>
          </w:p>
        </w:tc>
        <w:tc>
          <w:tcPr>
            <w:tcW w:w="2092"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1、筛分设备</w:t>
            </w:r>
          </w:p>
          <w:p>
            <w:pPr>
              <w:snapToGrid w:val="0"/>
              <w:spacing w:line="264" w:lineRule="auto"/>
              <w:rPr>
                <w:rFonts w:ascii="宋体" w:hAnsi="宋体"/>
                <w:szCs w:val="21"/>
              </w:rPr>
            </w:pPr>
            <w:r>
              <w:rPr>
                <w:rFonts w:hint="eastAsia" w:ascii="宋体" w:hAnsi="宋体"/>
                <w:szCs w:val="21"/>
              </w:rPr>
              <w:t>2、自动配料计量设备</w:t>
            </w:r>
          </w:p>
          <w:p>
            <w:pPr>
              <w:snapToGrid w:val="0"/>
              <w:spacing w:line="264" w:lineRule="auto"/>
              <w:rPr>
                <w:rFonts w:ascii="宋体" w:hAnsi="宋体"/>
                <w:szCs w:val="21"/>
              </w:rPr>
            </w:pPr>
            <w:r>
              <w:rPr>
                <w:rFonts w:hint="eastAsia" w:ascii="宋体" w:hAnsi="宋体"/>
                <w:szCs w:val="21"/>
              </w:rPr>
              <w:t>3、混合设备</w:t>
            </w:r>
          </w:p>
          <w:p>
            <w:pPr>
              <w:snapToGrid w:val="0"/>
              <w:spacing w:line="264" w:lineRule="auto"/>
              <w:rPr>
                <w:rFonts w:ascii="宋体" w:hAnsi="宋体"/>
                <w:szCs w:val="21"/>
              </w:rPr>
            </w:pPr>
            <w:r>
              <w:rPr>
                <w:rFonts w:hint="eastAsia" w:ascii="宋体" w:hAnsi="宋体"/>
                <w:szCs w:val="21"/>
              </w:rPr>
              <w:t>4、从自动配料计量到产品包装形成连续的机械化生产线</w:t>
            </w:r>
          </w:p>
        </w:tc>
        <w:tc>
          <w:tcPr>
            <w:tcW w:w="2835"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color w:val="FF0000"/>
                <w:szCs w:val="21"/>
              </w:rPr>
            </w:pPr>
            <w:r>
              <w:rPr>
                <w:rFonts w:hint="eastAsia" w:ascii="宋体" w:hAnsi="宋体" w:cs="宋体"/>
                <w:bCs/>
                <w:color w:val="000000" w:themeColor="text1"/>
                <w:szCs w:val="21"/>
                <w14:textFill>
                  <w14:solidFill>
                    <w14:schemeClr w14:val="tx1"/>
                  </w14:solidFill>
                </w14:textFill>
              </w:rPr>
              <w:t>配料必须采用自动配料装置（有自动控制系统），配料口≥3个。</w:t>
            </w:r>
          </w:p>
        </w:tc>
        <w:tc>
          <w:tcPr>
            <w:tcW w:w="2551"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出厂检验设备：滴定管、消化蒸馏装置、</w:t>
            </w:r>
            <w:r>
              <w:rPr>
                <w:rFonts w:hint="eastAsia" w:ascii="宋体" w:hAnsi="宋体"/>
                <w:szCs w:val="21"/>
              </w:rPr>
              <w:t>分析天平（</w:t>
            </w:r>
            <w:r>
              <w:rPr>
                <w:rFonts w:hint="eastAsia" w:ascii="宋体" w:hAnsi="宋体"/>
                <w:kern w:val="0"/>
              </w:rPr>
              <w:t>精度应</w:t>
            </w:r>
            <w:r>
              <w:rPr>
                <w:rFonts w:ascii="宋体" w:hAnsi="宋体"/>
                <w:kern w:val="0"/>
              </w:rPr>
              <w:t>满足</w:t>
            </w:r>
            <w:r>
              <w:rPr>
                <w:rFonts w:hint="eastAsia" w:ascii="宋体" w:hAnsi="宋体"/>
                <w:kern w:val="0"/>
              </w:rPr>
              <w:t>相应测量</w:t>
            </w:r>
            <w:r>
              <w:rPr>
                <w:rFonts w:ascii="宋体" w:hAnsi="宋体"/>
                <w:kern w:val="0"/>
              </w:rPr>
              <w:t>要求</w:t>
            </w:r>
            <w:r>
              <w:rPr>
                <w:rFonts w:hint="eastAsia" w:ascii="宋体" w:hAnsi="宋体"/>
                <w:szCs w:val="21"/>
              </w:rPr>
              <w:t>）、</w:t>
            </w:r>
            <w:r>
              <w:rPr>
                <w:rFonts w:hint="eastAsia" w:ascii="宋体" w:hAnsi="宋体" w:cs="宋体"/>
                <w:bCs/>
                <w:color w:val="000000" w:themeColor="text1"/>
                <w:szCs w:val="21"/>
                <w14:textFill>
                  <w14:solidFill>
                    <w14:schemeClr w14:val="tx1"/>
                  </w14:solidFill>
                </w14:textFill>
              </w:rPr>
              <w:t>电热恒温真空干燥箱（真空烘箱）、玻璃坩埚式滤器、恒温水浴振荡器、等离子体发射光谱仪（仅采用等离子体发射光谱法测定有效磷含量时适用）、电热恒温干燥箱、试验筛</w:t>
            </w:r>
          </w:p>
          <w:p>
            <w:pPr>
              <w:snapToGrid w:val="0"/>
              <w:spacing w:line="264" w:lineRule="auto"/>
              <w:rPr>
                <w:rFonts w:ascii="宋体" w:hAnsi="宋体"/>
                <w:szCs w:val="21"/>
              </w:rPr>
            </w:pPr>
            <w:r>
              <w:rPr>
                <w:rFonts w:hint="eastAsia" w:ascii="宋体" w:hAnsi="宋体" w:cs="宋体"/>
                <w:bCs/>
                <w:color w:val="000000" w:themeColor="text1"/>
                <w:szCs w:val="21"/>
                <w14:textFill>
                  <w14:solidFill>
                    <w14:schemeClr w14:val="tx1"/>
                  </w14:solidFill>
                </w14:textFill>
              </w:rPr>
              <w:t>型式检验设备：</w:t>
            </w:r>
            <w:r>
              <w:rPr>
                <w:rFonts w:hint="eastAsia"/>
                <w:color w:val="000000" w:themeColor="text1"/>
                <w14:textFill>
                  <w14:solidFill>
                    <w14:schemeClr w14:val="tx1"/>
                  </w14:solidFill>
                </w14:textFill>
              </w:rPr>
              <w:t>箱式电阻炉</w:t>
            </w:r>
            <w:r>
              <w:rPr>
                <w:rFonts w:hint="eastAsia" w:ascii="宋体" w:hAnsi="宋体" w:cs="宋体"/>
                <w:bCs/>
                <w:color w:val="000000" w:themeColor="text1"/>
                <w:szCs w:val="21"/>
                <w14:textFill>
                  <w14:solidFill>
                    <w14:schemeClr w14:val="tx1"/>
                  </w14:solidFill>
                </w14:textFill>
              </w:rPr>
              <w:t>、分光光度计、</w:t>
            </w:r>
            <w:r>
              <w:rPr>
                <w:rFonts w:hint="eastAsia"/>
                <w:color w:val="000000" w:themeColor="text1"/>
                <w14:textFill>
                  <w14:solidFill>
                    <w14:schemeClr w14:val="tx1"/>
                  </w14:solidFill>
                </w14:textFill>
              </w:rPr>
              <w:t>原子吸收分光光度计、酸度计、石英量瓶、石英吸管、石英比色皿、</w:t>
            </w:r>
          </w:p>
        </w:tc>
        <w:tc>
          <w:tcPr>
            <w:tcW w:w="1065"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宋体" w:hAnsi="宋体"/>
                <w:szCs w:val="21"/>
              </w:rPr>
            </w:pPr>
            <w:r>
              <w:rPr>
                <w:rFonts w:hint="eastAsia" w:ascii="宋体" w:hAnsi="宋体"/>
                <w:szCs w:val="21"/>
              </w:rPr>
              <w:t>3</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宋体" w:hAnsi="宋体"/>
                <w:szCs w:val="21"/>
              </w:rPr>
            </w:pPr>
            <w:r>
              <w:rPr>
                <w:rFonts w:hint="eastAsia" w:ascii="宋体" w:hAnsi="宋体" w:cs="宋体"/>
                <w:bCs/>
                <w:color w:val="000000" w:themeColor="text1"/>
                <w:szCs w:val="21"/>
                <w14:textFill>
                  <w14:solidFill>
                    <w14:schemeClr w14:val="tx1"/>
                  </w14:solidFill>
                </w14:textFill>
              </w:rPr>
              <w:t>有机-无机复混肥料</w:t>
            </w:r>
          </w:p>
        </w:tc>
        <w:tc>
          <w:tcPr>
            <w:tcW w:w="2092"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1、配料计量设备</w:t>
            </w:r>
          </w:p>
          <w:p>
            <w:pPr>
              <w:snapToGrid w:val="0"/>
              <w:spacing w:line="264" w:lineRule="auto"/>
              <w:rPr>
                <w:rFonts w:ascii="宋体" w:hAnsi="宋体"/>
                <w:szCs w:val="21"/>
              </w:rPr>
            </w:pPr>
            <w:r>
              <w:rPr>
                <w:rFonts w:hint="eastAsia" w:ascii="宋体" w:hAnsi="宋体"/>
                <w:szCs w:val="21"/>
              </w:rPr>
              <w:t>2、混合设备</w:t>
            </w:r>
          </w:p>
          <w:p>
            <w:pPr>
              <w:snapToGrid w:val="0"/>
              <w:spacing w:line="264" w:lineRule="auto"/>
              <w:rPr>
                <w:rFonts w:ascii="宋体" w:hAnsi="宋体"/>
                <w:szCs w:val="21"/>
              </w:rPr>
            </w:pPr>
            <w:r>
              <w:rPr>
                <w:rFonts w:hint="eastAsia" w:ascii="宋体" w:hAnsi="宋体"/>
                <w:szCs w:val="21"/>
              </w:rPr>
              <w:t>3、造粒设备</w:t>
            </w:r>
          </w:p>
          <w:p>
            <w:pPr>
              <w:snapToGrid w:val="0"/>
              <w:spacing w:line="264" w:lineRule="auto"/>
              <w:rPr>
                <w:rFonts w:ascii="宋体" w:hAnsi="宋体"/>
                <w:szCs w:val="21"/>
              </w:rPr>
            </w:pPr>
            <w:r>
              <w:rPr>
                <w:rFonts w:hint="eastAsia" w:ascii="宋体" w:hAnsi="宋体"/>
                <w:szCs w:val="21"/>
              </w:rPr>
              <w:t>4、干燥及温控设备</w:t>
            </w:r>
          </w:p>
          <w:p>
            <w:pPr>
              <w:snapToGrid w:val="0"/>
              <w:spacing w:line="264" w:lineRule="auto"/>
              <w:rPr>
                <w:rFonts w:ascii="宋体" w:hAnsi="宋体"/>
                <w:szCs w:val="21"/>
              </w:rPr>
            </w:pPr>
            <w:r>
              <w:rPr>
                <w:rFonts w:hint="eastAsia" w:ascii="宋体" w:hAnsi="宋体"/>
                <w:szCs w:val="21"/>
              </w:rPr>
              <w:t>5、冷却设备</w:t>
            </w:r>
          </w:p>
          <w:p>
            <w:pPr>
              <w:snapToGrid w:val="0"/>
              <w:spacing w:line="264" w:lineRule="auto"/>
              <w:rPr>
                <w:rFonts w:ascii="宋体" w:hAnsi="宋体"/>
                <w:szCs w:val="21"/>
              </w:rPr>
            </w:pPr>
            <w:r>
              <w:rPr>
                <w:rFonts w:hint="eastAsia" w:ascii="宋体" w:hAnsi="宋体"/>
                <w:szCs w:val="21"/>
              </w:rPr>
              <w:t>6、成品筛分设备</w:t>
            </w:r>
          </w:p>
          <w:p>
            <w:pPr>
              <w:snapToGrid w:val="0"/>
              <w:spacing w:line="264" w:lineRule="auto"/>
              <w:rPr>
                <w:rFonts w:ascii="宋体" w:hAnsi="宋体"/>
                <w:szCs w:val="21"/>
              </w:rPr>
            </w:pPr>
            <w:r>
              <w:rPr>
                <w:rFonts w:hint="eastAsia" w:ascii="宋体" w:hAnsi="宋体"/>
                <w:szCs w:val="21"/>
              </w:rPr>
              <w:t>7、从配料计量到产品包装形成连续的机械化生产线</w:t>
            </w:r>
          </w:p>
          <w:p>
            <w:pPr>
              <w:snapToGrid w:val="0"/>
              <w:spacing w:line="264" w:lineRule="auto"/>
              <w:rPr>
                <w:rFonts w:ascii="宋体" w:hAnsi="宋体"/>
                <w:szCs w:val="21"/>
              </w:rPr>
            </w:pPr>
            <w:r>
              <w:rPr>
                <w:rFonts w:hint="eastAsia" w:ascii="宋体" w:hAnsi="宋体"/>
                <w:szCs w:val="21"/>
              </w:rPr>
              <w:t>8、无害化处理设备设施</w:t>
            </w:r>
          </w:p>
          <w:p>
            <w:pPr>
              <w:snapToGrid w:val="0"/>
              <w:spacing w:line="264" w:lineRule="auto"/>
              <w:rPr>
                <w:rFonts w:ascii="宋体" w:hAnsi="宋体"/>
                <w:szCs w:val="21"/>
              </w:rPr>
            </w:pPr>
            <w:r>
              <w:rPr>
                <w:rFonts w:hint="eastAsia" w:ascii="宋体" w:hAnsi="宋体"/>
                <w:szCs w:val="21"/>
              </w:rPr>
              <w:t>9、气体除尘净化回收及排风设备</w:t>
            </w:r>
          </w:p>
        </w:tc>
        <w:tc>
          <w:tcPr>
            <w:tcW w:w="2835"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造粒设备：采用圆盘造粒工艺的，圆盘直径≥2.8米；采用转鼓造粒工艺的，转鼓造粒机直径≥1.2米；采用挤压造粒工艺的，挤压造粒机产品说明书中规定的产能≥2万吨/年或同一条生产线不同挤压机混合后总和产能≥2万吨/年。</w:t>
            </w:r>
          </w:p>
          <w:p>
            <w:pPr>
              <w:snapToGrid w:val="0"/>
              <w:spacing w:line="264" w:lineRule="auto"/>
              <w:rPr>
                <w:rFonts w:ascii="宋体" w:hAnsi="宋体"/>
                <w:szCs w:val="21"/>
              </w:rPr>
            </w:pPr>
            <w:r>
              <w:rPr>
                <w:rFonts w:hint="eastAsia" w:ascii="宋体" w:hAnsi="宋体"/>
                <w:szCs w:val="21"/>
              </w:rPr>
              <w:t>干燥机至少一台，直径≥1.2米，长度≥12米并配备进出口风温度测定仪。</w:t>
            </w:r>
          </w:p>
          <w:p>
            <w:pPr>
              <w:snapToGrid w:val="0"/>
              <w:spacing w:line="264" w:lineRule="auto"/>
              <w:rPr>
                <w:rFonts w:ascii="宋体" w:hAnsi="宋体"/>
                <w:szCs w:val="21"/>
              </w:rPr>
            </w:pPr>
            <w:r>
              <w:rPr>
                <w:rFonts w:hint="eastAsia" w:ascii="宋体" w:hAnsi="宋体" w:cs="宋体"/>
                <w:bCs/>
                <w:color w:val="000000" w:themeColor="text1"/>
                <w:szCs w:val="21"/>
                <w14:textFill>
                  <w14:solidFill>
                    <w14:schemeClr w14:val="tx1"/>
                  </w14:solidFill>
                </w14:textFill>
              </w:rPr>
              <w:t>冷却设备（包装前物料温度≤50℃）：冷却机至少一台，直径≥1.0米，长度≥10米或其他类型冷却设备。</w:t>
            </w:r>
          </w:p>
        </w:tc>
        <w:tc>
          <w:tcPr>
            <w:tcW w:w="2551"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出厂检验设备：滴定管、消化蒸馏装置、</w:t>
            </w:r>
            <w:r>
              <w:rPr>
                <w:rFonts w:hint="eastAsia" w:ascii="宋体" w:hAnsi="宋体"/>
                <w:szCs w:val="21"/>
              </w:rPr>
              <w:t>分析天平（</w:t>
            </w:r>
            <w:r>
              <w:rPr>
                <w:rFonts w:hint="eastAsia" w:ascii="宋体" w:hAnsi="宋体"/>
                <w:kern w:val="0"/>
              </w:rPr>
              <w:t>精度应</w:t>
            </w:r>
            <w:r>
              <w:rPr>
                <w:rFonts w:ascii="宋体" w:hAnsi="宋体"/>
                <w:kern w:val="0"/>
              </w:rPr>
              <w:t>满足</w:t>
            </w:r>
            <w:r>
              <w:rPr>
                <w:rFonts w:hint="eastAsia" w:ascii="宋体" w:hAnsi="宋体"/>
                <w:kern w:val="0"/>
              </w:rPr>
              <w:t>相应测量</w:t>
            </w:r>
            <w:r>
              <w:rPr>
                <w:rFonts w:ascii="宋体" w:hAnsi="宋体"/>
                <w:kern w:val="0"/>
              </w:rPr>
              <w:t>要求</w:t>
            </w:r>
            <w:r>
              <w:rPr>
                <w:rFonts w:hint="eastAsia" w:ascii="宋体" w:hAnsi="宋体"/>
                <w:szCs w:val="21"/>
              </w:rPr>
              <w:t>）、</w:t>
            </w:r>
            <w:r>
              <w:rPr>
                <w:rFonts w:hint="eastAsia" w:ascii="宋体" w:hAnsi="宋体" w:cs="宋体"/>
                <w:bCs/>
                <w:color w:val="000000" w:themeColor="text1"/>
                <w:szCs w:val="21"/>
                <w14:textFill>
                  <w14:solidFill>
                    <w14:schemeClr w14:val="tx1"/>
                  </w14:solidFill>
                </w14:textFill>
              </w:rPr>
              <w:t>电热恒温真空干燥箱（真空烘箱）、玻璃坩埚式滤器、恒温水浴振荡器、等离子体发射光谱仪（仅采用等离子体发射光谱法测定有效磷含量时适用）、电热恒温干燥箱、试验筛、pH酸度计、</w:t>
            </w:r>
          </w:p>
          <w:p>
            <w:pPr>
              <w:snapToGrid w:val="0"/>
              <w:rPr>
                <w:rFonts w:ascii="宋体" w:hAnsi="宋体"/>
                <w:szCs w:val="21"/>
              </w:rPr>
            </w:pPr>
            <w:r>
              <w:rPr>
                <w:rFonts w:hint="eastAsia" w:ascii="宋体" w:hAnsi="宋体" w:cs="宋体"/>
                <w:bCs/>
                <w:color w:val="000000" w:themeColor="text1"/>
                <w:szCs w:val="21"/>
                <w14:textFill>
                  <w14:solidFill>
                    <w14:schemeClr w14:val="tx1"/>
                  </w14:solidFill>
                </w14:textFill>
              </w:rPr>
              <w:t>型式检验设备：</w:t>
            </w:r>
            <w:r>
              <w:rPr>
                <w:rFonts w:hint="eastAsia"/>
                <w:color w:val="000000" w:themeColor="text1"/>
                <w14:textFill>
                  <w14:solidFill>
                    <w14:schemeClr w14:val="tx1"/>
                  </w14:solidFill>
                </w14:textFill>
              </w:rPr>
              <w:t>离心机、往复振荡器、恒温培养箱、显微镜、高压蒸汽灭菌器、恒温水浴或隔水式培养箱、恒温旋转式摇床、定砷仪、分光光度计、原子吸收分光光度计</w:t>
            </w:r>
          </w:p>
        </w:tc>
        <w:tc>
          <w:tcPr>
            <w:tcW w:w="1065"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cs="宋体"/>
                <w:bCs/>
                <w:color w:val="000000" w:themeColor="text1"/>
                <w:szCs w:val="21"/>
                <w14:textFill>
                  <w14:solidFill>
                    <w14:schemeClr w14:val="tx1"/>
                  </w14:solidFill>
                </w14:textFill>
              </w:rPr>
              <w:t>无害化处理设备设施为有机质原料需要进行无害化处理时适用。</w:t>
            </w:r>
          </w:p>
        </w:tc>
      </w:tr>
    </w:tbl>
    <w:p>
      <w:pPr>
        <w:pStyle w:val="63"/>
        <w:spacing w:line="400" w:lineRule="exact"/>
        <w:rPr>
          <w:rFonts w:ascii="宋体" w:hAnsi="宋体"/>
          <w:iCs/>
          <w:kern w:val="0"/>
          <w:szCs w:val="24"/>
        </w:rPr>
      </w:pPr>
      <w:r>
        <w:rPr>
          <w:rFonts w:hint="eastAsia" w:ascii="宋体" w:hAnsi="宋体"/>
          <w:iCs/>
          <w:kern w:val="0"/>
          <w:szCs w:val="24"/>
        </w:rPr>
        <w:t>注：1.本表中为企业正常生产应具备的主要生产设备和检验设备，可与上述设备名称不同，</w:t>
      </w:r>
      <w:r>
        <w:rPr>
          <w:rFonts w:hint="eastAsia" w:ascii="宋体" w:hAnsi="宋体" w:cs="宋体"/>
        </w:rPr>
        <w:t>根据企业产品类别以企业实际具备的生产设备和检验设备为准，</w:t>
      </w:r>
      <w:r>
        <w:rPr>
          <w:rFonts w:hint="eastAsia" w:ascii="宋体" w:hAnsi="宋体"/>
          <w:iCs/>
          <w:kern w:val="0"/>
          <w:szCs w:val="24"/>
        </w:rPr>
        <w:t>但应满足上述设备的功能要求；以上为典型工艺应必备的生产设备，对采用非典型生产工艺的企业，全覆盖例行检查时可按企业工艺设计文件规定的生产设备进行。</w:t>
      </w:r>
    </w:p>
    <w:p>
      <w:pPr>
        <w:pStyle w:val="51"/>
        <w:spacing w:line="400" w:lineRule="exact"/>
        <w:jc w:val="left"/>
        <w:rPr>
          <w:rFonts w:ascii="宋体" w:hAnsi="宋体"/>
          <w:iCs/>
          <w:kern w:val="0"/>
          <w:szCs w:val="24"/>
        </w:rPr>
      </w:pPr>
      <w:r>
        <w:rPr>
          <w:rFonts w:ascii="宋体" w:hAnsi="宋体"/>
          <w:iCs/>
          <w:kern w:val="0"/>
          <w:szCs w:val="24"/>
        </w:rPr>
        <w:t>2.</w:t>
      </w:r>
      <w:r>
        <w:rPr>
          <w:rFonts w:hint="eastAsia" w:ascii="宋体" w:hAnsi="宋体"/>
          <w:iCs/>
          <w:kern w:val="0"/>
          <w:szCs w:val="24"/>
        </w:rPr>
        <w:t>无干燥工序的复合肥料和有机-无机复混肥料生产工艺，生产设备中干燥、温控设备和冷却设备不作要求。</w:t>
      </w:r>
    </w:p>
    <w:p>
      <w:pPr>
        <w:pStyle w:val="51"/>
        <w:spacing w:line="400" w:lineRule="exact"/>
        <w:jc w:val="left"/>
        <w:rPr>
          <w:rFonts w:ascii="宋体" w:hAnsi="宋体"/>
          <w:iCs/>
          <w:kern w:val="0"/>
          <w:szCs w:val="24"/>
        </w:rPr>
      </w:pPr>
      <w:r>
        <w:rPr>
          <w:rFonts w:ascii="宋体" w:hAnsi="宋体"/>
          <w:iCs/>
          <w:kern w:val="0"/>
          <w:szCs w:val="24"/>
        </w:rPr>
        <w:t>3</w:t>
      </w:r>
      <w:r>
        <w:rPr>
          <w:rFonts w:hint="eastAsia" w:ascii="宋体" w:hAnsi="宋体"/>
          <w:iCs/>
          <w:kern w:val="0"/>
          <w:szCs w:val="24"/>
        </w:rPr>
        <w:t>. 同一条生产线仅限于一家企业的生产许可证申请。同一企业的复合肥料、掺混肥料申请单元可以共用自动配料计量设备、混合设备、成品包装设备；同一企业的复合肥料、有机-无机复混肥料若生产工艺相同可共用同一条生产线。</w:t>
      </w:r>
    </w:p>
    <w:p>
      <w:pPr>
        <w:pStyle w:val="51"/>
        <w:spacing w:line="400" w:lineRule="exact"/>
        <w:jc w:val="left"/>
        <w:rPr>
          <w:rFonts w:ascii="宋体" w:hAnsi="宋体"/>
          <w:iCs/>
          <w:kern w:val="0"/>
          <w:szCs w:val="24"/>
        </w:rPr>
      </w:pPr>
      <w:r>
        <w:rPr>
          <w:rFonts w:ascii="宋体" w:hAnsi="宋体"/>
          <w:iCs/>
          <w:kern w:val="0"/>
          <w:szCs w:val="24"/>
        </w:rPr>
        <w:t>4</w:t>
      </w:r>
      <w:r>
        <w:rPr>
          <w:rFonts w:hint="eastAsia" w:ascii="宋体" w:hAnsi="宋体"/>
          <w:iCs/>
          <w:kern w:val="0"/>
          <w:szCs w:val="24"/>
        </w:rPr>
        <w:t>.同一检测项目有多种检测设备时，应至少具备其中一种且满足标准规定的检测要求。</w:t>
      </w:r>
    </w:p>
    <w:p>
      <w:pPr>
        <w:pStyle w:val="51"/>
        <w:spacing w:line="400" w:lineRule="exact"/>
        <w:jc w:val="left"/>
        <w:rPr>
          <w:rFonts w:ascii="宋体" w:hAnsi="宋体"/>
          <w:iCs/>
          <w:kern w:val="0"/>
          <w:szCs w:val="24"/>
        </w:rPr>
      </w:pPr>
      <w:r>
        <w:rPr>
          <w:rFonts w:ascii="宋体" w:hAnsi="宋体"/>
          <w:iCs/>
          <w:kern w:val="0"/>
          <w:szCs w:val="24"/>
        </w:rPr>
        <w:t>5.</w:t>
      </w:r>
      <w:r>
        <w:rPr>
          <w:rFonts w:hint="eastAsia" w:ascii="宋体" w:hAnsi="宋体"/>
          <w:bCs/>
          <w:iCs/>
          <w:color w:val="000000" w:themeColor="text1"/>
          <w:szCs w:val="32"/>
          <w14:textFill>
            <w14:solidFill>
              <w14:schemeClr w14:val="tx1"/>
            </w14:solidFill>
          </w14:textFill>
        </w:rPr>
        <w:t>水分测定也可使用卡尔·费休法，所需检测仪器可由卡尔·费休法规定的仪器替代真空烘箱</w:t>
      </w:r>
      <w:r>
        <w:rPr>
          <w:rFonts w:hint="eastAsia" w:ascii="宋体" w:hAnsi="宋体"/>
          <w:iCs/>
          <w:kern w:val="0"/>
          <w:szCs w:val="24"/>
        </w:rPr>
        <w:t>法所需仪器设备。企业如果使用氮、磷、钾自动分析仪法对肥料中氮、磷、钾含量进行测定，氮、磷、钾检测检测仪器可由氮、磷、钾自动分析仪替换。</w:t>
      </w:r>
    </w:p>
    <w:p>
      <w:pPr>
        <w:pStyle w:val="51"/>
        <w:spacing w:line="400" w:lineRule="exact"/>
        <w:jc w:val="left"/>
        <w:rPr>
          <w:rFonts w:ascii="宋体" w:hAnsi="宋体"/>
          <w:iCs/>
          <w:kern w:val="0"/>
          <w:szCs w:val="24"/>
        </w:rPr>
      </w:pPr>
      <w:r>
        <w:rPr>
          <w:rFonts w:ascii="宋体" w:hAnsi="宋体"/>
          <w:iCs/>
          <w:kern w:val="0"/>
          <w:szCs w:val="24"/>
        </w:rPr>
        <w:t>6</w:t>
      </w:r>
      <w:r>
        <w:rPr>
          <w:rFonts w:hint="eastAsia" w:ascii="宋体" w:hAnsi="宋体"/>
          <w:iCs/>
          <w:kern w:val="0"/>
          <w:szCs w:val="24"/>
        </w:rPr>
        <w:t>.</w:t>
      </w:r>
      <w:r>
        <w:rPr>
          <w:rFonts w:ascii="宋体" w:hAnsi="宋体"/>
          <w:iCs/>
          <w:kern w:val="0"/>
          <w:szCs w:val="24"/>
        </w:rPr>
        <w:t xml:space="preserve"> </w:t>
      </w:r>
      <w:r>
        <w:rPr>
          <w:rFonts w:hint="eastAsia" w:ascii="宋体" w:hAnsi="宋体"/>
          <w:iCs/>
          <w:kern w:val="0"/>
          <w:szCs w:val="24"/>
        </w:rPr>
        <w:t>当企业生产具有缓控释功能复肥、硝基复肥、腐植酸复肥、海藻酸复肥时还应按照相应标准要求具备所需检验仪器设备。</w:t>
      </w:r>
    </w:p>
    <w:p>
      <w:pPr>
        <w:pStyle w:val="51"/>
        <w:spacing w:line="400" w:lineRule="exact"/>
        <w:jc w:val="left"/>
        <w:rPr>
          <w:rFonts w:ascii="宋体" w:hAnsi="宋体"/>
          <w:iCs/>
          <w:kern w:val="0"/>
          <w:szCs w:val="24"/>
        </w:rPr>
      </w:pPr>
      <w:r>
        <w:rPr>
          <w:rFonts w:ascii="宋体" w:hAnsi="宋体"/>
          <w:iCs/>
          <w:kern w:val="0"/>
          <w:szCs w:val="24"/>
        </w:rPr>
        <w:t>7</w:t>
      </w:r>
      <w:r>
        <w:rPr>
          <w:rFonts w:hint="eastAsia" w:ascii="宋体" w:hAnsi="宋体"/>
          <w:iCs/>
          <w:kern w:val="0"/>
          <w:szCs w:val="24"/>
        </w:rPr>
        <w:t>.</w:t>
      </w:r>
      <w:r>
        <w:rPr>
          <w:rFonts w:ascii="宋体" w:hAnsi="宋体"/>
          <w:iCs/>
          <w:kern w:val="0"/>
          <w:szCs w:val="24"/>
        </w:rPr>
        <w:t xml:space="preserve"> </w:t>
      </w:r>
      <w:r>
        <w:rPr>
          <w:rFonts w:hint="eastAsia" w:ascii="宋体" w:hAnsi="宋体"/>
          <w:iCs/>
          <w:kern w:val="0"/>
          <w:szCs w:val="24"/>
        </w:rPr>
        <w:t>当复合肥料生产企业生产时不以尿素为原材料，检验设备可不需要分光光度计和超声波清洗器；当以尿素为原材料，检验设备需要分光光度计和超声波清洗器或委托具备相关资质的检验机构并签订委托检验协议。</w:t>
      </w:r>
    </w:p>
    <w:p>
      <w:pPr>
        <w:pStyle w:val="51"/>
        <w:spacing w:line="400" w:lineRule="exact"/>
        <w:jc w:val="left"/>
        <w:rPr>
          <w:rFonts w:ascii="宋体" w:hAnsi="宋体"/>
          <w:iCs/>
          <w:kern w:val="0"/>
          <w:szCs w:val="24"/>
        </w:rPr>
      </w:pPr>
      <w:r>
        <w:rPr>
          <w:rFonts w:hint="eastAsia" w:ascii="宋体" w:hAnsi="宋体"/>
          <w:bCs/>
          <w:iCs/>
          <w:color w:val="000000" w:themeColor="text1"/>
          <w:szCs w:val="32"/>
          <w14:textFill>
            <w14:solidFill>
              <w14:schemeClr w14:val="tx1"/>
            </w14:solidFill>
          </w14:textFill>
        </w:rPr>
        <w:t>8</w:t>
      </w:r>
      <w:r>
        <w:rPr>
          <w:rFonts w:ascii="宋体" w:hAnsi="宋体"/>
          <w:bCs/>
          <w:iCs/>
          <w:color w:val="000000" w:themeColor="text1"/>
          <w:szCs w:val="32"/>
          <w14:textFill>
            <w14:solidFill>
              <w14:schemeClr w14:val="tx1"/>
            </w14:solidFill>
          </w14:textFill>
        </w:rPr>
        <w:t>.</w:t>
      </w:r>
      <w:r>
        <w:rPr>
          <w:rFonts w:hint="eastAsia" w:ascii="宋体" w:hAnsi="宋体"/>
          <w:bCs/>
          <w:iCs/>
          <w:color w:val="000000" w:themeColor="text1"/>
          <w:szCs w:val="32"/>
          <w14:textFill>
            <w14:solidFill>
              <w14:schemeClr w14:val="tx1"/>
            </w14:solidFill>
          </w14:textFill>
        </w:rPr>
        <w:t>如企业与具备相关资质的检验机构签订了委托检验协议，型式检验设备可不必备。</w:t>
      </w:r>
    </w:p>
    <w:p>
      <w:pPr>
        <w:pStyle w:val="51"/>
        <w:spacing w:line="400" w:lineRule="exact"/>
        <w:jc w:val="left"/>
        <w:rPr>
          <w:rFonts w:ascii="宋体" w:hAnsi="宋体"/>
          <w:iCs/>
          <w:kern w:val="0"/>
          <w:szCs w:val="24"/>
        </w:rPr>
      </w:pPr>
      <w:r>
        <w:rPr>
          <w:rFonts w:ascii="宋体" w:hAnsi="宋体"/>
          <w:iCs/>
          <w:kern w:val="0"/>
          <w:szCs w:val="24"/>
        </w:rPr>
        <w:t>9</w:t>
      </w:r>
      <w:r>
        <w:rPr>
          <w:rFonts w:hint="eastAsia" w:ascii="宋体" w:hAnsi="宋体"/>
          <w:iCs/>
          <w:kern w:val="0"/>
          <w:szCs w:val="24"/>
        </w:rPr>
        <w:t>. 每个取证的分公司或生产厂点应具有独立的检验室和检测仪器。</w:t>
      </w:r>
    </w:p>
    <w:p>
      <w:pPr>
        <w:spacing w:line="400" w:lineRule="exact"/>
        <w:ind w:firstLine="420" w:firstLineChars="200"/>
        <w:jc w:val="left"/>
        <w:rPr>
          <w:rFonts w:asciiTheme="minorEastAsia" w:hAnsiTheme="minorEastAsia" w:eastAsiaTheme="minorEastAsia"/>
          <w:szCs w:val="24"/>
        </w:rPr>
      </w:pPr>
      <w:r>
        <w:rPr>
          <w:rFonts w:hint="eastAsia" w:asciiTheme="minorEastAsia" w:hAnsiTheme="minorEastAsia" w:eastAsiaTheme="minorEastAsia"/>
          <w:szCs w:val="24"/>
        </w:rPr>
        <w:t>第五条 证书要求</w:t>
      </w:r>
    </w:p>
    <w:p>
      <w:pPr>
        <w:pStyle w:val="63"/>
        <w:tabs>
          <w:tab w:val="left" w:pos="1276"/>
        </w:tabs>
        <w:spacing w:line="400" w:lineRule="exact"/>
        <w:rPr>
          <w:rFonts w:ascii="宋体" w:hAnsi="宋体"/>
          <w:kern w:val="0"/>
          <w:szCs w:val="24"/>
        </w:rPr>
      </w:pPr>
      <w:r>
        <w:rPr>
          <w:rFonts w:hint="eastAsia" w:ascii="宋体" w:hAnsi="宋体"/>
          <w:kern w:val="0"/>
          <w:szCs w:val="24"/>
        </w:rPr>
        <w:t>证书明细应包括产品单元名称（示例见表</w:t>
      </w:r>
      <w:r>
        <w:rPr>
          <w:rFonts w:ascii="宋体" w:hAnsi="宋体"/>
          <w:kern w:val="0"/>
          <w:szCs w:val="24"/>
        </w:rPr>
        <w:t>2</w:t>
      </w:r>
      <w:r>
        <w:rPr>
          <w:rFonts w:hint="eastAsia" w:ascii="宋体" w:hAnsi="宋体"/>
          <w:kern w:val="0"/>
          <w:szCs w:val="24"/>
        </w:rPr>
        <w:t>）。</w:t>
      </w:r>
    </w:p>
    <w:p>
      <w:pPr>
        <w:spacing w:line="360" w:lineRule="auto"/>
        <w:ind w:firstLine="422" w:firstLineChars="200"/>
        <w:jc w:val="center"/>
        <w:rPr>
          <w:rFonts w:ascii="宋体" w:hAnsi="宋体"/>
          <w:b/>
        </w:rPr>
      </w:pPr>
      <w:r>
        <w:rPr>
          <w:rFonts w:hint="eastAsia" w:ascii="宋体" w:hAnsi="宋体"/>
          <w:b/>
        </w:rPr>
        <w:t>表</w:t>
      </w:r>
      <w:r>
        <w:rPr>
          <w:rFonts w:ascii="宋体" w:hAnsi="宋体"/>
          <w:b/>
        </w:rPr>
        <w:t xml:space="preserve">2 </w:t>
      </w:r>
      <w:r>
        <w:rPr>
          <w:rFonts w:hint="eastAsia" w:ascii="宋体" w:hAnsi="宋体"/>
          <w:b/>
        </w:rPr>
        <w:t>证书产品明细内容示例</w:t>
      </w:r>
    </w:p>
    <w:tbl>
      <w:tblPr>
        <w:tblStyle w:val="26"/>
        <w:tblW w:w="94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81"/>
        <w:gridCol w:w="3609"/>
        <w:gridCol w:w="5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36" w:hRule="atLeast"/>
          <w:tblHeader/>
          <w:jc w:val="center"/>
        </w:trPr>
        <w:tc>
          <w:tcPr>
            <w:tcW w:w="781" w:type="dxa"/>
            <w:vMerge w:val="restart"/>
            <w:vAlign w:val="center"/>
          </w:tcPr>
          <w:p>
            <w:pPr>
              <w:keepLines/>
              <w:spacing w:before="72" w:beforeLines="30" w:line="296" w:lineRule="auto"/>
              <w:jc w:val="center"/>
              <w:rPr>
                <w:rFonts w:ascii="宋体" w:hAnsi="宋体"/>
                <w:b/>
                <w:kern w:val="0"/>
                <w:szCs w:val="21"/>
              </w:rPr>
            </w:pPr>
            <w:r>
              <w:rPr>
                <w:rFonts w:hint="eastAsia" w:ascii="宋体" w:hAnsi="宋体"/>
                <w:b/>
                <w:kern w:val="0"/>
                <w:szCs w:val="21"/>
              </w:rPr>
              <w:t>序号</w:t>
            </w:r>
          </w:p>
        </w:tc>
        <w:tc>
          <w:tcPr>
            <w:tcW w:w="3609" w:type="dxa"/>
            <w:vMerge w:val="restart"/>
            <w:vAlign w:val="center"/>
          </w:tcPr>
          <w:p>
            <w:pPr>
              <w:keepLines/>
              <w:spacing w:before="72" w:beforeLines="30" w:line="296" w:lineRule="auto"/>
              <w:jc w:val="center"/>
              <w:rPr>
                <w:rFonts w:ascii="宋体" w:hAnsi="宋体"/>
                <w:b/>
                <w:kern w:val="0"/>
                <w:szCs w:val="21"/>
              </w:rPr>
            </w:pPr>
            <w:r>
              <w:rPr>
                <w:rFonts w:hint="eastAsia" w:ascii="宋体" w:hAnsi="宋体"/>
                <w:b/>
                <w:kern w:val="0"/>
                <w:szCs w:val="21"/>
              </w:rPr>
              <w:t>产品单元</w:t>
            </w:r>
          </w:p>
        </w:tc>
        <w:tc>
          <w:tcPr>
            <w:tcW w:w="5108" w:type="dxa"/>
            <w:vMerge w:val="restart"/>
            <w:vAlign w:val="center"/>
          </w:tcPr>
          <w:p>
            <w:pPr>
              <w:keepLines/>
              <w:spacing w:before="72" w:beforeLines="30" w:line="296" w:lineRule="auto"/>
              <w:jc w:val="center"/>
              <w:rPr>
                <w:rFonts w:ascii="宋体" w:hAnsi="宋体"/>
                <w:b/>
                <w:kern w:val="0"/>
              </w:rPr>
            </w:pPr>
            <w:r>
              <w:rPr>
                <w:rFonts w:hint="eastAsia" w:ascii="宋体" w:hAnsi="宋体"/>
                <w:b/>
                <w:kern w:val="0"/>
              </w:rPr>
              <w:t>证书明细范围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08" w:hRule="atLeast"/>
          <w:tblHeader/>
          <w:jc w:val="center"/>
        </w:trPr>
        <w:tc>
          <w:tcPr>
            <w:tcW w:w="781" w:type="dxa"/>
            <w:vMerge w:val="continue"/>
            <w:vAlign w:val="center"/>
          </w:tcPr>
          <w:p>
            <w:pPr>
              <w:keepLines/>
              <w:spacing w:before="72" w:beforeLines="30" w:line="296" w:lineRule="auto"/>
              <w:jc w:val="center"/>
              <w:rPr>
                <w:rFonts w:ascii="宋体" w:hAnsi="宋体"/>
                <w:b/>
                <w:kern w:val="0"/>
                <w:szCs w:val="21"/>
              </w:rPr>
            </w:pPr>
          </w:p>
        </w:tc>
        <w:tc>
          <w:tcPr>
            <w:tcW w:w="3609" w:type="dxa"/>
            <w:vMerge w:val="continue"/>
            <w:vAlign w:val="center"/>
          </w:tcPr>
          <w:p>
            <w:pPr>
              <w:keepLines/>
              <w:spacing w:before="72" w:beforeLines="30" w:line="296" w:lineRule="auto"/>
              <w:jc w:val="center"/>
              <w:rPr>
                <w:rFonts w:ascii="宋体" w:hAnsi="宋体"/>
                <w:b/>
                <w:kern w:val="0"/>
                <w:szCs w:val="21"/>
              </w:rPr>
            </w:pPr>
          </w:p>
        </w:tc>
        <w:tc>
          <w:tcPr>
            <w:tcW w:w="5108" w:type="dxa"/>
            <w:vMerge w:val="continue"/>
            <w:vAlign w:val="center"/>
          </w:tcPr>
          <w:p>
            <w:pPr>
              <w:keepLines/>
              <w:spacing w:before="72" w:beforeLines="30" w:line="296" w:lineRule="auto"/>
              <w:jc w:val="center"/>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hint="eastAsia" w:ascii="宋体" w:hAnsi="宋体"/>
                <w:kern w:val="0"/>
                <w:szCs w:val="21"/>
              </w:rPr>
              <w:t>1</w:t>
            </w:r>
          </w:p>
        </w:tc>
        <w:tc>
          <w:tcPr>
            <w:tcW w:w="3609" w:type="dxa"/>
            <w:vAlign w:val="center"/>
          </w:tcPr>
          <w:p>
            <w:pPr>
              <w:keepLines/>
              <w:spacing w:before="72" w:beforeLines="30" w:line="296" w:lineRule="auto"/>
              <w:jc w:val="center"/>
              <w:rPr>
                <w:rFonts w:ascii="宋体" w:hAnsi="宋体"/>
                <w:kern w:val="0"/>
                <w:szCs w:val="21"/>
              </w:rPr>
            </w:pPr>
            <w:r>
              <w:rPr>
                <w:rFonts w:hint="eastAsia" w:ascii="宋体" w:hAnsi="宋体" w:cs="宋体"/>
                <w:bCs/>
                <w:color w:val="000000" w:themeColor="text1"/>
                <w:szCs w:val="21"/>
                <w14:textFill>
                  <w14:solidFill>
                    <w14:schemeClr w14:val="tx1"/>
                  </w14:solidFill>
                </w14:textFill>
              </w:rPr>
              <w:t>复合肥料</w:t>
            </w:r>
          </w:p>
        </w:tc>
        <w:tc>
          <w:tcPr>
            <w:tcW w:w="5108" w:type="dxa"/>
            <w:vAlign w:val="center"/>
          </w:tcPr>
          <w:p>
            <w:pPr>
              <w:keepLines/>
              <w:spacing w:before="72" w:beforeLines="30" w:line="29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复合肥料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hint="eastAsia" w:ascii="宋体" w:hAnsi="宋体"/>
                <w:kern w:val="0"/>
                <w:szCs w:val="21"/>
              </w:rPr>
              <w:t>2</w:t>
            </w:r>
          </w:p>
        </w:tc>
        <w:tc>
          <w:tcPr>
            <w:tcW w:w="3609" w:type="dxa"/>
            <w:vAlign w:val="center"/>
          </w:tcPr>
          <w:p>
            <w:pPr>
              <w:keepLines/>
              <w:spacing w:before="72" w:beforeLines="30" w:line="296" w:lineRule="auto"/>
              <w:jc w:val="center"/>
              <w:rPr>
                <w:rFonts w:ascii="宋体" w:hAnsi="宋体"/>
                <w:szCs w:val="21"/>
              </w:rPr>
            </w:pPr>
            <w:r>
              <w:rPr>
                <w:rFonts w:hint="eastAsia" w:ascii="宋体" w:hAnsi="宋体" w:cs="宋体"/>
                <w:bCs/>
                <w:color w:val="000000" w:themeColor="text1"/>
                <w:szCs w:val="21"/>
                <w14:textFill>
                  <w14:solidFill>
                    <w14:schemeClr w14:val="tx1"/>
                  </w14:solidFill>
                </w14:textFill>
              </w:rPr>
              <w:t>掺混肥料</w:t>
            </w:r>
          </w:p>
        </w:tc>
        <w:tc>
          <w:tcPr>
            <w:tcW w:w="5108" w:type="dxa"/>
            <w:vAlign w:val="center"/>
          </w:tcPr>
          <w:p>
            <w:pPr>
              <w:keepLines/>
              <w:spacing w:before="72" w:beforeLines="30" w:line="296" w:lineRule="auto"/>
              <w:jc w:val="center"/>
              <w:rPr>
                <w:rFonts w:ascii="宋体" w:hAnsi="宋体"/>
                <w:color w:val="FF0000"/>
                <w:kern w:val="0"/>
                <w:szCs w:val="21"/>
              </w:rPr>
            </w:pPr>
            <w:r>
              <w:rPr>
                <w:rFonts w:hint="eastAsia" w:ascii="宋体" w:hAnsi="宋体" w:cs="宋体"/>
                <w:bCs/>
                <w:color w:val="000000" w:themeColor="text1"/>
                <w:szCs w:val="21"/>
                <w14:textFill>
                  <w14:solidFill>
                    <w14:schemeClr w14:val="tx1"/>
                  </w14:solidFill>
                </w14:textFill>
              </w:rPr>
              <w:t>掺混肥料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ascii="宋体" w:hAnsi="宋体"/>
                <w:kern w:val="0"/>
                <w:szCs w:val="21"/>
              </w:rPr>
              <w:t>3</w:t>
            </w:r>
          </w:p>
        </w:tc>
        <w:tc>
          <w:tcPr>
            <w:tcW w:w="3609" w:type="dxa"/>
            <w:vAlign w:val="center"/>
          </w:tcPr>
          <w:p>
            <w:pPr>
              <w:keepLines/>
              <w:spacing w:before="72" w:beforeLines="30" w:line="296" w:lineRule="auto"/>
              <w:jc w:val="center"/>
              <w:rPr>
                <w:rFonts w:ascii="宋体" w:hAnsi="宋体"/>
                <w:b/>
                <w:kern w:val="0"/>
                <w:szCs w:val="21"/>
              </w:rPr>
            </w:pPr>
            <w:r>
              <w:rPr>
                <w:rFonts w:hint="eastAsia" w:ascii="宋体" w:hAnsi="宋体" w:cs="宋体"/>
                <w:bCs/>
                <w:color w:val="000000" w:themeColor="text1"/>
                <w:szCs w:val="21"/>
                <w14:textFill>
                  <w14:solidFill>
                    <w14:schemeClr w14:val="tx1"/>
                  </w14:solidFill>
                </w14:textFill>
              </w:rPr>
              <w:t>有机-无机复混肥料</w:t>
            </w:r>
          </w:p>
        </w:tc>
        <w:tc>
          <w:tcPr>
            <w:tcW w:w="5108" w:type="dxa"/>
            <w:vAlign w:val="center"/>
          </w:tcPr>
          <w:p>
            <w:pPr>
              <w:keepLines/>
              <w:spacing w:before="72" w:beforeLines="30" w:line="296" w:lineRule="auto"/>
              <w:jc w:val="center"/>
              <w:rPr>
                <w:rFonts w:ascii="宋体" w:hAnsi="宋体"/>
                <w:szCs w:val="21"/>
              </w:rPr>
            </w:pPr>
            <w:r>
              <w:rPr>
                <w:rFonts w:hint="eastAsia" w:ascii="宋体" w:hAnsi="宋体" w:cs="宋体"/>
                <w:bCs/>
                <w:color w:val="000000" w:themeColor="text1"/>
                <w:szCs w:val="21"/>
                <w14:textFill>
                  <w14:solidFill>
                    <w14:schemeClr w14:val="tx1"/>
                  </w14:solidFill>
                </w14:textFill>
              </w:rPr>
              <w:t>有机-无机复混肥料</w:t>
            </w:r>
          </w:p>
        </w:tc>
      </w:tr>
    </w:tbl>
    <w:p>
      <w:pPr>
        <w:adjustRightInd w:val="0"/>
        <w:snapToGrid w:val="0"/>
        <w:spacing w:line="400" w:lineRule="exact"/>
        <w:ind w:firstLine="420" w:firstLineChars="200"/>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spacing w:line="400" w:lineRule="exact"/>
        <w:ind w:firstLine="420" w:firstLineChars="200"/>
        <w:jc w:val="left"/>
        <w:rPr>
          <w:rFonts w:hint="eastAsia" w:asciiTheme="minorEastAsia" w:hAnsiTheme="minorEastAsia" w:eastAsiaTheme="minorEastAsia"/>
          <w:szCs w:val="24"/>
        </w:rPr>
      </w:pPr>
      <w:bookmarkStart w:id="3" w:name="_GoBack"/>
      <w:bookmarkEnd w:id="3"/>
    </w:p>
    <w:p>
      <w:pPr>
        <w:widowControl/>
        <w:ind w:firstLine="420" w:firstLineChars="200"/>
        <w:jc w:val="left"/>
        <w:rPr>
          <w:rFonts w:cs="Calibri" w:asciiTheme="minorEastAsia" w:hAnsiTheme="minorEastAsia" w:eastAsiaTheme="minorEastAsia"/>
          <w:szCs w:val="24"/>
        </w:rPr>
      </w:pPr>
      <w:r>
        <w:rPr>
          <w:rFonts w:hint="eastAsia" w:cs="Calibri" w:asciiTheme="minorEastAsia" w:hAnsiTheme="minorEastAsia" w:eastAsiaTheme="minorEastAsia"/>
          <w:szCs w:val="24"/>
        </w:rPr>
        <w:t>附件：复肥产品</w:t>
      </w:r>
      <w:bookmarkStart w:id="2" w:name="_Hlk65489118"/>
      <w:r>
        <w:rPr>
          <w:rFonts w:hint="eastAsia" w:cs="Calibri" w:asciiTheme="minorEastAsia" w:hAnsiTheme="minorEastAsia" w:eastAsiaTheme="minorEastAsia"/>
          <w:szCs w:val="24"/>
        </w:rPr>
        <w:t>执行的标准及检验项目</w:t>
      </w:r>
      <w:bookmarkEnd w:id="2"/>
      <w:r>
        <w:rPr>
          <w:rFonts w:hint="eastAsia" w:cs="Calibri" w:asciiTheme="minorEastAsia" w:hAnsiTheme="minorEastAsia" w:eastAsiaTheme="minorEastAsia"/>
          <w:szCs w:val="24"/>
        </w:rPr>
        <w:t>。</w:t>
      </w:r>
    </w:p>
    <w:p>
      <w:pPr>
        <w:widowControl/>
        <w:jc w:val="left"/>
        <w:rPr>
          <w:rFonts w:cs="Calibri" w:asciiTheme="minorEastAsia" w:hAnsiTheme="minorEastAsia" w:eastAsiaTheme="minorEastAsia"/>
          <w:szCs w:val="24"/>
        </w:rPr>
        <w:sectPr>
          <w:footerReference r:id="rId4" w:type="default"/>
          <w:pgSz w:w="11906" w:h="16838"/>
          <w:pgMar w:top="1644" w:right="1418" w:bottom="1417" w:left="1418" w:header="851" w:footer="992" w:gutter="0"/>
          <w:pgNumType w:start="1"/>
          <w:cols w:space="0" w:num="1"/>
          <w:docGrid w:linePitch="312" w:charSpace="0"/>
        </w:sectPr>
      </w:pPr>
    </w:p>
    <w:p>
      <w:pPr>
        <w:pStyle w:val="63"/>
        <w:spacing w:line="360" w:lineRule="auto"/>
        <w:ind w:firstLine="0" w:firstLineChars="0"/>
        <w:rPr>
          <w:rFonts w:ascii="宋体" w:hAnsi="宋体"/>
          <w:b/>
          <w:kern w:val="0"/>
          <w:szCs w:val="24"/>
        </w:rPr>
      </w:pPr>
      <w:r>
        <w:rPr>
          <w:rFonts w:hint="eastAsia" w:ascii="宋体" w:hAnsi="宋体"/>
          <w:b/>
          <w:kern w:val="0"/>
          <w:szCs w:val="24"/>
        </w:rPr>
        <w:t>附件</w:t>
      </w:r>
    </w:p>
    <w:p>
      <w:pPr>
        <w:pStyle w:val="63"/>
        <w:spacing w:line="400" w:lineRule="exact"/>
        <w:ind w:firstLine="0" w:firstLineChars="0"/>
        <w:jc w:val="center"/>
        <w:rPr>
          <w:rFonts w:ascii="方正黑体简体" w:hAnsi="方正黑体简体" w:eastAsia="方正黑体简体" w:cs="方正黑体简体"/>
          <w:bCs/>
          <w:sz w:val="24"/>
          <w:szCs w:val="24"/>
        </w:rPr>
      </w:pPr>
      <w:r>
        <w:rPr>
          <w:rFonts w:hint="eastAsia" w:ascii="方正黑体简体" w:hAnsi="方正黑体简体" w:eastAsia="方正黑体简体" w:cs="方正黑体简体"/>
          <w:bCs/>
          <w:kern w:val="0"/>
          <w:sz w:val="24"/>
          <w:szCs w:val="24"/>
        </w:rPr>
        <w:t>复肥产品执行的标准及检</w:t>
      </w:r>
      <w:r>
        <w:rPr>
          <w:rFonts w:hint="eastAsia" w:ascii="方正黑体简体" w:hAnsi="方正黑体简体" w:eastAsia="方正黑体简体" w:cs="方正黑体简体"/>
          <w:bCs/>
          <w:sz w:val="24"/>
          <w:szCs w:val="24"/>
        </w:rPr>
        <w:t>验项目</w:t>
      </w:r>
    </w:p>
    <w:p>
      <w:pPr>
        <w:pStyle w:val="63"/>
        <w:spacing w:after="120" w:afterLines="50" w:line="400" w:lineRule="exact"/>
        <w:ind w:firstLine="0" w:firstLineChars="0"/>
        <w:jc w:val="center"/>
        <w:rPr>
          <w:rFonts w:ascii="宋体" w:hAnsi="宋体"/>
          <w:b/>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26"/>
        <w:tblW w:w="13771"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697"/>
        <w:gridCol w:w="2277"/>
        <w:gridCol w:w="2268"/>
        <w:gridCol w:w="2544"/>
        <w:gridCol w:w="598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blHeader/>
          <w:jc w:val="center"/>
        </w:trPr>
        <w:tc>
          <w:tcPr>
            <w:tcW w:w="697"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序号</w:t>
            </w:r>
          </w:p>
        </w:tc>
        <w:tc>
          <w:tcPr>
            <w:tcW w:w="2277"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产品单元</w:t>
            </w:r>
          </w:p>
        </w:tc>
        <w:tc>
          <w:tcPr>
            <w:tcW w:w="2268"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产品名称</w:t>
            </w:r>
          </w:p>
        </w:tc>
        <w:tc>
          <w:tcPr>
            <w:tcW w:w="2544"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szCs w:val="21"/>
              </w:rPr>
              <w:t>标准名称</w:t>
            </w:r>
          </w:p>
        </w:tc>
        <w:tc>
          <w:tcPr>
            <w:tcW w:w="5985"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检验项目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p>
        </w:tc>
        <w:tc>
          <w:tcPr>
            <w:tcW w:w="2277" w:type="dxa"/>
            <w:vMerge w:val="restart"/>
            <w:tcBorders>
              <w:tl2br w:val="nil"/>
              <w:tr2bl w:val="nil"/>
            </w:tcBorders>
            <w:vAlign w:val="center"/>
          </w:tcPr>
          <w:p>
            <w:pPr>
              <w:spacing w:before="72" w:beforeLines="30" w:line="280" w:lineRule="exact"/>
              <w:jc w:val="center"/>
              <w:rPr>
                <w:rFonts w:ascii="宋体" w:hAnsi="宋体"/>
              </w:rPr>
            </w:pPr>
            <w:r>
              <w:rPr>
                <w:rFonts w:hint="eastAsia" w:ascii="宋体" w:hAnsi="宋体"/>
              </w:rPr>
              <w:t>复合肥料</w:t>
            </w: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复合肥料</w:t>
            </w:r>
          </w:p>
        </w:tc>
        <w:tc>
          <w:tcPr>
            <w:tcW w:w="2544" w:type="dxa"/>
            <w:tcBorders>
              <w:tl2br w:val="nil"/>
              <w:tr2bl w:val="nil"/>
            </w:tcBorders>
            <w:vAlign w:val="center"/>
          </w:tcPr>
          <w:p>
            <w:pPr>
              <w:spacing w:before="72" w:beforeLines="30" w:line="280" w:lineRule="exact"/>
              <w:jc w:val="center"/>
              <w:rPr>
                <w:rFonts w:ascii="宋体" w:hAnsi="宋体"/>
              </w:rPr>
            </w:pPr>
            <w:r>
              <w:rPr>
                <w:rFonts w:hint="eastAsia" w:ascii="宋体" w:hAnsi="宋体" w:cs="宋体"/>
                <w:color w:val="000000" w:themeColor="text1"/>
                <w:szCs w:val="21"/>
                <w14:textFill>
                  <w14:solidFill>
                    <w14:schemeClr w14:val="tx1"/>
                  </w14:solidFill>
                </w14:textFill>
              </w:rPr>
              <w:t>GB/T 15063-2009</w:t>
            </w:r>
            <w:r>
              <w:rPr>
                <w:rFonts w:hint="eastAsia" w:ascii="宋体" w:hAnsi="宋体" w:cs="宋体"/>
                <w:bCs/>
                <w:color w:val="000000" w:themeColor="text1"/>
                <w:szCs w:val="21"/>
                <w14:textFill>
                  <w14:solidFill>
                    <w14:schemeClr w14:val="tx1"/>
                  </w14:solidFill>
                </w14:textFill>
              </w:rPr>
              <w:t>复混肥料(复合肥料)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总养分(N＋P</w:t>
            </w:r>
            <w:r>
              <w:rPr>
                <w:rFonts w:hint="eastAsia" w:ascii="宋体" w:hAnsi="宋体"/>
                <w:vertAlign w:val="subscript"/>
              </w:rPr>
              <w:t>2</w:t>
            </w:r>
            <w:r>
              <w:rPr>
                <w:rFonts w:hint="eastAsia" w:ascii="宋体" w:hAnsi="宋体"/>
              </w:rPr>
              <w:t>O</w:t>
            </w:r>
            <w:r>
              <w:rPr>
                <w:rFonts w:hint="eastAsia" w:ascii="宋体" w:hAnsi="宋体"/>
                <w:vertAlign w:val="subscript"/>
              </w:rPr>
              <w:t>5</w:t>
            </w:r>
            <w:r>
              <w:rPr>
                <w:rFonts w:hint="eastAsia" w:ascii="宋体" w:hAnsi="宋体"/>
              </w:rPr>
              <w:t>＋K</w:t>
            </w:r>
            <w:r>
              <w:rPr>
                <w:rFonts w:hint="eastAsia" w:ascii="宋体" w:hAnsi="宋体"/>
                <w:vertAlign w:val="subscript"/>
              </w:rPr>
              <w:t>2</w:t>
            </w:r>
            <w:r>
              <w:rPr>
                <w:rFonts w:hint="eastAsia" w:ascii="宋体" w:hAnsi="宋体"/>
              </w:rPr>
              <w:t>O)的质量分数</w:t>
            </w:r>
            <w:r>
              <w:rPr>
                <w:rFonts w:hint="eastAsia" w:ascii="宋体" w:hAnsi="宋体"/>
                <w:vertAlign w:val="superscript"/>
              </w:rPr>
              <w:t>1</w:t>
            </w:r>
            <w:r>
              <w:rPr>
                <w:rFonts w:hint="eastAsia" w:ascii="宋体" w:hAnsi="宋体"/>
              </w:rPr>
              <w:t>、水溶性磷占有效磷百分率</w:t>
            </w:r>
            <w:r>
              <w:rPr>
                <w:rFonts w:hint="eastAsia" w:ascii="宋体" w:hAnsi="宋体"/>
                <w:vertAlign w:val="superscript"/>
              </w:rPr>
              <w:t>2</w:t>
            </w:r>
            <w:r>
              <w:rPr>
                <w:rFonts w:hint="eastAsia" w:ascii="宋体" w:hAnsi="宋体"/>
              </w:rPr>
              <w:t>、</w:t>
            </w:r>
          </w:p>
          <w:p>
            <w:pPr>
              <w:spacing w:before="72" w:beforeLines="30" w:line="280" w:lineRule="exact"/>
              <w:rPr>
                <w:rFonts w:ascii="宋体" w:hAnsi="宋体"/>
              </w:rPr>
            </w:pPr>
            <w:r>
              <w:rPr>
                <w:rFonts w:hint="eastAsia" w:ascii="宋体" w:hAnsi="宋体"/>
              </w:rPr>
              <w:t>氯离子的质量分数</w:t>
            </w:r>
            <w:r>
              <w:rPr>
                <w:rFonts w:hint="eastAsia" w:ascii="宋体" w:hAnsi="宋体"/>
                <w:vertAlign w:val="superscript"/>
              </w:rPr>
              <w:t>3</w:t>
            </w:r>
            <w:r>
              <w:rPr>
                <w:rFonts w:hint="eastAsia" w:ascii="宋体" w:hAnsi="宋体"/>
              </w:rPr>
              <w:t>、缩二脲的质量分数</w:t>
            </w:r>
            <w:r>
              <w:rPr>
                <w:rFonts w:hint="eastAsia" w:ascii="宋体" w:hAnsi="宋体"/>
                <w:vertAlign w:val="superscript"/>
              </w:rPr>
              <w:t>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hint="eastAsia" w:ascii="宋体" w:hAnsi="宋体"/>
              </w:rPr>
              <w:t>2</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硝基复合肥料</w:t>
            </w:r>
          </w:p>
        </w:tc>
        <w:tc>
          <w:tcPr>
            <w:tcW w:w="2544" w:type="dxa"/>
            <w:tcBorders>
              <w:tl2br w:val="nil"/>
              <w:tr2bl w:val="nil"/>
            </w:tcBorders>
            <w:vAlign w:val="center"/>
          </w:tcPr>
          <w:p>
            <w:pPr>
              <w:spacing w:before="72" w:beforeLines="30" w:line="2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HG/T 4851-2016 硝基复合肥料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总养分（N＋P</w:t>
            </w:r>
            <w:r>
              <w:rPr>
                <w:rFonts w:hint="eastAsia" w:ascii="宋体" w:hAnsi="宋体"/>
                <w:vertAlign w:val="subscript"/>
              </w:rPr>
              <w:t>2</w:t>
            </w:r>
            <w:r>
              <w:rPr>
                <w:rFonts w:hint="eastAsia" w:ascii="宋体" w:hAnsi="宋体"/>
              </w:rPr>
              <w:t>O</w:t>
            </w:r>
            <w:r>
              <w:rPr>
                <w:rFonts w:hint="eastAsia" w:ascii="宋体" w:hAnsi="宋体"/>
                <w:vertAlign w:val="subscript"/>
              </w:rPr>
              <w:t>5</w:t>
            </w:r>
            <w:r>
              <w:rPr>
                <w:rFonts w:hint="eastAsia" w:ascii="宋体" w:hAnsi="宋体"/>
              </w:rPr>
              <w:t>＋K</w:t>
            </w:r>
            <w:r>
              <w:rPr>
                <w:rFonts w:hint="eastAsia" w:ascii="宋体" w:hAnsi="宋体"/>
                <w:vertAlign w:val="subscript"/>
              </w:rPr>
              <w:t>2</w:t>
            </w:r>
            <w:r>
              <w:rPr>
                <w:rFonts w:hint="eastAsia" w:ascii="宋体" w:hAnsi="宋体"/>
              </w:rPr>
              <w:t>O）的质量分数</w:t>
            </w:r>
            <w:r>
              <w:rPr>
                <w:rFonts w:hint="eastAsia" w:ascii="宋体" w:hAnsi="宋体"/>
                <w:vertAlign w:val="superscript"/>
              </w:rPr>
              <w:t>1</w:t>
            </w:r>
            <w:r>
              <w:rPr>
                <w:rFonts w:hint="eastAsia" w:ascii="宋体" w:hAnsi="宋体"/>
              </w:rPr>
              <w:t>、硝态氮（NO</w:t>
            </w:r>
            <w:r>
              <w:rPr>
                <w:rFonts w:hint="eastAsia" w:ascii="宋体" w:hAnsi="宋体"/>
                <w:vertAlign w:val="subscript"/>
              </w:rPr>
              <w:t>3</w:t>
            </w:r>
            <w:r>
              <w:rPr>
                <w:rFonts w:hint="eastAsia" w:ascii="宋体" w:hAnsi="宋体"/>
              </w:rPr>
              <w:t>--N）的质量分数、水溶性磷占有效磷百分率</w:t>
            </w:r>
            <w:r>
              <w:rPr>
                <w:rFonts w:hint="eastAsia" w:ascii="宋体" w:hAnsi="宋体"/>
                <w:vertAlign w:val="superscript"/>
              </w:rPr>
              <w:t>2</w:t>
            </w:r>
            <w:r>
              <w:rPr>
                <w:rFonts w:hint="eastAsia" w:ascii="宋体" w:hAnsi="宋体"/>
              </w:rPr>
              <w:t>、氯离子的质量分数</w:t>
            </w:r>
            <w:r>
              <w:rPr>
                <w:rFonts w:hint="eastAsia" w:ascii="宋体" w:hAnsi="宋体"/>
                <w:vertAlign w:val="superscript"/>
              </w:rPr>
              <w:t>3</w:t>
            </w:r>
            <w:r>
              <w:rPr>
                <w:rFonts w:hint="eastAsia" w:ascii="宋体" w:hAnsi="宋体"/>
              </w:rPr>
              <w:t xml:space="preserve">、硫（S）的质量分数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ascii="宋体" w:hAnsi="宋体"/>
                <w:szCs w:val="21"/>
              </w:rPr>
              <w:t>3</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缓释复合肥料</w:t>
            </w:r>
          </w:p>
        </w:tc>
        <w:tc>
          <w:tcPr>
            <w:tcW w:w="2544" w:type="dxa"/>
            <w:tcBorders>
              <w:tl2br w:val="nil"/>
              <w:tr2bl w:val="nil"/>
            </w:tcBorders>
            <w:vAlign w:val="center"/>
          </w:tcPr>
          <w:p>
            <w:pPr>
              <w:spacing w:before="72" w:beforeLines="30" w:line="280" w:lineRule="exact"/>
              <w:jc w:val="center"/>
              <w:rPr>
                <w:rFonts w:ascii="宋体" w:hAnsi="宋体"/>
              </w:rPr>
            </w:pPr>
            <w:r>
              <w:rPr>
                <w:rFonts w:hint="eastAsia" w:ascii="宋体" w:hAnsi="宋体" w:cs="宋体"/>
                <w:bCs/>
                <w:color w:val="000000" w:themeColor="text1"/>
                <w:szCs w:val="21"/>
                <w14:textFill>
                  <w14:solidFill>
                    <w14:schemeClr w14:val="tx1"/>
                  </w14:solidFill>
                </w14:textFill>
              </w:rPr>
              <w:t>GB/T 23348-2009 缓释肥料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总养分（N＋P</w:t>
            </w:r>
            <w:r>
              <w:rPr>
                <w:rFonts w:hint="eastAsia" w:ascii="宋体" w:hAnsi="宋体"/>
                <w:vertAlign w:val="subscript"/>
              </w:rPr>
              <w:t>2</w:t>
            </w:r>
            <w:r>
              <w:rPr>
                <w:rFonts w:hint="eastAsia" w:ascii="宋体" w:hAnsi="宋体"/>
              </w:rPr>
              <w:t>O</w:t>
            </w:r>
            <w:r>
              <w:rPr>
                <w:rFonts w:hint="eastAsia" w:ascii="宋体" w:hAnsi="宋体"/>
                <w:vertAlign w:val="subscript"/>
              </w:rPr>
              <w:t>5</w:t>
            </w:r>
            <w:r>
              <w:rPr>
                <w:rFonts w:hint="eastAsia" w:ascii="宋体" w:hAnsi="宋体"/>
              </w:rPr>
              <w:t>＋K</w:t>
            </w:r>
            <w:r>
              <w:rPr>
                <w:rFonts w:hint="eastAsia" w:ascii="宋体" w:hAnsi="宋体"/>
                <w:vertAlign w:val="subscript"/>
              </w:rPr>
              <w:t>2</w:t>
            </w:r>
            <w:r>
              <w:rPr>
                <w:rFonts w:hint="eastAsia" w:ascii="宋体" w:hAnsi="宋体"/>
              </w:rPr>
              <w:t>O）</w:t>
            </w:r>
            <w:r>
              <w:rPr>
                <w:rFonts w:ascii="宋体" w:hAnsi="宋体"/>
                <w:vertAlign w:val="superscript"/>
              </w:rPr>
              <w:t>1</w:t>
            </w:r>
            <w:r>
              <w:rPr>
                <w:rFonts w:hint="eastAsia" w:ascii="宋体" w:hAnsi="宋体"/>
              </w:rPr>
              <w:t>的质量分数、水溶性磷占有效磷的质量分数</w:t>
            </w:r>
            <w:r>
              <w:rPr>
                <w:rFonts w:hint="eastAsia" w:ascii="宋体" w:hAnsi="宋体"/>
                <w:vertAlign w:val="superscript"/>
              </w:rPr>
              <w:t>5</w:t>
            </w:r>
            <w:r>
              <w:rPr>
                <w:rFonts w:hint="eastAsia" w:ascii="宋体" w:hAnsi="宋体"/>
              </w:rPr>
              <w:t>、初期养分释放率</w:t>
            </w:r>
            <w:r>
              <w:rPr>
                <w:rFonts w:hint="eastAsia" w:ascii="宋体" w:hAnsi="宋体"/>
                <w:vertAlign w:val="superscript"/>
              </w:rPr>
              <w:t>6</w:t>
            </w:r>
            <w:r>
              <w:rPr>
                <w:rFonts w:hint="eastAsia" w:ascii="宋体" w:hAnsi="宋体"/>
              </w:rPr>
              <w:t>、28天累积养分释放率（</w:t>
            </w:r>
            <w:r>
              <w:rPr>
                <w:rFonts w:hint="eastAsia" w:ascii="宋体" w:hAnsi="宋体" w:cs="宋体"/>
                <w:color w:val="000000" w:themeColor="text1"/>
                <w:szCs w:val="21"/>
                <w14:textFill>
                  <w14:solidFill>
                    <w14:schemeClr w14:val="tx1"/>
                  </w14:solidFill>
                </w14:textFill>
              </w:rPr>
              <w:t>缓释肥料产品同时应符合其核芯肥料标准和包装标明值的要求</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ascii="宋体" w:hAnsi="宋体"/>
                <w:szCs w:val="21"/>
              </w:rPr>
              <w:t>4</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控释复合肥料</w:t>
            </w:r>
          </w:p>
        </w:tc>
        <w:tc>
          <w:tcPr>
            <w:tcW w:w="2544" w:type="dxa"/>
            <w:tcBorders>
              <w:tl2br w:val="nil"/>
              <w:tr2bl w:val="nil"/>
            </w:tcBorders>
            <w:vAlign w:val="center"/>
          </w:tcPr>
          <w:p>
            <w:pPr>
              <w:spacing w:before="72" w:beforeLines="30" w:line="280" w:lineRule="exact"/>
              <w:jc w:val="center"/>
              <w:rPr>
                <w:rFonts w:ascii="宋体" w:hAnsi="宋体"/>
              </w:rPr>
            </w:pPr>
            <w:r>
              <w:rPr>
                <w:rFonts w:hint="eastAsia" w:ascii="宋体" w:hAnsi="宋体" w:cs="宋体"/>
                <w:bCs/>
                <w:color w:val="000000" w:themeColor="text1"/>
                <w:szCs w:val="21"/>
                <w14:textFill>
                  <w14:solidFill>
                    <w14:schemeClr w14:val="tx1"/>
                  </w14:solidFill>
                </w14:textFill>
              </w:rPr>
              <w:t>HG/T 4215-2011 控释肥料</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ascii="宋体" w:hAnsi="宋体"/>
              </w:rPr>
              <w:t>总养分（N＋P</w:t>
            </w:r>
            <w:r>
              <w:rPr>
                <w:rFonts w:hint="eastAsia" w:ascii="宋体" w:hAnsi="宋体"/>
                <w:vertAlign w:val="subscript"/>
              </w:rPr>
              <w:t>2</w:t>
            </w:r>
            <w:r>
              <w:rPr>
                <w:rFonts w:hint="eastAsia" w:ascii="宋体" w:hAnsi="宋体"/>
              </w:rPr>
              <w:t>O</w:t>
            </w:r>
            <w:r>
              <w:rPr>
                <w:rFonts w:hint="eastAsia" w:ascii="宋体" w:hAnsi="宋体"/>
                <w:vertAlign w:val="subscript"/>
              </w:rPr>
              <w:t>5</w:t>
            </w:r>
            <w:r>
              <w:rPr>
                <w:rFonts w:hint="eastAsia" w:ascii="宋体" w:hAnsi="宋体"/>
              </w:rPr>
              <w:t>＋K</w:t>
            </w:r>
            <w:r>
              <w:rPr>
                <w:rFonts w:hint="eastAsia" w:ascii="宋体" w:hAnsi="宋体"/>
                <w:vertAlign w:val="subscript"/>
              </w:rPr>
              <w:t>2</w:t>
            </w:r>
            <w:r>
              <w:rPr>
                <w:rFonts w:hint="eastAsia" w:ascii="宋体" w:hAnsi="宋体"/>
              </w:rPr>
              <w:t>O）的质量分数、水溶性磷占有效磷的质量分数</w:t>
            </w:r>
            <w:r>
              <w:rPr>
                <w:rFonts w:hint="eastAsia" w:ascii="宋体" w:hAnsi="宋体"/>
                <w:vertAlign w:val="superscript"/>
              </w:rPr>
              <w:t>7</w:t>
            </w:r>
            <w:r>
              <w:rPr>
                <w:rFonts w:hint="eastAsia" w:ascii="宋体" w:hAnsi="宋体"/>
              </w:rPr>
              <w:t>、初期养分释放率、28天累积养分释放率（控</w:t>
            </w:r>
            <w:r>
              <w:rPr>
                <w:rFonts w:hint="eastAsia" w:ascii="宋体" w:hAnsi="宋体" w:cs="宋体"/>
                <w:color w:val="000000" w:themeColor="text1"/>
                <w:szCs w:val="21"/>
                <w14:textFill>
                  <w14:solidFill>
                    <w14:schemeClr w14:val="tx1"/>
                  </w14:solidFill>
                </w14:textFill>
              </w:rPr>
              <w:t>释肥料同时应符合其核芯肥料标准和包装标明值的要求</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5</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硫包衣缓释复合肥料</w:t>
            </w:r>
          </w:p>
        </w:tc>
        <w:tc>
          <w:tcPr>
            <w:tcW w:w="2544" w:type="dxa"/>
            <w:tcBorders>
              <w:tl2br w:val="nil"/>
              <w:tr2bl w:val="nil"/>
            </w:tcBorders>
            <w:vAlign w:val="center"/>
          </w:tcPr>
          <w:p>
            <w:pPr>
              <w:spacing w:before="72" w:beforeLines="30" w:line="280" w:lineRule="exact"/>
              <w:jc w:val="center"/>
              <w:rPr>
                <w:rFonts w:ascii="宋体" w:hAnsi="宋体"/>
              </w:rPr>
            </w:pPr>
            <w:r>
              <w:rPr>
                <w:rFonts w:hint="eastAsia" w:ascii="宋体" w:hAnsi="宋体" w:cs="宋体"/>
                <w:bCs/>
                <w:color w:val="000000" w:themeColor="text1"/>
                <w:szCs w:val="21"/>
                <w14:textFill>
                  <w14:solidFill>
                    <w14:schemeClr w14:val="tx1"/>
                  </w14:solidFill>
                </w14:textFill>
              </w:rPr>
              <w:t>GB/T 29401-2012 硫包衣尿素</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缓释氮养分量、中量元素单一养分的质量分数</w:t>
            </w:r>
            <w:r>
              <w:rPr>
                <w:rFonts w:hint="eastAsia" w:ascii="宋体" w:hAnsi="宋体"/>
                <w:vertAlign w:val="superscript"/>
              </w:rPr>
              <w:t>8</w:t>
            </w:r>
            <w:r>
              <w:rPr>
                <w:rFonts w:hint="eastAsia" w:ascii="宋体" w:hAnsi="宋体"/>
              </w:rPr>
              <w:t>、微量元素单一养分的质量分数</w:t>
            </w:r>
            <w:r>
              <w:rPr>
                <w:rFonts w:hint="eastAsia" w:ascii="宋体" w:hAnsi="宋体"/>
                <w:vertAlign w:val="superscript"/>
              </w:rPr>
              <w:t>9</w:t>
            </w:r>
            <w:r>
              <w:rPr>
                <w:rFonts w:hint="eastAsia" w:ascii="宋体" w:hAnsi="宋体"/>
              </w:rPr>
              <w:t>（硫包衣</w:t>
            </w:r>
            <w:r>
              <w:rPr>
                <w:rFonts w:hint="eastAsia" w:ascii="宋体" w:hAnsi="宋体" w:cs="宋体"/>
                <w:color w:val="000000" w:themeColor="text1"/>
                <w:szCs w:val="21"/>
                <w14:textFill>
                  <w14:solidFill>
                    <w14:schemeClr w14:val="tx1"/>
                  </w14:solidFill>
                </w14:textFill>
              </w:rPr>
              <w:t>缓释肥料同时应符合其核芯肥料标准和包装标明值的要求</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ascii="宋体" w:hAnsi="宋体"/>
                <w:szCs w:val="21"/>
              </w:rPr>
              <w:t>6</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脲醛缓释复合肥料</w:t>
            </w:r>
          </w:p>
        </w:tc>
        <w:tc>
          <w:tcPr>
            <w:tcW w:w="2544" w:type="dxa"/>
            <w:tcBorders>
              <w:tl2br w:val="nil"/>
              <w:tr2bl w:val="nil"/>
            </w:tcBorders>
            <w:vAlign w:val="center"/>
          </w:tcPr>
          <w:p>
            <w:pPr>
              <w:spacing w:before="72" w:beforeLines="30" w:line="280" w:lineRule="exact"/>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GB/T 34763-2017 脲醛缓释肥料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缓释有效氮的质量分数(脲醛缓释复合肥料以脲醛氮UFN计.脲醛缓释掺混肥料以冷水不溶性氮CWIN计)、中量元素单一养分的质量分数</w:t>
            </w:r>
            <w:r>
              <w:rPr>
                <w:rFonts w:hint="eastAsia" w:ascii="宋体" w:hAnsi="宋体"/>
                <w:vertAlign w:val="superscript"/>
              </w:rPr>
              <w:t>8</w:t>
            </w:r>
            <w:r>
              <w:rPr>
                <w:rFonts w:hint="eastAsia" w:ascii="宋体" w:hAnsi="宋体"/>
              </w:rPr>
              <w:t>、微量元素单一养分的质量分数</w:t>
            </w:r>
            <w:r>
              <w:rPr>
                <w:rFonts w:hint="eastAsia" w:ascii="宋体" w:hAnsi="宋体"/>
                <w:vertAlign w:val="superscript"/>
              </w:rPr>
              <w:t>9</w:t>
            </w:r>
            <w:r>
              <w:rPr>
                <w:rFonts w:hint="eastAsia" w:ascii="宋体" w:hAnsi="宋体"/>
              </w:rPr>
              <w:t>（脲醛</w:t>
            </w:r>
            <w:r>
              <w:rPr>
                <w:rFonts w:hint="eastAsia" w:ascii="宋体" w:hAnsi="宋体" w:cs="宋体"/>
                <w:color w:val="000000" w:themeColor="text1"/>
                <w:szCs w:val="21"/>
                <w14:textFill>
                  <w14:solidFill>
                    <w14:schemeClr w14:val="tx1"/>
                  </w14:solidFill>
                </w14:textFill>
              </w:rPr>
              <w:t>缓释肥料同时应符合其核芯肥料标准和包装标明值的要求</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7</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稳定性复合肥料</w:t>
            </w:r>
          </w:p>
        </w:tc>
        <w:tc>
          <w:tcPr>
            <w:tcW w:w="2544" w:type="dxa"/>
            <w:tcBorders>
              <w:tl2br w:val="nil"/>
              <w:tr2bl w:val="nil"/>
            </w:tcBorders>
            <w:vAlign w:val="center"/>
          </w:tcPr>
          <w:p>
            <w:pPr>
              <w:spacing w:before="72" w:beforeLines="30" w:line="280" w:lineRule="exact"/>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GB/T 35113-2017 稳定性肥料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cs="宋体"/>
                <w:color w:val="000000" w:themeColor="text1"/>
                <w:szCs w:val="21"/>
                <w14:textFill>
                  <w14:solidFill>
                    <w14:schemeClr w14:val="tx1"/>
                  </w14:solidFill>
                </w14:textFill>
              </w:rPr>
              <w:t>尿素残留差异率、硝化抑制率</w:t>
            </w:r>
            <w:r>
              <w:rPr>
                <w:rFonts w:hint="eastAsia" w:ascii="宋体" w:hAnsi="宋体"/>
              </w:rPr>
              <w:t>（稳定性</w:t>
            </w:r>
            <w:r>
              <w:rPr>
                <w:rFonts w:hint="eastAsia" w:ascii="宋体" w:hAnsi="宋体" w:cs="宋体"/>
                <w:color w:val="000000" w:themeColor="text1"/>
                <w:szCs w:val="21"/>
                <w14:textFill>
                  <w14:solidFill>
                    <w14:schemeClr w14:val="tx1"/>
                  </w14:solidFill>
                </w14:textFill>
              </w:rPr>
              <w:t>肥料同时应符合其核芯肥料标准和包装标明值的要求</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881" w:hRule="atLeast"/>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ascii="宋体" w:hAnsi="宋体"/>
                <w:szCs w:val="21"/>
              </w:rPr>
              <w:t>8</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无机包裹型复合肥料</w:t>
            </w:r>
          </w:p>
        </w:tc>
        <w:tc>
          <w:tcPr>
            <w:tcW w:w="2544"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HG/T 4217-2011 无机包裹型复混肥料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总养分（N＋P</w:t>
            </w:r>
            <w:r>
              <w:rPr>
                <w:rFonts w:hint="eastAsia" w:ascii="宋体" w:hAnsi="宋体"/>
                <w:vertAlign w:val="subscript"/>
              </w:rPr>
              <w:t>2</w:t>
            </w:r>
            <w:r>
              <w:rPr>
                <w:rFonts w:hint="eastAsia" w:ascii="宋体" w:hAnsi="宋体"/>
              </w:rPr>
              <w:t>O</w:t>
            </w:r>
            <w:r>
              <w:rPr>
                <w:rFonts w:hint="eastAsia" w:ascii="宋体" w:hAnsi="宋体"/>
                <w:vertAlign w:val="subscript"/>
              </w:rPr>
              <w:t>5</w:t>
            </w:r>
            <w:r>
              <w:rPr>
                <w:rFonts w:hint="eastAsia" w:ascii="宋体" w:hAnsi="宋体"/>
              </w:rPr>
              <w:t>＋K</w:t>
            </w:r>
            <w:r>
              <w:rPr>
                <w:rFonts w:hint="eastAsia" w:ascii="宋体" w:hAnsi="宋体"/>
                <w:vertAlign w:val="subscript"/>
              </w:rPr>
              <w:t>2</w:t>
            </w:r>
            <w:r>
              <w:rPr>
                <w:rFonts w:hint="eastAsia" w:ascii="宋体" w:hAnsi="宋体"/>
              </w:rPr>
              <w:t>O）</w:t>
            </w:r>
            <w:r>
              <w:rPr>
                <w:rFonts w:hint="eastAsia" w:ascii="宋体" w:hAnsi="宋体"/>
                <w:vertAlign w:val="superscript"/>
              </w:rPr>
              <w:t>1</w:t>
            </w:r>
            <w:r>
              <w:rPr>
                <w:rFonts w:hint="eastAsia" w:ascii="宋体" w:hAnsi="宋体"/>
              </w:rPr>
              <w:t>质量分数、核心包裹率、缓释氮占总氮的质量分数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ascii="宋体" w:hAnsi="宋体"/>
                <w:szCs w:val="21"/>
              </w:rPr>
              <w:t>9</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腐植酸复合肥料</w:t>
            </w:r>
          </w:p>
        </w:tc>
        <w:tc>
          <w:tcPr>
            <w:tcW w:w="2544" w:type="dxa"/>
            <w:tcBorders>
              <w:tl2br w:val="nil"/>
              <w:tr2bl w:val="nil"/>
            </w:tcBorders>
            <w:vAlign w:val="center"/>
          </w:tcPr>
          <w:p>
            <w:pPr>
              <w:spacing w:before="72" w:beforeLines="30" w:line="2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HG/T 5046-2016 腐植酸复合肥料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总养分（N＋P</w:t>
            </w:r>
            <w:r>
              <w:rPr>
                <w:rFonts w:hint="eastAsia" w:ascii="宋体" w:hAnsi="宋体"/>
                <w:vertAlign w:val="subscript"/>
              </w:rPr>
              <w:t>2</w:t>
            </w:r>
            <w:r>
              <w:rPr>
                <w:rFonts w:hint="eastAsia" w:ascii="宋体" w:hAnsi="宋体"/>
              </w:rPr>
              <w:t>O</w:t>
            </w:r>
            <w:r>
              <w:rPr>
                <w:rFonts w:hint="eastAsia" w:ascii="宋体" w:hAnsi="宋体"/>
                <w:vertAlign w:val="subscript"/>
              </w:rPr>
              <w:t>5</w:t>
            </w:r>
            <w:r>
              <w:rPr>
                <w:rFonts w:hint="eastAsia" w:ascii="宋体" w:hAnsi="宋体"/>
              </w:rPr>
              <w:t>＋K</w:t>
            </w:r>
            <w:r>
              <w:rPr>
                <w:rFonts w:hint="eastAsia" w:ascii="宋体" w:hAnsi="宋体"/>
                <w:vertAlign w:val="subscript"/>
              </w:rPr>
              <w:t>2</w:t>
            </w:r>
            <w:r>
              <w:rPr>
                <w:rFonts w:hint="eastAsia" w:ascii="宋体" w:hAnsi="宋体"/>
              </w:rPr>
              <w:t>O）</w:t>
            </w:r>
            <w:r>
              <w:rPr>
                <w:rFonts w:hint="eastAsia" w:ascii="宋体" w:hAnsi="宋体"/>
                <w:vertAlign w:val="superscript"/>
              </w:rPr>
              <w:t>1</w:t>
            </w:r>
            <w:r>
              <w:rPr>
                <w:rFonts w:hint="eastAsia" w:ascii="宋体" w:hAnsi="宋体"/>
              </w:rPr>
              <w:t>的质量分数、水溶性磷占有效磷百分率</w:t>
            </w:r>
            <w:r>
              <w:rPr>
                <w:rFonts w:ascii="宋体" w:hAnsi="宋体"/>
                <w:vertAlign w:val="superscript"/>
              </w:rPr>
              <w:t>5</w:t>
            </w:r>
            <w:r>
              <w:rPr>
                <w:rFonts w:hint="eastAsia" w:ascii="宋体" w:hAnsi="宋体"/>
              </w:rPr>
              <w:t>、氯离子的质量分数</w:t>
            </w:r>
            <w:r>
              <w:rPr>
                <w:rFonts w:ascii="宋体" w:hAnsi="宋体"/>
                <w:vertAlign w:val="superscript"/>
              </w:rPr>
              <w:t>3</w:t>
            </w:r>
            <w:r>
              <w:rPr>
                <w:rFonts w:hint="eastAsia" w:ascii="宋体" w:hAnsi="宋体"/>
              </w:rPr>
              <w:t>、活化腐植酸含量、总腐植酸含量、砷.镉.铅.铬.汞</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10</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海藻酸复合肥料</w:t>
            </w:r>
          </w:p>
        </w:tc>
        <w:tc>
          <w:tcPr>
            <w:tcW w:w="2544" w:type="dxa"/>
            <w:tcBorders>
              <w:tl2br w:val="nil"/>
              <w:tr2bl w:val="nil"/>
            </w:tcBorders>
            <w:vAlign w:val="center"/>
          </w:tcPr>
          <w:p>
            <w:pPr>
              <w:spacing w:before="72" w:beforeLines="30" w:line="2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HG/T 5050-2016海藻酸类肥料</w:t>
            </w:r>
          </w:p>
        </w:tc>
        <w:tc>
          <w:tcPr>
            <w:tcW w:w="5985" w:type="dxa"/>
            <w:tcBorders>
              <w:tl2br w:val="nil"/>
              <w:tr2bl w:val="nil"/>
            </w:tcBorders>
            <w:vAlign w:val="center"/>
          </w:tcPr>
          <w:p>
            <w:pPr>
              <w:spacing w:before="72" w:beforeLines="30" w:line="28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海藻酸的质量分数（同时应符合GB/T 15063-2009复混肥料(复合肥料) 标准和包装标明值的要求）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op w:val="single" w:color="auto" w:sz="4" w:space="0"/>
              <w:tl2br w:val="nil"/>
              <w:tr2bl w:val="nil"/>
            </w:tcBorders>
            <w:vAlign w:val="center"/>
          </w:tcPr>
          <w:p>
            <w:pPr>
              <w:widowControl/>
              <w:spacing w:before="72" w:beforeLines="30" w:line="280" w:lineRule="exact"/>
              <w:jc w:val="center"/>
              <w:rPr>
                <w:rFonts w:ascii="宋体" w:hAnsi="宋体"/>
                <w:szCs w:val="21"/>
              </w:rPr>
            </w:pPr>
            <w:r>
              <w:rPr>
                <w:rFonts w:ascii="宋体" w:hAnsi="宋体"/>
                <w:szCs w:val="21"/>
              </w:rPr>
              <w:t>11</w:t>
            </w:r>
          </w:p>
        </w:tc>
        <w:tc>
          <w:tcPr>
            <w:tcW w:w="2277" w:type="dxa"/>
            <w:vMerge w:val="restart"/>
            <w:tcBorders>
              <w:top w:val="single" w:color="auto" w:sz="4" w:space="0"/>
              <w:tl2br w:val="nil"/>
              <w:tr2bl w:val="nil"/>
            </w:tcBorders>
            <w:vAlign w:val="center"/>
          </w:tcPr>
          <w:p>
            <w:pPr>
              <w:widowControl/>
              <w:spacing w:before="72" w:beforeLines="30" w:line="280" w:lineRule="exact"/>
              <w:jc w:val="center"/>
              <w:rPr>
                <w:rFonts w:ascii="宋体" w:hAnsi="宋体"/>
              </w:rPr>
            </w:pPr>
            <w:r>
              <w:rPr>
                <w:rFonts w:hint="eastAsia" w:ascii="宋体" w:hAnsi="宋体"/>
              </w:rPr>
              <w:t>掺混肥料</w:t>
            </w: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掺混肥料</w:t>
            </w:r>
          </w:p>
        </w:tc>
        <w:tc>
          <w:tcPr>
            <w:tcW w:w="2544" w:type="dxa"/>
            <w:tcBorders>
              <w:tl2br w:val="nil"/>
              <w:tr2bl w:val="nil"/>
            </w:tcBorders>
            <w:vAlign w:val="center"/>
          </w:tcPr>
          <w:p>
            <w:pPr>
              <w:spacing w:before="72" w:beforeLines="30" w:line="280" w:lineRule="exact"/>
              <w:jc w:val="center"/>
              <w:rPr>
                <w:rFonts w:ascii="宋体" w:hAnsi="宋体"/>
                <w:szCs w:val="21"/>
              </w:rPr>
            </w:pPr>
            <w:r>
              <w:rPr>
                <w:rFonts w:hint="eastAsia" w:ascii="宋体" w:hAnsi="宋体" w:cs="宋体"/>
                <w:color w:val="000000" w:themeColor="text1"/>
                <w:szCs w:val="21"/>
                <w14:textFill>
                  <w14:solidFill>
                    <w14:schemeClr w14:val="tx1"/>
                  </w14:solidFill>
                </w14:textFill>
              </w:rPr>
              <w:t>GB/T 21633-2008 掺混肥料(BB肥)</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养分（N＋P</w:t>
            </w:r>
            <w:r>
              <w:rPr>
                <w:rFonts w:hint="eastAsia" w:ascii="宋体" w:hAnsi="宋体"/>
                <w:vertAlign w:val="subscript"/>
              </w:rPr>
              <w:t>2</w:t>
            </w:r>
            <w:r>
              <w:rPr>
                <w:rFonts w:hint="eastAsia" w:ascii="宋体" w:hAnsi="宋体"/>
              </w:rPr>
              <w:t>O</w:t>
            </w:r>
            <w:r>
              <w:rPr>
                <w:rFonts w:hint="eastAsia" w:ascii="宋体" w:hAnsi="宋体"/>
                <w:vertAlign w:val="subscript"/>
              </w:rPr>
              <w:t>5</w:t>
            </w:r>
            <w:r>
              <w:rPr>
                <w:rFonts w:hint="eastAsia" w:ascii="宋体" w:hAnsi="宋体"/>
              </w:rPr>
              <w:t>＋K</w:t>
            </w:r>
            <w:r>
              <w:rPr>
                <w:rFonts w:hint="eastAsia" w:ascii="宋体" w:hAnsi="宋体"/>
                <w:vertAlign w:val="subscript"/>
              </w:rPr>
              <w:t>2</w:t>
            </w:r>
            <w:r>
              <w:rPr>
                <w:rFonts w:hint="eastAsia" w:ascii="宋体" w:hAnsi="宋体"/>
              </w:rPr>
              <w:t>O）质量分数</w:t>
            </w:r>
            <w:r>
              <w:rPr>
                <w:rFonts w:hint="eastAsia" w:ascii="宋体" w:hAnsi="宋体"/>
                <w:vertAlign w:val="superscript"/>
              </w:rPr>
              <w:t>1</w:t>
            </w:r>
            <w:r>
              <w:rPr>
                <w:rFonts w:hint="eastAsia" w:ascii="宋体" w:hAnsi="宋体"/>
              </w:rPr>
              <w:t>、水溶磷占有效磷的百分率</w:t>
            </w:r>
            <w:r>
              <w:rPr>
                <w:rFonts w:hint="eastAsia" w:ascii="宋体" w:hAnsi="宋体"/>
                <w:vertAlign w:val="superscript"/>
              </w:rPr>
              <w:t>10</w:t>
            </w:r>
            <w:r>
              <w:rPr>
                <w:rFonts w:hint="eastAsia" w:ascii="宋体" w:hAnsi="宋体"/>
              </w:rPr>
              <w:t>、氯离子的质量分数</w:t>
            </w:r>
            <w:r>
              <w:rPr>
                <w:rFonts w:hint="eastAsia" w:ascii="宋体" w:hAnsi="宋体"/>
                <w:vertAlign w:val="superscript"/>
              </w:rPr>
              <w:t>11</w:t>
            </w:r>
            <w:r>
              <w:rPr>
                <w:rFonts w:hint="eastAsia" w:ascii="宋体" w:hAnsi="宋体"/>
              </w:rPr>
              <w:t>、中量元素单一养分的质量分数</w:t>
            </w:r>
            <w:r>
              <w:rPr>
                <w:rFonts w:hint="eastAsia" w:ascii="宋体" w:hAnsi="宋体"/>
                <w:vertAlign w:val="superscript"/>
              </w:rPr>
              <w:t>8</w:t>
            </w:r>
            <w:r>
              <w:rPr>
                <w:rFonts w:hint="eastAsia" w:ascii="宋体" w:hAnsi="宋体"/>
              </w:rPr>
              <w:t>、微量元素单一养分的质量分数</w:t>
            </w:r>
            <w:r>
              <w:rPr>
                <w:rFonts w:hint="eastAsia" w:ascii="宋体" w:hAnsi="宋体"/>
                <w:vertAlign w:val="superscript"/>
              </w:rPr>
              <w:t>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ascii="宋体" w:hAnsi="宋体"/>
                <w:szCs w:val="21"/>
              </w:rPr>
              <w:t>12</w:t>
            </w:r>
          </w:p>
        </w:tc>
        <w:tc>
          <w:tcPr>
            <w:tcW w:w="2277" w:type="dxa"/>
            <w:vMerge w:val="continue"/>
            <w:tcBorders>
              <w:tl2br w:val="nil"/>
              <w:tr2bl w:val="nil"/>
            </w:tcBorders>
            <w:vAlign w:val="center"/>
          </w:tcPr>
          <w:p>
            <w:pPr>
              <w:spacing w:before="72" w:beforeLines="30" w:line="280" w:lineRule="exact"/>
              <w:jc w:val="center"/>
              <w:rPr>
                <w:rFonts w:ascii="宋体" w:hAnsi="宋体"/>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缓释掺混肥料</w:t>
            </w:r>
          </w:p>
        </w:tc>
        <w:tc>
          <w:tcPr>
            <w:tcW w:w="2544" w:type="dxa"/>
            <w:tcBorders>
              <w:tl2br w:val="nil"/>
              <w:tr2bl w:val="nil"/>
            </w:tcBorders>
            <w:vAlign w:val="center"/>
          </w:tcPr>
          <w:p>
            <w:pPr>
              <w:spacing w:before="72" w:beforeLines="30" w:line="280" w:lineRule="exact"/>
              <w:jc w:val="center"/>
              <w:rPr>
                <w:rFonts w:ascii="宋体" w:hAnsi="宋体"/>
              </w:rPr>
            </w:pPr>
            <w:r>
              <w:rPr>
                <w:rFonts w:hint="eastAsia" w:ascii="宋体" w:hAnsi="宋体" w:cs="宋体"/>
                <w:bCs/>
                <w:color w:val="000000" w:themeColor="text1"/>
                <w:szCs w:val="21"/>
                <w14:textFill>
                  <w14:solidFill>
                    <w14:schemeClr w14:val="tx1"/>
                  </w14:solidFill>
                </w14:textFill>
              </w:rPr>
              <w:t>GB/T 23348-2009 缓释肥料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缓释养分量、缓释养分28天的累积养分释放率（</w:t>
            </w:r>
            <w:r>
              <w:rPr>
                <w:rFonts w:hint="eastAsia" w:ascii="宋体" w:hAnsi="宋体" w:cs="宋体"/>
                <w:color w:val="000000" w:themeColor="text1"/>
                <w:szCs w:val="21"/>
                <w14:textFill>
                  <w14:solidFill>
                    <w14:schemeClr w14:val="tx1"/>
                  </w14:solidFill>
                </w14:textFill>
              </w:rPr>
              <w:t>部分缓释肥料同时应符合其核芯肥料标准和包装标明值的要求</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13</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控释掺混肥料</w:t>
            </w:r>
          </w:p>
        </w:tc>
        <w:tc>
          <w:tcPr>
            <w:tcW w:w="2544" w:type="dxa"/>
            <w:tcBorders>
              <w:tl2br w:val="nil"/>
              <w:tr2bl w:val="nil"/>
            </w:tcBorders>
            <w:vAlign w:val="center"/>
          </w:tcPr>
          <w:p>
            <w:pPr>
              <w:spacing w:before="72" w:beforeLines="30" w:line="280" w:lineRule="exact"/>
              <w:jc w:val="center"/>
              <w:rPr>
                <w:rFonts w:ascii="宋体" w:hAnsi="宋体"/>
                <w:szCs w:val="21"/>
              </w:rPr>
            </w:pPr>
            <w:r>
              <w:rPr>
                <w:rFonts w:hint="eastAsia" w:ascii="宋体" w:hAnsi="宋体" w:cs="宋体"/>
                <w:bCs/>
                <w:color w:val="000000" w:themeColor="text1"/>
                <w:szCs w:val="21"/>
                <w14:textFill>
                  <w14:solidFill>
                    <w14:schemeClr w14:val="tx1"/>
                  </w14:solidFill>
                </w14:textFill>
              </w:rPr>
              <w:t>HG/T 4215-2011 控释肥料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总养分（N＋P</w:t>
            </w:r>
            <w:r>
              <w:rPr>
                <w:rFonts w:hint="eastAsia" w:ascii="宋体" w:hAnsi="宋体"/>
                <w:vertAlign w:val="subscript"/>
              </w:rPr>
              <w:t>2</w:t>
            </w:r>
            <w:r>
              <w:rPr>
                <w:rFonts w:hint="eastAsia" w:ascii="宋体" w:hAnsi="宋体"/>
              </w:rPr>
              <w:t>O</w:t>
            </w:r>
            <w:r>
              <w:rPr>
                <w:rFonts w:hint="eastAsia" w:ascii="宋体" w:hAnsi="宋体"/>
                <w:vertAlign w:val="subscript"/>
              </w:rPr>
              <w:t>5</w:t>
            </w:r>
            <w:r>
              <w:rPr>
                <w:rFonts w:hint="eastAsia" w:ascii="宋体" w:hAnsi="宋体"/>
              </w:rPr>
              <w:t>＋K</w:t>
            </w:r>
            <w:r>
              <w:rPr>
                <w:rFonts w:hint="eastAsia" w:ascii="宋体" w:hAnsi="宋体"/>
                <w:vertAlign w:val="subscript"/>
              </w:rPr>
              <w:t>2</w:t>
            </w:r>
            <w:r>
              <w:rPr>
                <w:rFonts w:hint="eastAsia" w:ascii="宋体" w:hAnsi="宋体"/>
              </w:rPr>
              <w:t>O）的质量分数、</w:t>
            </w:r>
            <w:r>
              <w:rPr>
                <w:rFonts w:hint="eastAsia" w:ascii="宋体" w:hAnsi="宋体" w:cs="宋体"/>
                <w:color w:val="000000" w:themeColor="text1"/>
                <w:szCs w:val="21"/>
                <w14:textFill>
                  <w14:solidFill>
                    <w14:schemeClr w14:val="tx1"/>
                  </w14:solidFill>
                </w14:textFill>
              </w:rPr>
              <w:t>控释养分量</w:t>
            </w:r>
            <w:r>
              <w:rPr>
                <w:rFonts w:hint="eastAsia" w:ascii="宋体" w:hAnsi="宋体"/>
              </w:rPr>
              <w:t>、</w:t>
            </w:r>
            <w:r>
              <w:rPr>
                <w:rFonts w:hint="eastAsia" w:ascii="宋体" w:hAnsi="宋体" w:cs="宋体"/>
                <w:color w:val="000000" w:themeColor="text1"/>
                <w:szCs w:val="21"/>
                <w14:textFill>
                  <w14:solidFill>
                    <w14:schemeClr w14:val="tx1"/>
                  </w14:solidFill>
                </w14:textFill>
              </w:rPr>
              <w:t>控释养分28天的累积养分释放率</w:t>
            </w:r>
            <w:r>
              <w:rPr>
                <w:rFonts w:hint="eastAsia" w:ascii="宋体" w:hAnsi="宋体"/>
              </w:rPr>
              <w:t>（</w:t>
            </w:r>
            <w:r>
              <w:rPr>
                <w:rFonts w:hint="eastAsia" w:ascii="宋体" w:hAnsi="宋体" w:cs="宋体"/>
                <w:color w:val="000000" w:themeColor="text1"/>
                <w:szCs w:val="21"/>
                <w14:textFill>
                  <w14:solidFill>
                    <w14:schemeClr w14:val="tx1"/>
                  </w14:solidFill>
                </w14:textFill>
              </w:rPr>
              <w:t>部分控释肥料同时应符合其核芯肥料标准和包装标明值的要求</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14</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硫包衣缓释掺混肥料</w:t>
            </w:r>
          </w:p>
        </w:tc>
        <w:tc>
          <w:tcPr>
            <w:tcW w:w="2544" w:type="dxa"/>
            <w:tcBorders>
              <w:tl2br w:val="nil"/>
              <w:tr2bl w:val="nil"/>
            </w:tcBorders>
            <w:vAlign w:val="center"/>
          </w:tcPr>
          <w:p>
            <w:pPr>
              <w:spacing w:before="72" w:beforeLines="30" w:line="280" w:lineRule="exact"/>
              <w:jc w:val="center"/>
              <w:rPr>
                <w:rFonts w:ascii="宋体" w:hAnsi="宋体"/>
              </w:rPr>
            </w:pPr>
            <w:r>
              <w:rPr>
                <w:rFonts w:hint="eastAsia" w:ascii="宋体" w:hAnsi="宋体" w:cs="宋体"/>
                <w:bCs/>
                <w:color w:val="000000" w:themeColor="text1"/>
                <w:szCs w:val="21"/>
                <w14:textFill>
                  <w14:solidFill>
                    <w14:schemeClr w14:val="tx1"/>
                  </w14:solidFill>
                </w14:textFill>
              </w:rPr>
              <w:t>GB/T 29401-2012 硫包衣尿素</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缓释氮养分量、中量元素单一养分的质量分数</w:t>
            </w:r>
            <w:r>
              <w:rPr>
                <w:rFonts w:hint="eastAsia" w:ascii="宋体" w:hAnsi="宋体"/>
                <w:vertAlign w:val="superscript"/>
              </w:rPr>
              <w:t>8</w:t>
            </w:r>
            <w:r>
              <w:rPr>
                <w:rFonts w:hint="eastAsia" w:ascii="宋体" w:hAnsi="宋体"/>
              </w:rPr>
              <w:t>、微量元素单一养分的质量分数</w:t>
            </w:r>
            <w:r>
              <w:rPr>
                <w:rFonts w:hint="eastAsia" w:ascii="宋体" w:hAnsi="宋体"/>
                <w:vertAlign w:val="superscript"/>
              </w:rPr>
              <w:t>9</w:t>
            </w:r>
            <w:r>
              <w:rPr>
                <w:rFonts w:hint="eastAsia" w:ascii="宋体" w:hAnsi="宋体"/>
              </w:rPr>
              <w:t>（硫包衣</w:t>
            </w:r>
            <w:r>
              <w:rPr>
                <w:rFonts w:hint="eastAsia" w:ascii="宋体" w:hAnsi="宋体" w:cs="宋体"/>
                <w:color w:val="000000" w:themeColor="text1"/>
                <w:szCs w:val="21"/>
                <w14:textFill>
                  <w14:solidFill>
                    <w14:schemeClr w14:val="tx1"/>
                  </w14:solidFill>
                </w14:textFill>
              </w:rPr>
              <w:t>缓释肥料同时应符合其核芯肥料标准和包装标明值的要求</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ascii="宋体" w:hAnsi="宋体"/>
                <w:szCs w:val="21"/>
              </w:rPr>
              <w:t>15</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脲醛缓释掺混肥料</w:t>
            </w:r>
          </w:p>
        </w:tc>
        <w:tc>
          <w:tcPr>
            <w:tcW w:w="2544" w:type="dxa"/>
            <w:tcBorders>
              <w:tl2br w:val="nil"/>
              <w:tr2bl w:val="nil"/>
            </w:tcBorders>
            <w:vAlign w:val="center"/>
          </w:tcPr>
          <w:p>
            <w:pPr>
              <w:spacing w:before="72" w:beforeLines="30" w:line="280" w:lineRule="exact"/>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GB/T 34763-2017 脲醛缓释肥料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缓释有效氮的质量分数(脲醛缓释复合肥料以脲醛氮UFN计.脲醛缓释掺混肥料以冷水不溶性氮CWIN计)、中量元素单一养分的质量分数</w:t>
            </w:r>
            <w:r>
              <w:rPr>
                <w:rFonts w:hint="eastAsia" w:ascii="宋体" w:hAnsi="宋体"/>
                <w:vertAlign w:val="superscript"/>
              </w:rPr>
              <w:t>8</w:t>
            </w:r>
            <w:r>
              <w:rPr>
                <w:rFonts w:hint="eastAsia" w:ascii="宋体" w:hAnsi="宋体"/>
              </w:rPr>
              <w:t>、微量元素单一养分的质量分数</w:t>
            </w:r>
            <w:r>
              <w:rPr>
                <w:rFonts w:hint="eastAsia" w:ascii="宋体" w:hAnsi="宋体"/>
                <w:vertAlign w:val="superscript"/>
              </w:rPr>
              <w:t>9</w:t>
            </w:r>
            <w:r>
              <w:rPr>
                <w:rFonts w:hint="eastAsia" w:ascii="宋体" w:hAnsi="宋体"/>
              </w:rPr>
              <w:t>（脲醛</w:t>
            </w:r>
            <w:r>
              <w:rPr>
                <w:rFonts w:hint="eastAsia" w:ascii="宋体" w:hAnsi="宋体" w:cs="宋体"/>
                <w:color w:val="000000" w:themeColor="text1"/>
                <w:szCs w:val="21"/>
                <w14:textFill>
                  <w14:solidFill>
                    <w14:schemeClr w14:val="tx1"/>
                  </w14:solidFill>
                </w14:textFill>
              </w:rPr>
              <w:t>缓释肥料同时应符合其核芯肥料标准和包装标明值的要求</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16</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稳定性掺混肥料</w:t>
            </w:r>
          </w:p>
        </w:tc>
        <w:tc>
          <w:tcPr>
            <w:tcW w:w="2544" w:type="dxa"/>
            <w:tcBorders>
              <w:tl2br w:val="nil"/>
              <w:tr2bl w:val="nil"/>
            </w:tcBorders>
            <w:vAlign w:val="center"/>
          </w:tcPr>
          <w:p>
            <w:pPr>
              <w:spacing w:before="72" w:beforeLines="30" w:line="280" w:lineRule="exact"/>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GB/T 35113-2017 稳定性肥料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cs="宋体"/>
                <w:color w:val="000000" w:themeColor="text1"/>
                <w:szCs w:val="21"/>
                <w14:textFill>
                  <w14:solidFill>
                    <w14:schemeClr w14:val="tx1"/>
                  </w14:solidFill>
                </w14:textFill>
              </w:rPr>
              <w:t>尿素残留差异率、硝化抑制率</w:t>
            </w:r>
            <w:r>
              <w:rPr>
                <w:rFonts w:hint="eastAsia" w:ascii="宋体" w:hAnsi="宋体"/>
              </w:rPr>
              <w:t>（稳定性</w:t>
            </w:r>
            <w:r>
              <w:rPr>
                <w:rFonts w:hint="eastAsia" w:ascii="宋体" w:hAnsi="宋体" w:cs="宋体"/>
                <w:color w:val="000000" w:themeColor="text1"/>
                <w:szCs w:val="21"/>
                <w14:textFill>
                  <w14:solidFill>
                    <w14:schemeClr w14:val="tx1"/>
                  </w14:solidFill>
                </w14:textFill>
              </w:rPr>
              <w:t>肥料同时应符合其核芯肥料标准和包装标明值的要求</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17</w:t>
            </w:r>
          </w:p>
        </w:tc>
        <w:tc>
          <w:tcPr>
            <w:tcW w:w="2277" w:type="dxa"/>
            <w:vMerge w:val="continue"/>
            <w:tcBorders>
              <w:tl2br w:val="nil"/>
              <w:tr2bl w:val="nil"/>
            </w:tcBorders>
            <w:vAlign w:val="center"/>
          </w:tcPr>
          <w:p>
            <w:pPr>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无机包裹型掺混肥料</w:t>
            </w:r>
          </w:p>
        </w:tc>
        <w:tc>
          <w:tcPr>
            <w:tcW w:w="2544"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HG/T 4217-2011 无机包裹型复混肥料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缓释氮的质量分数、中量元素单一养分的质量分数</w:t>
            </w:r>
            <w:r>
              <w:rPr>
                <w:rFonts w:hint="eastAsia" w:ascii="宋体" w:hAnsi="宋体"/>
                <w:vertAlign w:val="superscript"/>
              </w:rPr>
              <w:t>8</w:t>
            </w:r>
            <w:r>
              <w:rPr>
                <w:rFonts w:hint="eastAsia" w:ascii="宋体" w:hAnsi="宋体"/>
              </w:rPr>
              <w:t>、微量元素单一养分的质量分数</w:t>
            </w:r>
            <w:r>
              <w:rPr>
                <w:rFonts w:hint="eastAsia" w:ascii="宋体" w:hAnsi="宋体"/>
                <w:vertAlign w:val="superscript"/>
              </w:rPr>
              <w:t>9</w:t>
            </w:r>
            <w:r>
              <w:rPr>
                <w:rFonts w:hint="eastAsia" w:ascii="宋体" w:hAnsi="宋体" w:cs="宋体"/>
                <w:color w:val="000000" w:themeColor="text1"/>
                <w:szCs w:val="21"/>
                <w14:textFill>
                  <w14:solidFill>
                    <w14:schemeClr w14:val="tx1"/>
                  </w14:solidFill>
                </w14:textFill>
              </w:rPr>
              <w:t>，（同时应符合GB/T 21633-2008 掺混肥料(BB肥) 标准和包装标明值的要求）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ascii="宋体" w:hAnsi="宋体"/>
                <w:szCs w:val="21"/>
              </w:rPr>
              <w:t>18</w:t>
            </w:r>
          </w:p>
        </w:tc>
        <w:tc>
          <w:tcPr>
            <w:tcW w:w="2277"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2268" w:type="dxa"/>
            <w:tcBorders>
              <w:tl2br w:val="nil"/>
              <w:tr2bl w:val="nil"/>
            </w:tcBorders>
            <w:vAlign w:val="center"/>
          </w:tcPr>
          <w:p>
            <w:pPr>
              <w:spacing w:before="72" w:beforeLines="30" w:line="2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含部分海藻酸包膜尿素的掺混肥料</w:t>
            </w:r>
          </w:p>
        </w:tc>
        <w:tc>
          <w:tcPr>
            <w:tcW w:w="2544" w:type="dxa"/>
            <w:tcBorders>
              <w:tl2br w:val="nil"/>
              <w:tr2bl w:val="nil"/>
            </w:tcBorders>
            <w:vAlign w:val="center"/>
          </w:tcPr>
          <w:p>
            <w:pPr>
              <w:spacing w:before="72" w:beforeLines="30" w:line="280" w:lineRule="exact"/>
              <w:jc w:val="center"/>
              <w:rPr>
                <w:rFonts w:ascii="宋体" w:hAnsi="宋体"/>
              </w:rPr>
            </w:pPr>
            <w:r>
              <w:rPr>
                <w:rFonts w:hint="eastAsia" w:ascii="宋体" w:hAnsi="宋体" w:cs="宋体"/>
                <w:color w:val="000000" w:themeColor="text1"/>
                <w:szCs w:val="21"/>
                <w14:textFill>
                  <w14:solidFill>
                    <w14:schemeClr w14:val="tx1"/>
                  </w14:solidFill>
                </w14:textFill>
              </w:rPr>
              <w:t>HG/T 5050-2016海藻酸类肥料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海藻酸的质量分数、海藻酸包膜尿素氮占尿素总氮的质量分数</w:t>
            </w:r>
            <w:r>
              <w:rPr>
                <w:rFonts w:hint="eastAsia" w:ascii="宋体" w:hAnsi="宋体" w:cs="宋体"/>
                <w:color w:val="000000" w:themeColor="text1"/>
                <w:szCs w:val="21"/>
                <w14:textFill>
                  <w14:solidFill>
                    <w14:schemeClr w14:val="tx1"/>
                  </w14:solidFill>
                </w14:textFill>
              </w:rPr>
              <w:t>（同时应符合GB/T 21633-2008 掺混肥料(BB肥) 标准和包装标明值的要求）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19</w:t>
            </w:r>
          </w:p>
        </w:tc>
        <w:tc>
          <w:tcPr>
            <w:tcW w:w="2277" w:type="dxa"/>
            <w:tcBorders>
              <w:tl2br w:val="nil"/>
              <w:tr2bl w:val="nil"/>
            </w:tcBorders>
            <w:vAlign w:val="center"/>
          </w:tcPr>
          <w:p>
            <w:pPr>
              <w:widowControl/>
              <w:spacing w:before="72" w:beforeLines="30" w:line="280" w:lineRule="exact"/>
              <w:jc w:val="center"/>
              <w:rPr>
                <w:rFonts w:ascii="宋体" w:hAnsi="宋体"/>
              </w:rPr>
            </w:pPr>
            <w:r>
              <w:rPr>
                <w:rFonts w:hint="eastAsia" w:ascii="宋体" w:hAnsi="宋体"/>
              </w:rPr>
              <w:t>有机－无机复混肥料</w:t>
            </w:r>
          </w:p>
        </w:tc>
        <w:tc>
          <w:tcPr>
            <w:tcW w:w="2268" w:type="dxa"/>
            <w:tcBorders>
              <w:tl2br w:val="nil"/>
              <w:tr2bl w:val="nil"/>
            </w:tcBorders>
            <w:vAlign w:val="center"/>
          </w:tcPr>
          <w:p>
            <w:pPr>
              <w:widowControl/>
              <w:spacing w:before="72" w:beforeLines="30" w:line="280" w:lineRule="exact"/>
              <w:jc w:val="center"/>
              <w:rPr>
                <w:rFonts w:ascii="宋体" w:hAnsi="宋体"/>
              </w:rPr>
            </w:pPr>
            <w:r>
              <w:rPr>
                <w:rFonts w:hint="eastAsia" w:ascii="宋体" w:hAnsi="宋体"/>
              </w:rPr>
              <w:t>有机－无机复混肥料</w:t>
            </w:r>
          </w:p>
        </w:tc>
        <w:tc>
          <w:tcPr>
            <w:tcW w:w="2544" w:type="dxa"/>
            <w:tcBorders>
              <w:tl2br w:val="nil"/>
              <w:tr2bl w:val="nil"/>
            </w:tcBorders>
            <w:vAlign w:val="center"/>
          </w:tcPr>
          <w:p>
            <w:pPr>
              <w:spacing w:before="72" w:beforeLines="30" w:line="280" w:lineRule="exact"/>
              <w:jc w:val="center"/>
              <w:rPr>
                <w:rFonts w:ascii="宋体" w:hAnsi="宋体"/>
              </w:rPr>
            </w:pPr>
            <w:r>
              <w:rPr>
                <w:rFonts w:hint="eastAsia" w:ascii="宋体" w:hAnsi="宋体" w:cs="宋体"/>
                <w:bCs/>
                <w:color w:val="000000" w:themeColor="text1"/>
                <w:szCs w:val="21"/>
                <w14:textFill>
                  <w14:solidFill>
                    <w14:schemeClr w14:val="tx1"/>
                  </w14:solidFill>
                </w14:textFill>
              </w:rPr>
              <w:t>GB/T 18877-2009 有机-无机复混肥料</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总养分（N＋P</w:t>
            </w:r>
            <w:r>
              <w:rPr>
                <w:rFonts w:hint="eastAsia" w:ascii="宋体" w:hAnsi="宋体"/>
                <w:vertAlign w:val="subscript"/>
              </w:rPr>
              <w:t>2</w:t>
            </w:r>
            <w:r>
              <w:rPr>
                <w:rFonts w:hint="eastAsia" w:ascii="宋体" w:hAnsi="宋体"/>
              </w:rPr>
              <w:t>O</w:t>
            </w:r>
            <w:r>
              <w:rPr>
                <w:rFonts w:hint="eastAsia" w:ascii="宋体" w:hAnsi="宋体"/>
                <w:vertAlign w:val="subscript"/>
              </w:rPr>
              <w:t>5</w:t>
            </w:r>
            <w:r>
              <w:rPr>
                <w:rFonts w:hint="eastAsia" w:ascii="宋体" w:hAnsi="宋体"/>
              </w:rPr>
              <w:t>＋K</w:t>
            </w:r>
            <w:r>
              <w:rPr>
                <w:rFonts w:hint="eastAsia" w:ascii="宋体" w:hAnsi="宋体"/>
                <w:vertAlign w:val="subscript"/>
              </w:rPr>
              <w:t>2</w:t>
            </w:r>
            <w:r>
              <w:rPr>
                <w:rFonts w:hint="eastAsia" w:ascii="宋体" w:hAnsi="宋体"/>
              </w:rPr>
              <w:t>O）</w:t>
            </w:r>
            <w:r>
              <w:rPr>
                <w:rFonts w:hint="eastAsia" w:ascii="宋体" w:hAnsi="宋体"/>
                <w:vertAlign w:val="superscript"/>
              </w:rPr>
              <w:t>12</w:t>
            </w:r>
            <w:r>
              <w:rPr>
                <w:rFonts w:hint="eastAsia" w:ascii="宋体" w:hAnsi="宋体"/>
              </w:rPr>
              <w:t>的质量分数、有机质的质量分数、酸碱度（pH）、蛔虫卵死亡率、粪大肠菌群数、氯离子的质量分数</w:t>
            </w:r>
            <w:r>
              <w:rPr>
                <w:rFonts w:ascii="宋体" w:hAnsi="宋体"/>
                <w:vertAlign w:val="superscript"/>
              </w:rPr>
              <w:t>1</w:t>
            </w:r>
            <w:r>
              <w:rPr>
                <w:rFonts w:hint="eastAsia" w:ascii="宋体" w:hAnsi="宋体"/>
                <w:vertAlign w:val="superscript"/>
              </w:rPr>
              <w:t>3</w:t>
            </w:r>
          </w:p>
          <w:p>
            <w:pPr>
              <w:spacing w:before="72" w:beforeLines="30" w:line="280" w:lineRule="exact"/>
              <w:rPr>
                <w:rFonts w:ascii="宋体" w:hAnsi="宋体"/>
              </w:rPr>
            </w:pPr>
            <w:r>
              <w:rPr>
                <w:rFonts w:hint="eastAsia" w:ascii="宋体" w:hAnsi="宋体"/>
              </w:rPr>
              <w:t>砷及其化合物的质量分数（以As计）、镉及其化合物的质量分数（以Cd计）、铅及其化合物的质量分数（以Pb计）、铬及其化合物的质量分数（以Cr计）、汞及其化合物的质量分数（以Hg计）</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备注</w:t>
            </w:r>
          </w:p>
        </w:tc>
        <w:tc>
          <w:tcPr>
            <w:tcW w:w="13074" w:type="dxa"/>
            <w:gridSpan w:val="4"/>
            <w:tcBorders>
              <w:tl2br w:val="nil"/>
              <w:tr2bl w:val="nil"/>
            </w:tcBorders>
            <w:vAlign w:val="center"/>
          </w:tcPr>
          <w:p>
            <w:pPr>
              <w:pStyle w:val="58"/>
              <w:numPr>
                <w:ilvl w:val="0"/>
                <w:numId w:val="1"/>
              </w:numPr>
              <w:spacing w:before="72" w:beforeLines="30" w:line="280" w:lineRule="exact"/>
              <w:ind w:firstLineChars="0"/>
              <w:rPr>
                <w:rFonts w:ascii="宋体" w:hAnsi="宋体"/>
              </w:rPr>
            </w:pPr>
            <w:r>
              <w:rPr>
                <w:rFonts w:hint="eastAsia" w:hAnsi="宋体" w:cs="宋体"/>
                <w:color w:val="000000" w:themeColor="text1"/>
                <w14:textFill>
                  <w14:solidFill>
                    <w14:schemeClr w14:val="tx1"/>
                  </w14:solidFill>
                </w14:textFill>
              </w:rPr>
              <w:t>组成产品的单一养分含量不应小于4.0%，且单一养分测定值与标明值负偏差的绝对值不应大于1.5%</w:t>
            </w:r>
            <w:r>
              <w:rPr>
                <w:rFonts w:hint="eastAsia" w:ascii="宋体" w:hAnsi="宋体"/>
              </w:rPr>
              <w:t>；</w:t>
            </w:r>
          </w:p>
          <w:p>
            <w:pPr>
              <w:spacing w:before="72" w:beforeLines="30" w:line="280" w:lineRule="exact"/>
              <w:rPr>
                <w:rFonts w:ascii="宋体" w:hAnsi="宋体"/>
              </w:rPr>
            </w:pPr>
            <w:r>
              <w:rPr>
                <w:rFonts w:ascii="宋体" w:hAnsi="宋体"/>
              </w:rPr>
              <w:t>2.</w:t>
            </w:r>
            <w:r>
              <w:rPr>
                <w:rFonts w:hint="eastAsia" w:hAnsi="宋体" w:cs="宋体"/>
                <w:color w:val="000000" w:themeColor="text1"/>
                <w14:textFill>
                  <w14:solidFill>
                    <w14:schemeClr w14:val="tx1"/>
                  </w14:solidFill>
                </w14:textFill>
              </w:rPr>
              <w:t xml:space="preserve"> 以钙镁磷肥等枸溶性磷肥为基础磷肥并在包装容器上注明为“枸溶性磷”时，“水溶性磷占有效磷百分率”项目不做检验和判定。若为氮、钾二元肥料，“水溶性磷占有效磷百分率”项目不做检验和判定；</w:t>
            </w:r>
          </w:p>
          <w:p>
            <w:pPr>
              <w:spacing w:before="72" w:beforeLines="30" w:line="280" w:lineRule="exact"/>
              <w:rPr>
                <w:rFonts w:ascii="宋体" w:hAnsi="宋体"/>
              </w:rPr>
            </w:pPr>
            <w:r>
              <w:rPr>
                <w:rFonts w:ascii="宋体" w:hAnsi="宋体"/>
              </w:rPr>
              <w:t>3.</w:t>
            </w:r>
            <w:r>
              <w:rPr>
                <w:rFonts w:hint="eastAsia" w:ascii="宋体" w:hAnsi="宋体" w:cs="宋体"/>
                <w:color w:val="000000" w:themeColor="text1"/>
                <w:szCs w:val="21"/>
                <w14:textFill>
                  <w14:solidFill>
                    <w14:schemeClr w14:val="tx1"/>
                  </w14:solidFill>
                </w14:textFill>
              </w:rPr>
              <w:t xml:space="preserve"> 氯离子的质量分数大于30.0%的产品，应在包装袋上标明“含氯(高氯)”，标识“含氯(高氯)”的产品氯离子的质量分数可不做检验和判定；</w:t>
            </w:r>
          </w:p>
          <w:p>
            <w:pPr>
              <w:spacing w:before="72" w:beforeLines="30" w:line="280" w:lineRule="exact"/>
              <w:rPr>
                <w:rFonts w:ascii="宋体" w:hAnsi="宋体"/>
              </w:rPr>
            </w:pPr>
            <w:r>
              <w:rPr>
                <w:rFonts w:ascii="宋体" w:hAnsi="宋体"/>
              </w:rPr>
              <w:t>4.</w:t>
            </w:r>
            <w:r>
              <w:rPr>
                <w:rFonts w:hint="eastAsia" w:ascii="宋体" w:hAnsi="宋体" w:cs="宋体"/>
                <w:color w:val="000000" w:themeColor="text1"/>
                <w:szCs w:val="21"/>
                <w14:textFill>
                  <w14:solidFill>
                    <w14:schemeClr w14:val="tx1"/>
                  </w14:solidFill>
                </w14:textFill>
              </w:rPr>
              <w:t xml:space="preserve"> 缩二脲的质量分数不大于质量证明书标明值；</w:t>
            </w:r>
          </w:p>
          <w:p>
            <w:pPr>
              <w:widowControl/>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rPr>
              <w:t>5.</w:t>
            </w:r>
            <w:r>
              <w:rPr>
                <w:rFonts w:hint="eastAsia" w:ascii="宋体" w:hAnsi="宋体" w:cs="宋体"/>
                <w:color w:val="000000" w:themeColor="text1"/>
                <w:szCs w:val="21"/>
                <w14:textFill>
                  <w14:solidFill>
                    <w14:schemeClr w14:val="tx1"/>
                  </w14:solidFill>
                </w14:textFill>
              </w:rPr>
              <w:t xml:space="preserve"> 以钙镁磷肥等枸溶性磷肥为基础磷肥并在包装袋上注明为“枸溶性磷”的产品.未标明磷含量的产品.缓释氮肥以及缓释钾肥，“水溶性磷占有效磷的质量分数”这一指标不做检验和判定。</w:t>
            </w:r>
          </w:p>
          <w:p>
            <w:pPr>
              <w:widowControl/>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rPr>
              <w:t>6</w:t>
            </w:r>
            <w:r>
              <w:rPr>
                <w:rFonts w:ascii="宋体" w:hAnsi="宋体"/>
              </w:rPr>
              <w:t>.</w:t>
            </w:r>
            <w:r>
              <w:rPr>
                <w:rFonts w:hint="eastAsia" w:ascii="宋体" w:hAnsi="宋体" w:cs="宋体"/>
                <w:color w:val="000000" w:themeColor="text1"/>
                <w:szCs w:val="21"/>
                <w14:textFill>
                  <w14:solidFill>
                    <w14:schemeClr w14:val="tx1"/>
                  </w14:solidFill>
                </w14:textFill>
              </w:rPr>
              <w:t xml:space="preserve"> 三元或二元缓释肥料的养分释放率用总氮释放率来表征；对于不含氮的缓释肥料，其养分释放率用钾释放率来表征。</w:t>
            </w:r>
          </w:p>
          <w:p>
            <w:pPr>
              <w:spacing w:before="72" w:beforeLines="30" w:line="28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 xml:space="preserve"> 以钙镁磷肥等枸溶性磷肥为基础磷肥并在包装袋上注明为“枸溶性磷”的产品.未标明磷含量的产品.控释氮肥以及控释钾肥，“水溶性磷占有效磷的质量分数”这一指标不做检验和判定</w:t>
            </w:r>
            <w:r>
              <w:rPr>
                <w:rFonts w:ascii="宋体" w:hAnsi="宋体" w:cs="宋体"/>
                <w:color w:val="000000" w:themeColor="text1"/>
                <w:szCs w:val="21"/>
                <w14:textFill>
                  <w14:solidFill>
                    <w14:schemeClr w14:val="tx1"/>
                  </w14:solidFill>
                </w14:textFill>
              </w:rPr>
              <w:t>;</w:t>
            </w:r>
          </w:p>
          <w:p>
            <w:pPr>
              <w:spacing w:before="72" w:beforeLines="30" w:line="28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包装容器标明含有钙、镁、硫时检测本项目；</w:t>
            </w:r>
          </w:p>
          <w:p>
            <w:pPr>
              <w:spacing w:before="72" w:beforeLines="30" w:line="28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包装容器标明含有铜、铁、锰、锌、硼、钼时检测本项目；</w:t>
            </w:r>
          </w:p>
          <w:p>
            <w:pPr>
              <w:spacing w:before="72" w:beforeLines="30" w:line="280" w:lineRule="exact"/>
              <w:rPr>
                <w:rFonts w:ascii="宋体" w:hAnsi="宋体" w:cs="宋体"/>
                <w:color w:val="000000" w:themeColor="text1"/>
                <w:szCs w:val="21"/>
                <w14:textFill>
                  <w14:solidFill>
                    <w14:schemeClr w14:val="tx1"/>
                  </w14:solidFill>
                </w14:textFill>
              </w:rPr>
            </w:pPr>
            <w:r>
              <w:rPr>
                <w:rFonts w:hint="eastAsia" w:ascii="宋体" w:hAnsi="宋体"/>
              </w:rPr>
              <w:t>10.</w:t>
            </w:r>
            <w:r>
              <w:rPr>
                <w:rFonts w:hint="eastAsia" w:ascii="宋体" w:hAnsi="宋体" w:cs="宋体"/>
                <w:color w:val="000000" w:themeColor="text1"/>
                <w:szCs w:val="21"/>
                <w14:textFill>
                  <w14:solidFill>
                    <w14:schemeClr w14:val="tx1"/>
                  </w14:solidFill>
                </w14:textFill>
              </w:rPr>
              <w:t xml:space="preserve"> 以钙镁磷肥等枸溶性磷肥为基础磷肥并在包装容器上注明为“枸溶性磷”，可不控制“水溶性磷占有效磷百分率”指标。若为氮、钾二元肥料，也不控制“水溶性磷占有效磷百分率”指标；</w:t>
            </w:r>
          </w:p>
          <w:p>
            <w:pPr>
              <w:spacing w:before="72" w:beforeLines="30" w:line="28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包装容器标明“含氯”时不检测本项目；</w:t>
            </w:r>
          </w:p>
          <w:p>
            <w:pPr>
              <w:spacing w:before="72" w:beforeLines="30" w:line="28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标明的单一养分含量不得低于3.0%，且单一养分测定值与标明值负偏差的绝对值不得大于1.5%；</w:t>
            </w:r>
          </w:p>
          <w:p>
            <w:pPr>
              <w:spacing w:before="72" w:beforeLines="30" w:line="28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13</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 xml:space="preserve"> 如产品氯离子含量大于3.0%，并在包装容器上标明“含氯”，该项目可不做要求。</w:t>
            </w:r>
          </w:p>
          <w:p>
            <w:pPr>
              <w:spacing w:before="72" w:beforeLines="30" w:line="28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ascii="宋体" w:hAnsi="宋体" w:cs="宋体"/>
                <w:color w:val="000000" w:themeColor="text1"/>
                <w:szCs w:val="21"/>
                <w14:textFill>
                  <w14:solidFill>
                    <w14:schemeClr w14:val="tx1"/>
                  </w14:solidFill>
                </w14:textFill>
              </w:rPr>
              <w:t>4.</w:t>
            </w:r>
            <w:r>
              <w:rPr>
                <w:rFonts w:hint="eastAsia" w:ascii="宋体" w:hAnsi="宋体"/>
                <w:kern w:val="0"/>
                <w:szCs w:val="24"/>
              </w:rPr>
              <w:t xml:space="preserve"> 企业在申请取证时应提交所申请产品单元内任一产品的检验报告，其中，委托检验报告和型式试验报告应当覆盖本表所列的检验项目。</w:t>
            </w:r>
          </w:p>
        </w:tc>
      </w:tr>
    </w:tbl>
    <w:p>
      <w:pPr>
        <w:spacing w:line="360" w:lineRule="auto"/>
        <w:ind w:firstLine="420" w:firstLineChars="200"/>
        <w:rPr>
          <w:rFonts w:asciiTheme="minorEastAsia" w:hAnsiTheme="minorEastAsia" w:eastAsiaTheme="minorEastAsia"/>
          <w:szCs w:val="24"/>
        </w:rPr>
      </w:pPr>
    </w:p>
    <w:sectPr>
      <w:pgSz w:w="16838" w:h="11906" w:orient="landscape"/>
      <w:pgMar w:top="1418" w:right="1644" w:bottom="1418" w:left="1417"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MS+Sans+Serif">
    <w:altName w:val="黑体"/>
    <w:panose1 w:val="00000000000000000000"/>
    <w:charset w:val="86"/>
    <w:family w:val="auto"/>
    <w:pitch w:val="default"/>
    <w:sig w:usb0="00000000" w:usb1="00000000" w:usb2="00000010" w:usb3="00000000" w:csb0="00040000" w:csb1="00000000"/>
  </w:font>
  <w:font w:name="方正黑体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9437721"/>
      <w:docPartObj>
        <w:docPartGallery w:val="autotext"/>
      </w:docPartObj>
    </w:sdtPr>
    <w:sdtContent>
      <w:p>
        <w:pPr>
          <w:pStyle w:val="14"/>
          <w:jc w:val="center"/>
        </w:pPr>
        <w:r>
          <w:fldChar w:fldCharType="begin"/>
        </w:r>
        <w:r>
          <w:instrText xml:space="preserve">PAGE   \* MERGEFORMAT</w:instrText>
        </w:r>
        <w:r>
          <w:fldChar w:fldCharType="separate"/>
        </w:r>
        <w:r>
          <w:rPr>
            <w:lang w:val="zh-CN"/>
          </w:rPr>
          <w:t>7</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F1A78"/>
    <w:multiLevelType w:val="multilevel"/>
    <w:tmpl w:val="047F1A7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E95"/>
    <w:rsid w:val="00000026"/>
    <w:rsid w:val="0000009A"/>
    <w:rsid w:val="0000065C"/>
    <w:rsid w:val="000008D4"/>
    <w:rsid w:val="00001735"/>
    <w:rsid w:val="000018B9"/>
    <w:rsid w:val="000026B8"/>
    <w:rsid w:val="00002898"/>
    <w:rsid w:val="00002937"/>
    <w:rsid w:val="000031AC"/>
    <w:rsid w:val="00003A0C"/>
    <w:rsid w:val="00004812"/>
    <w:rsid w:val="000048B9"/>
    <w:rsid w:val="00004A66"/>
    <w:rsid w:val="00004BED"/>
    <w:rsid w:val="00004D4D"/>
    <w:rsid w:val="000057DA"/>
    <w:rsid w:val="00005D69"/>
    <w:rsid w:val="0000614B"/>
    <w:rsid w:val="00007515"/>
    <w:rsid w:val="000077BA"/>
    <w:rsid w:val="00007B03"/>
    <w:rsid w:val="00007F8C"/>
    <w:rsid w:val="00010864"/>
    <w:rsid w:val="00010EA7"/>
    <w:rsid w:val="00010FC4"/>
    <w:rsid w:val="00010FF6"/>
    <w:rsid w:val="000119F2"/>
    <w:rsid w:val="0001220C"/>
    <w:rsid w:val="00012606"/>
    <w:rsid w:val="000126A7"/>
    <w:rsid w:val="000136D8"/>
    <w:rsid w:val="00013840"/>
    <w:rsid w:val="00013AE0"/>
    <w:rsid w:val="00013B70"/>
    <w:rsid w:val="000141E7"/>
    <w:rsid w:val="00014535"/>
    <w:rsid w:val="000146D8"/>
    <w:rsid w:val="00014D1F"/>
    <w:rsid w:val="00014E6A"/>
    <w:rsid w:val="00015D2F"/>
    <w:rsid w:val="0001639D"/>
    <w:rsid w:val="00016781"/>
    <w:rsid w:val="00016B63"/>
    <w:rsid w:val="00017912"/>
    <w:rsid w:val="0002040C"/>
    <w:rsid w:val="000209AD"/>
    <w:rsid w:val="00020BDA"/>
    <w:rsid w:val="000217FB"/>
    <w:rsid w:val="000221B4"/>
    <w:rsid w:val="00022417"/>
    <w:rsid w:val="00022463"/>
    <w:rsid w:val="000228C6"/>
    <w:rsid w:val="00023B37"/>
    <w:rsid w:val="00023C57"/>
    <w:rsid w:val="00023CA6"/>
    <w:rsid w:val="00023E09"/>
    <w:rsid w:val="0002416D"/>
    <w:rsid w:val="00025608"/>
    <w:rsid w:val="00025BE3"/>
    <w:rsid w:val="00025EE9"/>
    <w:rsid w:val="000261D9"/>
    <w:rsid w:val="000262E6"/>
    <w:rsid w:val="00026C78"/>
    <w:rsid w:val="00027268"/>
    <w:rsid w:val="00027630"/>
    <w:rsid w:val="0003044D"/>
    <w:rsid w:val="00030799"/>
    <w:rsid w:val="00030B88"/>
    <w:rsid w:val="00030E40"/>
    <w:rsid w:val="00031137"/>
    <w:rsid w:val="0003184E"/>
    <w:rsid w:val="00031D13"/>
    <w:rsid w:val="000322B6"/>
    <w:rsid w:val="000328AD"/>
    <w:rsid w:val="00032D2C"/>
    <w:rsid w:val="00032E16"/>
    <w:rsid w:val="00033A56"/>
    <w:rsid w:val="00033BAD"/>
    <w:rsid w:val="00034A8E"/>
    <w:rsid w:val="00034FF3"/>
    <w:rsid w:val="000360A2"/>
    <w:rsid w:val="0003633A"/>
    <w:rsid w:val="000363A8"/>
    <w:rsid w:val="0003646C"/>
    <w:rsid w:val="00036720"/>
    <w:rsid w:val="000367BE"/>
    <w:rsid w:val="00036DF7"/>
    <w:rsid w:val="00037261"/>
    <w:rsid w:val="00037371"/>
    <w:rsid w:val="000373C5"/>
    <w:rsid w:val="000376C8"/>
    <w:rsid w:val="00037BFB"/>
    <w:rsid w:val="00037FF1"/>
    <w:rsid w:val="00037FFB"/>
    <w:rsid w:val="00041027"/>
    <w:rsid w:val="00041EC7"/>
    <w:rsid w:val="00041EFC"/>
    <w:rsid w:val="00042040"/>
    <w:rsid w:val="000424DB"/>
    <w:rsid w:val="000425F9"/>
    <w:rsid w:val="00042933"/>
    <w:rsid w:val="00042C0A"/>
    <w:rsid w:val="0004359A"/>
    <w:rsid w:val="000435CE"/>
    <w:rsid w:val="000435EF"/>
    <w:rsid w:val="00043C93"/>
    <w:rsid w:val="0004423C"/>
    <w:rsid w:val="0004431E"/>
    <w:rsid w:val="00044590"/>
    <w:rsid w:val="000445B0"/>
    <w:rsid w:val="00045306"/>
    <w:rsid w:val="000455F5"/>
    <w:rsid w:val="000456B0"/>
    <w:rsid w:val="00045761"/>
    <w:rsid w:val="000458C4"/>
    <w:rsid w:val="00045D36"/>
    <w:rsid w:val="000460EF"/>
    <w:rsid w:val="00046427"/>
    <w:rsid w:val="0004642E"/>
    <w:rsid w:val="000469CC"/>
    <w:rsid w:val="00046EBB"/>
    <w:rsid w:val="00047079"/>
    <w:rsid w:val="0004787C"/>
    <w:rsid w:val="00047BC5"/>
    <w:rsid w:val="00047BDE"/>
    <w:rsid w:val="000501D5"/>
    <w:rsid w:val="000506C9"/>
    <w:rsid w:val="00051257"/>
    <w:rsid w:val="000512C6"/>
    <w:rsid w:val="00051632"/>
    <w:rsid w:val="00051715"/>
    <w:rsid w:val="000518B1"/>
    <w:rsid w:val="00051904"/>
    <w:rsid w:val="00051F78"/>
    <w:rsid w:val="000521FC"/>
    <w:rsid w:val="000526C2"/>
    <w:rsid w:val="0005274A"/>
    <w:rsid w:val="00052755"/>
    <w:rsid w:val="000527B9"/>
    <w:rsid w:val="00052C9F"/>
    <w:rsid w:val="000547C2"/>
    <w:rsid w:val="0005493A"/>
    <w:rsid w:val="0005498A"/>
    <w:rsid w:val="00054C34"/>
    <w:rsid w:val="000552AB"/>
    <w:rsid w:val="0005579D"/>
    <w:rsid w:val="00055D57"/>
    <w:rsid w:val="00056520"/>
    <w:rsid w:val="00056A1F"/>
    <w:rsid w:val="00057B9E"/>
    <w:rsid w:val="0006057E"/>
    <w:rsid w:val="0006064A"/>
    <w:rsid w:val="0006113E"/>
    <w:rsid w:val="000614AE"/>
    <w:rsid w:val="00061CF1"/>
    <w:rsid w:val="0006298F"/>
    <w:rsid w:val="00062B23"/>
    <w:rsid w:val="00062BA8"/>
    <w:rsid w:val="00062C85"/>
    <w:rsid w:val="000634AD"/>
    <w:rsid w:val="0006359C"/>
    <w:rsid w:val="00064088"/>
    <w:rsid w:val="00064218"/>
    <w:rsid w:val="000642FB"/>
    <w:rsid w:val="0006487C"/>
    <w:rsid w:val="000649F7"/>
    <w:rsid w:val="000655B6"/>
    <w:rsid w:val="00065C65"/>
    <w:rsid w:val="000666AA"/>
    <w:rsid w:val="00066705"/>
    <w:rsid w:val="0006688D"/>
    <w:rsid w:val="00066ACE"/>
    <w:rsid w:val="00066BA3"/>
    <w:rsid w:val="00067BD5"/>
    <w:rsid w:val="00071568"/>
    <w:rsid w:val="000719B7"/>
    <w:rsid w:val="00071F16"/>
    <w:rsid w:val="000721C1"/>
    <w:rsid w:val="00072891"/>
    <w:rsid w:val="00072D9E"/>
    <w:rsid w:val="000730DB"/>
    <w:rsid w:val="000738BF"/>
    <w:rsid w:val="000739A1"/>
    <w:rsid w:val="00073E6A"/>
    <w:rsid w:val="000744C3"/>
    <w:rsid w:val="00074FBD"/>
    <w:rsid w:val="00075520"/>
    <w:rsid w:val="00075970"/>
    <w:rsid w:val="000759D3"/>
    <w:rsid w:val="0007649E"/>
    <w:rsid w:val="00076974"/>
    <w:rsid w:val="00076C10"/>
    <w:rsid w:val="00077245"/>
    <w:rsid w:val="00077681"/>
    <w:rsid w:val="00077BE6"/>
    <w:rsid w:val="00077F43"/>
    <w:rsid w:val="00080BD4"/>
    <w:rsid w:val="00081131"/>
    <w:rsid w:val="0008114C"/>
    <w:rsid w:val="0008152D"/>
    <w:rsid w:val="0008254E"/>
    <w:rsid w:val="00082957"/>
    <w:rsid w:val="000836DC"/>
    <w:rsid w:val="000837D2"/>
    <w:rsid w:val="00083824"/>
    <w:rsid w:val="000843BC"/>
    <w:rsid w:val="000846CA"/>
    <w:rsid w:val="000846D6"/>
    <w:rsid w:val="000848D3"/>
    <w:rsid w:val="000848D6"/>
    <w:rsid w:val="00085434"/>
    <w:rsid w:val="00085781"/>
    <w:rsid w:val="00085C00"/>
    <w:rsid w:val="0008687E"/>
    <w:rsid w:val="00087535"/>
    <w:rsid w:val="00087624"/>
    <w:rsid w:val="0009112B"/>
    <w:rsid w:val="00092F8F"/>
    <w:rsid w:val="00092FE8"/>
    <w:rsid w:val="000930A9"/>
    <w:rsid w:val="000931C6"/>
    <w:rsid w:val="00093EA1"/>
    <w:rsid w:val="000941B0"/>
    <w:rsid w:val="00094B3B"/>
    <w:rsid w:val="00095C4B"/>
    <w:rsid w:val="000964D0"/>
    <w:rsid w:val="000965D9"/>
    <w:rsid w:val="00096E0F"/>
    <w:rsid w:val="000975EE"/>
    <w:rsid w:val="00097735"/>
    <w:rsid w:val="00097874"/>
    <w:rsid w:val="00097890"/>
    <w:rsid w:val="000A009E"/>
    <w:rsid w:val="000A049E"/>
    <w:rsid w:val="000A084E"/>
    <w:rsid w:val="000A0CB7"/>
    <w:rsid w:val="000A11C1"/>
    <w:rsid w:val="000A1292"/>
    <w:rsid w:val="000A1802"/>
    <w:rsid w:val="000A1D31"/>
    <w:rsid w:val="000A1F55"/>
    <w:rsid w:val="000A2A40"/>
    <w:rsid w:val="000A3B04"/>
    <w:rsid w:val="000A3E13"/>
    <w:rsid w:val="000A410E"/>
    <w:rsid w:val="000A4F9D"/>
    <w:rsid w:val="000A56CC"/>
    <w:rsid w:val="000A6D07"/>
    <w:rsid w:val="000A6D2F"/>
    <w:rsid w:val="000A6E3B"/>
    <w:rsid w:val="000A7E1E"/>
    <w:rsid w:val="000B0269"/>
    <w:rsid w:val="000B0874"/>
    <w:rsid w:val="000B08D3"/>
    <w:rsid w:val="000B0D29"/>
    <w:rsid w:val="000B100F"/>
    <w:rsid w:val="000B1367"/>
    <w:rsid w:val="000B141C"/>
    <w:rsid w:val="000B1A91"/>
    <w:rsid w:val="000B1CD2"/>
    <w:rsid w:val="000B1FD8"/>
    <w:rsid w:val="000B22E5"/>
    <w:rsid w:val="000B2B00"/>
    <w:rsid w:val="000B323D"/>
    <w:rsid w:val="000B3AB4"/>
    <w:rsid w:val="000B410B"/>
    <w:rsid w:val="000B4263"/>
    <w:rsid w:val="000B451B"/>
    <w:rsid w:val="000B4B6A"/>
    <w:rsid w:val="000B4E2B"/>
    <w:rsid w:val="000B4E3F"/>
    <w:rsid w:val="000B51B4"/>
    <w:rsid w:val="000B551C"/>
    <w:rsid w:val="000B59FF"/>
    <w:rsid w:val="000B5E27"/>
    <w:rsid w:val="000B7DAD"/>
    <w:rsid w:val="000C05C2"/>
    <w:rsid w:val="000C08BF"/>
    <w:rsid w:val="000C0DAE"/>
    <w:rsid w:val="000C1036"/>
    <w:rsid w:val="000C10F3"/>
    <w:rsid w:val="000C132E"/>
    <w:rsid w:val="000C1367"/>
    <w:rsid w:val="000C13F5"/>
    <w:rsid w:val="000C17F2"/>
    <w:rsid w:val="000C19F2"/>
    <w:rsid w:val="000C1AD6"/>
    <w:rsid w:val="000C1F2D"/>
    <w:rsid w:val="000C235B"/>
    <w:rsid w:val="000C25A1"/>
    <w:rsid w:val="000C280E"/>
    <w:rsid w:val="000C2C3F"/>
    <w:rsid w:val="000C31A5"/>
    <w:rsid w:val="000C38C8"/>
    <w:rsid w:val="000C3E64"/>
    <w:rsid w:val="000C4A41"/>
    <w:rsid w:val="000C4A90"/>
    <w:rsid w:val="000C52E3"/>
    <w:rsid w:val="000C5D13"/>
    <w:rsid w:val="000C601E"/>
    <w:rsid w:val="000C66D6"/>
    <w:rsid w:val="000C712E"/>
    <w:rsid w:val="000C7332"/>
    <w:rsid w:val="000D067E"/>
    <w:rsid w:val="000D0773"/>
    <w:rsid w:val="000D108F"/>
    <w:rsid w:val="000D2268"/>
    <w:rsid w:val="000D2650"/>
    <w:rsid w:val="000D2C68"/>
    <w:rsid w:val="000D2E07"/>
    <w:rsid w:val="000D31C3"/>
    <w:rsid w:val="000D3940"/>
    <w:rsid w:val="000D3F3F"/>
    <w:rsid w:val="000D4392"/>
    <w:rsid w:val="000D4AC4"/>
    <w:rsid w:val="000D540E"/>
    <w:rsid w:val="000D543D"/>
    <w:rsid w:val="000D7278"/>
    <w:rsid w:val="000D77A4"/>
    <w:rsid w:val="000D7933"/>
    <w:rsid w:val="000D79C5"/>
    <w:rsid w:val="000D79D2"/>
    <w:rsid w:val="000D7A94"/>
    <w:rsid w:val="000E03E9"/>
    <w:rsid w:val="000E0469"/>
    <w:rsid w:val="000E0742"/>
    <w:rsid w:val="000E09F4"/>
    <w:rsid w:val="000E0BAC"/>
    <w:rsid w:val="000E0EB8"/>
    <w:rsid w:val="000E0ED2"/>
    <w:rsid w:val="000E10F6"/>
    <w:rsid w:val="000E12C8"/>
    <w:rsid w:val="000E1433"/>
    <w:rsid w:val="000E15BE"/>
    <w:rsid w:val="000E2174"/>
    <w:rsid w:val="000E2330"/>
    <w:rsid w:val="000E24EF"/>
    <w:rsid w:val="000E24F3"/>
    <w:rsid w:val="000E3053"/>
    <w:rsid w:val="000E4057"/>
    <w:rsid w:val="000E4B05"/>
    <w:rsid w:val="000E59DD"/>
    <w:rsid w:val="000E5F18"/>
    <w:rsid w:val="000E72FF"/>
    <w:rsid w:val="000E77F9"/>
    <w:rsid w:val="000E7AFF"/>
    <w:rsid w:val="000E7C42"/>
    <w:rsid w:val="000F0329"/>
    <w:rsid w:val="000F0648"/>
    <w:rsid w:val="000F07FC"/>
    <w:rsid w:val="000F0A81"/>
    <w:rsid w:val="000F0EF2"/>
    <w:rsid w:val="000F1189"/>
    <w:rsid w:val="000F15C8"/>
    <w:rsid w:val="000F1A67"/>
    <w:rsid w:val="000F2767"/>
    <w:rsid w:val="000F2FFC"/>
    <w:rsid w:val="000F35FA"/>
    <w:rsid w:val="000F36B7"/>
    <w:rsid w:val="000F37AC"/>
    <w:rsid w:val="000F3B91"/>
    <w:rsid w:val="000F3F33"/>
    <w:rsid w:val="000F498D"/>
    <w:rsid w:val="000F4E42"/>
    <w:rsid w:val="000F4E90"/>
    <w:rsid w:val="000F51CB"/>
    <w:rsid w:val="000F5346"/>
    <w:rsid w:val="000F54FE"/>
    <w:rsid w:val="000F5773"/>
    <w:rsid w:val="000F60D5"/>
    <w:rsid w:val="000F63F8"/>
    <w:rsid w:val="000F69D3"/>
    <w:rsid w:val="000F7B43"/>
    <w:rsid w:val="00100185"/>
    <w:rsid w:val="00100551"/>
    <w:rsid w:val="00100E66"/>
    <w:rsid w:val="00101342"/>
    <w:rsid w:val="001018D9"/>
    <w:rsid w:val="00102C5B"/>
    <w:rsid w:val="00102D24"/>
    <w:rsid w:val="00103180"/>
    <w:rsid w:val="0010361F"/>
    <w:rsid w:val="00103670"/>
    <w:rsid w:val="001041ED"/>
    <w:rsid w:val="00104C6E"/>
    <w:rsid w:val="00104ED0"/>
    <w:rsid w:val="001050F9"/>
    <w:rsid w:val="0010580D"/>
    <w:rsid w:val="0010584D"/>
    <w:rsid w:val="00105877"/>
    <w:rsid w:val="001058D3"/>
    <w:rsid w:val="00105BAE"/>
    <w:rsid w:val="00106620"/>
    <w:rsid w:val="00106F43"/>
    <w:rsid w:val="0011024C"/>
    <w:rsid w:val="00110620"/>
    <w:rsid w:val="0011091F"/>
    <w:rsid w:val="001109AE"/>
    <w:rsid w:val="00110A02"/>
    <w:rsid w:val="00110B32"/>
    <w:rsid w:val="00111CE5"/>
    <w:rsid w:val="00112818"/>
    <w:rsid w:val="00112A51"/>
    <w:rsid w:val="00112E91"/>
    <w:rsid w:val="001134CF"/>
    <w:rsid w:val="0011382C"/>
    <w:rsid w:val="0011391A"/>
    <w:rsid w:val="00113C21"/>
    <w:rsid w:val="0011450F"/>
    <w:rsid w:val="0011455B"/>
    <w:rsid w:val="001146C4"/>
    <w:rsid w:val="001146EA"/>
    <w:rsid w:val="00114C4F"/>
    <w:rsid w:val="00115277"/>
    <w:rsid w:val="001154D5"/>
    <w:rsid w:val="0011601D"/>
    <w:rsid w:val="001168E4"/>
    <w:rsid w:val="00116AA0"/>
    <w:rsid w:val="00117538"/>
    <w:rsid w:val="00120054"/>
    <w:rsid w:val="001207E7"/>
    <w:rsid w:val="00120AB0"/>
    <w:rsid w:val="00120D9D"/>
    <w:rsid w:val="00120E59"/>
    <w:rsid w:val="0012129B"/>
    <w:rsid w:val="00121F73"/>
    <w:rsid w:val="00122054"/>
    <w:rsid w:val="00122747"/>
    <w:rsid w:val="001229FD"/>
    <w:rsid w:val="001235C3"/>
    <w:rsid w:val="001243B4"/>
    <w:rsid w:val="00125023"/>
    <w:rsid w:val="001253E8"/>
    <w:rsid w:val="00125DE3"/>
    <w:rsid w:val="00126549"/>
    <w:rsid w:val="001266CE"/>
    <w:rsid w:val="00127519"/>
    <w:rsid w:val="0012761C"/>
    <w:rsid w:val="00127801"/>
    <w:rsid w:val="001303D8"/>
    <w:rsid w:val="00130869"/>
    <w:rsid w:val="00130885"/>
    <w:rsid w:val="001316CF"/>
    <w:rsid w:val="00131A40"/>
    <w:rsid w:val="00131C50"/>
    <w:rsid w:val="00131EDB"/>
    <w:rsid w:val="001322B0"/>
    <w:rsid w:val="001322D0"/>
    <w:rsid w:val="00132E54"/>
    <w:rsid w:val="00133132"/>
    <w:rsid w:val="0013423F"/>
    <w:rsid w:val="00135AD9"/>
    <w:rsid w:val="00135BB4"/>
    <w:rsid w:val="00135F57"/>
    <w:rsid w:val="001361E2"/>
    <w:rsid w:val="0013642F"/>
    <w:rsid w:val="001364FE"/>
    <w:rsid w:val="0013693F"/>
    <w:rsid w:val="00136F0E"/>
    <w:rsid w:val="00140F1E"/>
    <w:rsid w:val="0014142D"/>
    <w:rsid w:val="00142079"/>
    <w:rsid w:val="001421F3"/>
    <w:rsid w:val="0014371B"/>
    <w:rsid w:val="00143AFC"/>
    <w:rsid w:val="00143BB3"/>
    <w:rsid w:val="001440A3"/>
    <w:rsid w:val="0014422B"/>
    <w:rsid w:val="0014490F"/>
    <w:rsid w:val="00144A0F"/>
    <w:rsid w:val="00144FF3"/>
    <w:rsid w:val="00145356"/>
    <w:rsid w:val="00146188"/>
    <w:rsid w:val="00146AB7"/>
    <w:rsid w:val="00147C2A"/>
    <w:rsid w:val="00147CA0"/>
    <w:rsid w:val="0015005C"/>
    <w:rsid w:val="00150580"/>
    <w:rsid w:val="0015066C"/>
    <w:rsid w:val="00150BEA"/>
    <w:rsid w:val="001511E1"/>
    <w:rsid w:val="001515C6"/>
    <w:rsid w:val="00151F88"/>
    <w:rsid w:val="001524AC"/>
    <w:rsid w:val="001528A6"/>
    <w:rsid w:val="001529F1"/>
    <w:rsid w:val="00152E0E"/>
    <w:rsid w:val="001535BA"/>
    <w:rsid w:val="00153606"/>
    <w:rsid w:val="00153854"/>
    <w:rsid w:val="00153966"/>
    <w:rsid w:val="00153AAC"/>
    <w:rsid w:val="00153EF1"/>
    <w:rsid w:val="00154BD2"/>
    <w:rsid w:val="00154C61"/>
    <w:rsid w:val="001550CA"/>
    <w:rsid w:val="00155200"/>
    <w:rsid w:val="001559FD"/>
    <w:rsid w:val="00155D54"/>
    <w:rsid w:val="00155F95"/>
    <w:rsid w:val="001563AC"/>
    <w:rsid w:val="00156645"/>
    <w:rsid w:val="0015693D"/>
    <w:rsid w:val="001569DC"/>
    <w:rsid w:val="00156F16"/>
    <w:rsid w:val="00157324"/>
    <w:rsid w:val="00157A8E"/>
    <w:rsid w:val="00160C17"/>
    <w:rsid w:val="001610C5"/>
    <w:rsid w:val="00162193"/>
    <w:rsid w:val="00162291"/>
    <w:rsid w:val="001631D6"/>
    <w:rsid w:val="00163467"/>
    <w:rsid w:val="001634F7"/>
    <w:rsid w:val="001637F9"/>
    <w:rsid w:val="00163EB9"/>
    <w:rsid w:val="0016411B"/>
    <w:rsid w:val="00164CD5"/>
    <w:rsid w:val="00164D2B"/>
    <w:rsid w:val="00164E5C"/>
    <w:rsid w:val="00165749"/>
    <w:rsid w:val="00165BDA"/>
    <w:rsid w:val="00166BC3"/>
    <w:rsid w:val="001672F2"/>
    <w:rsid w:val="001678DB"/>
    <w:rsid w:val="00167AD4"/>
    <w:rsid w:val="00167D52"/>
    <w:rsid w:val="001705A4"/>
    <w:rsid w:val="00170862"/>
    <w:rsid w:val="001717D9"/>
    <w:rsid w:val="0017181D"/>
    <w:rsid w:val="0017182A"/>
    <w:rsid w:val="00171986"/>
    <w:rsid w:val="00171F86"/>
    <w:rsid w:val="0017200F"/>
    <w:rsid w:val="001722B3"/>
    <w:rsid w:val="00172505"/>
    <w:rsid w:val="00172964"/>
    <w:rsid w:val="00172CEF"/>
    <w:rsid w:val="00173A01"/>
    <w:rsid w:val="00174746"/>
    <w:rsid w:val="0017476B"/>
    <w:rsid w:val="001747BE"/>
    <w:rsid w:val="0017535D"/>
    <w:rsid w:val="001756D3"/>
    <w:rsid w:val="00175847"/>
    <w:rsid w:val="00176357"/>
    <w:rsid w:val="001764A1"/>
    <w:rsid w:val="001768AE"/>
    <w:rsid w:val="001768B7"/>
    <w:rsid w:val="001768C0"/>
    <w:rsid w:val="00177FF4"/>
    <w:rsid w:val="00180143"/>
    <w:rsid w:val="001804D3"/>
    <w:rsid w:val="00180502"/>
    <w:rsid w:val="00180E43"/>
    <w:rsid w:val="00181CDA"/>
    <w:rsid w:val="00182560"/>
    <w:rsid w:val="00182974"/>
    <w:rsid w:val="00182A9B"/>
    <w:rsid w:val="00182D1D"/>
    <w:rsid w:val="001837B9"/>
    <w:rsid w:val="001840C5"/>
    <w:rsid w:val="0018452D"/>
    <w:rsid w:val="0018533D"/>
    <w:rsid w:val="0018539C"/>
    <w:rsid w:val="00186081"/>
    <w:rsid w:val="00186361"/>
    <w:rsid w:val="00186786"/>
    <w:rsid w:val="00186E11"/>
    <w:rsid w:val="00187340"/>
    <w:rsid w:val="00187609"/>
    <w:rsid w:val="00187CC2"/>
    <w:rsid w:val="00187EFC"/>
    <w:rsid w:val="0019003C"/>
    <w:rsid w:val="001900F1"/>
    <w:rsid w:val="00190C5F"/>
    <w:rsid w:val="001910AC"/>
    <w:rsid w:val="00192554"/>
    <w:rsid w:val="001925B0"/>
    <w:rsid w:val="001928DB"/>
    <w:rsid w:val="00192C37"/>
    <w:rsid w:val="00193432"/>
    <w:rsid w:val="001935C7"/>
    <w:rsid w:val="00194405"/>
    <w:rsid w:val="00194754"/>
    <w:rsid w:val="001948CA"/>
    <w:rsid w:val="0019497A"/>
    <w:rsid w:val="00194B63"/>
    <w:rsid w:val="00195189"/>
    <w:rsid w:val="0019707F"/>
    <w:rsid w:val="00197534"/>
    <w:rsid w:val="00197F34"/>
    <w:rsid w:val="001A0695"/>
    <w:rsid w:val="001A077E"/>
    <w:rsid w:val="001A0E9A"/>
    <w:rsid w:val="001A1235"/>
    <w:rsid w:val="001A1B7D"/>
    <w:rsid w:val="001A1C5F"/>
    <w:rsid w:val="001A1F0C"/>
    <w:rsid w:val="001A2832"/>
    <w:rsid w:val="001A337F"/>
    <w:rsid w:val="001A3B04"/>
    <w:rsid w:val="001A3CA9"/>
    <w:rsid w:val="001A467F"/>
    <w:rsid w:val="001A48D0"/>
    <w:rsid w:val="001A4BD3"/>
    <w:rsid w:val="001A4DE6"/>
    <w:rsid w:val="001A5338"/>
    <w:rsid w:val="001A57B9"/>
    <w:rsid w:val="001A5B75"/>
    <w:rsid w:val="001A5BC1"/>
    <w:rsid w:val="001A5E74"/>
    <w:rsid w:val="001A7064"/>
    <w:rsid w:val="001A7224"/>
    <w:rsid w:val="001A78DC"/>
    <w:rsid w:val="001B04AB"/>
    <w:rsid w:val="001B06A5"/>
    <w:rsid w:val="001B0822"/>
    <w:rsid w:val="001B136B"/>
    <w:rsid w:val="001B246F"/>
    <w:rsid w:val="001B2767"/>
    <w:rsid w:val="001B2FE1"/>
    <w:rsid w:val="001B2FEE"/>
    <w:rsid w:val="001B30D7"/>
    <w:rsid w:val="001B3781"/>
    <w:rsid w:val="001B3916"/>
    <w:rsid w:val="001B3DE7"/>
    <w:rsid w:val="001B3FB4"/>
    <w:rsid w:val="001B5036"/>
    <w:rsid w:val="001B527F"/>
    <w:rsid w:val="001B54B4"/>
    <w:rsid w:val="001B5F8E"/>
    <w:rsid w:val="001B602C"/>
    <w:rsid w:val="001B6309"/>
    <w:rsid w:val="001B693A"/>
    <w:rsid w:val="001B6BB4"/>
    <w:rsid w:val="001B6FF8"/>
    <w:rsid w:val="001B74CC"/>
    <w:rsid w:val="001C016A"/>
    <w:rsid w:val="001C0226"/>
    <w:rsid w:val="001C056A"/>
    <w:rsid w:val="001C0E12"/>
    <w:rsid w:val="001C13EA"/>
    <w:rsid w:val="001C178A"/>
    <w:rsid w:val="001C1CA0"/>
    <w:rsid w:val="001C1DF5"/>
    <w:rsid w:val="001C2C12"/>
    <w:rsid w:val="001C3769"/>
    <w:rsid w:val="001C37D7"/>
    <w:rsid w:val="001C3B44"/>
    <w:rsid w:val="001C3C28"/>
    <w:rsid w:val="001C3DF8"/>
    <w:rsid w:val="001C452A"/>
    <w:rsid w:val="001C5508"/>
    <w:rsid w:val="001C56BF"/>
    <w:rsid w:val="001C56E8"/>
    <w:rsid w:val="001C5DA7"/>
    <w:rsid w:val="001C5FD0"/>
    <w:rsid w:val="001C6079"/>
    <w:rsid w:val="001C737B"/>
    <w:rsid w:val="001C77A6"/>
    <w:rsid w:val="001C7E01"/>
    <w:rsid w:val="001C7F49"/>
    <w:rsid w:val="001D0154"/>
    <w:rsid w:val="001D0537"/>
    <w:rsid w:val="001D11DD"/>
    <w:rsid w:val="001D1547"/>
    <w:rsid w:val="001D26A0"/>
    <w:rsid w:val="001D2CAA"/>
    <w:rsid w:val="001D3B66"/>
    <w:rsid w:val="001D4CCB"/>
    <w:rsid w:val="001D58B4"/>
    <w:rsid w:val="001D6247"/>
    <w:rsid w:val="001D6373"/>
    <w:rsid w:val="001D64C5"/>
    <w:rsid w:val="001D6742"/>
    <w:rsid w:val="001D6BB3"/>
    <w:rsid w:val="001D6C0C"/>
    <w:rsid w:val="001D6D5A"/>
    <w:rsid w:val="001D71D3"/>
    <w:rsid w:val="001D792F"/>
    <w:rsid w:val="001D7A68"/>
    <w:rsid w:val="001D7C03"/>
    <w:rsid w:val="001D7C73"/>
    <w:rsid w:val="001E0EA1"/>
    <w:rsid w:val="001E12AB"/>
    <w:rsid w:val="001E16FD"/>
    <w:rsid w:val="001E2360"/>
    <w:rsid w:val="001E23B3"/>
    <w:rsid w:val="001E2489"/>
    <w:rsid w:val="001E2BCC"/>
    <w:rsid w:val="001E2CF1"/>
    <w:rsid w:val="001E3148"/>
    <w:rsid w:val="001E339B"/>
    <w:rsid w:val="001E3528"/>
    <w:rsid w:val="001E37C3"/>
    <w:rsid w:val="001E4324"/>
    <w:rsid w:val="001E4B8A"/>
    <w:rsid w:val="001E4BAF"/>
    <w:rsid w:val="001E4F55"/>
    <w:rsid w:val="001E4F9A"/>
    <w:rsid w:val="001E6359"/>
    <w:rsid w:val="001E67CE"/>
    <w:rsid w:val="001E6A54"/>
    <w:rsid w:val="001E6B1B"/>
    <w:rsid w:val="001E6BC6"/>
    <w:rsid w:val="001E6E81"/>
    <w:rsid w:val="001E7579"/>
    <w:rsid w:val="001E7EEB"/>
    <w:rsid w:val="001F0610"/>
    <w:rsid w:val="001F0E62"/>
    <w:rsid w:val="001F1B51"/>
    <w:rsid w:val="001F1E73"/>
    <w:rsid w:val="001F2568"/>
    <w:rsid w:val="001F2978"/>
    <w:rsid w:val="001F2F64"/>
    <w:rsid w:val="001F36E0"/>
    <w:rsid w:val="001F4F57"/>
    <w:rsid w:val="001F51A9"/>
    <w:rsid w:val="001F6246"/>
    <w:rsid w:val="001F6294"/>
    <w:rsid w:val="001F6496"/>
    <w:rsid w:val="001F6A08"/>
    <w:rsid w:val="001F7D46"/>
    <w:rsid w:val="001F7EF6"/>
    <w:rsid w:val="002011E6"/>
    <w:rsid w:val="0020162C"/>
    <w:rsid w:val="00201BEB"/>
    <w:rsid w:val="00202CB1"/>
    <w:rsid w:val="00202E93"/>
    <w:rsid w:val="0020327E"/>
    <w:rsid w:val="00203559"/>
    <w:rsid w:val="002035A4"/>
    <w:rsid w:val="00203CE7"/>
    <w:rsid w:val="00203D5D"/>
    <w:rsid w:val="00204056"/>
    <w:rsid w:val="0020409B"/>
    <w:rsid w:val="0020440E"/>
    <w:rsid w:val="00204B04"/>
    <w:rsid w:val="00204EAD"/>
    <w:rsid w:val="00204F35"/>
    <w:rsid w:val="0020541F"/>
    <w:rsid w:val="00205A8F"/>
    <w:rsid w:val="00205C3D"/>
    <w:rsid w:val="0020730E"/>
    <w:rsid w:val="00207365"/>
    <w:rsid w:val="00207501"/>
    <w:rsid w:val="00207961"/>
    <w:rsid w:val="0021010F"/>
    <w:rsid w:val="0021088E"/>
    <w:rsid w:val="00210AF6"/>
    <w:rsid w:val="00210BB5"/>
    <w:rsid w:val="00210C20"/>
    <w:rsid w:val="00211347"/>
    <w:rsid w:val="0021151F"/>
    <w:rsid w:val="00211C61"/>
    <w:rsid w:val="002122EF"/>
    <w:rsid w:val="00212A60"/>
    <w:rsid w:val="00213022"/>
    <w:rsid w:val="00213A64"/>
    <w:rsid w:val="00213F22"/>
    <w:rsid w:val="00214EB6"/>
    <w:rsid w:val="00215024"/>
    <w:rsid w:val="00215680"/>
    <w:rsid w:val="00215BF2"/>
    <w:rsid w:val="00215C13"/>
    <w:rsid w:val="00216072"/>
    <w:rsid w:val="00216A67"/>
    <w:rsid w:val="00217567"/>
    <w:rsid w:val="002202DC"/>
    <w:rsid w:val="0022089C"/>
    <w:rsid w:val="00220B64"/>
    <w:rsid w:val="00220D1B"/>
    <w:rsid w:val="00221B2E"/>
    <w:rsid w:val="0022243A"/>
    <w:rsid w:val="00222E3A"/>
    <w:rsid w:val="00222E4A"/>
    <w:rsid w:val="00223137"/>
    <w:rsid w:val="0022328E"/>
    <w:rsid w:val="002235B6"/>
    <w:rsid w:val="00223928"/>
    <w:rsid w:val="00223E87"/>
    <w:rsid w:val="00224327"/>
    <w:rsid w:val="002249CC"/>
    <w:rsid w:val="002254C8"/>
    <w:rsid w:val="0022560F"/>
    <w:rsid w:val="00225A26"/>
    <w:rsid w:val="00225FED"/>
    <w:rsid w:val="002271A0"/>
    <w:rsid w:val="0022725B"/>
    <w:rsid w:val="00227516"/>
    <w:rsid w:val="00227922"/>
    <w:rsid w:val="00230195"/>
    <w:rsid w:val="0023063B"/>
    <w:rsid w:val="00230E9B"/>
    <w:rsid w:val="002319FE"/>
    <w:rsid w:val="00231EB6"/>
    <w:rsid w:val="00231F16"/>
    <w:rsid w:val="00232213"/>
    <w:rsid w:val="002328CE"/>
    <w:rsid w:val="00233917"/>
    <w:rsid w:val="0023478E"/>
    <w:rsid w:val="00234A1C"/>
    <w:rsid w:val="00234A65"/>
    <w:rsid w:val="00234BCE"/>
    <w:rsid w:val="00235374"/>
    <w:rsid w:val="002356B2"/>
    <w:rsid w:val="002358F8"/>
    <w:rsid w:val="00235992"/>
    <w:rsid w:val="002364B9"/>
    <w:rsid w:val="002368C7"/>
    <w:rsid w:val="00236B7E"/>
    <w:rsid w:val="00236CE5"/>
    <w:rsid w:val="0023732C"/>
    <w:rsid w:val="00237548"/>
    <w:rsid w:val="0024032F"/>
    <w:rsid w:val="00240F7C"/>
    <w:rsid w:val="0024103B"/>
    <w:rsid w:val="00241043"/>
    <w:rsid w:val="00241093"/>
    <w:rsid w:val="00241526"/>
    <w:rsid w:val="00241647"/>
    <w:rsid w:val="0024326B"/>
    <w:rsid w:val="002437A1"/>
    <w:rsid w:val="002439AA"/>
    <w:rsid w:val="00244205"/>
    <w:rsid w:val="00244F18"/>
    <w:rsid w:val="00244F5B"/>
    <w:rsid w:val="002454C2"/>
    <w:rsid w:val="0024565F"/>
    <w:rsid w:val="00245951"/>
    <w:rsid w:val="00245955"/>
    <w:rsid w:val="00245961"/>
    <w:rsid w:val="0024629F"/>
    <w:rsid w:val="00246588"/>
    <w:rsid w:val="00246A78"/>
    <w:rsid w:val="00246BAA"/>
    <w:rsid w:val="00246D5F"/>
    <w:rsid w:val="00247E69"/>
    <w:rsid w:val="00250512"/>
    <w:rsid w:val="00250553"/>
    <w:rsid w:val="0025067D"/>
    <w:rsid w:val="00250ADD"/>
    <w:rsid w:val="00250DE4"/>
    <w:rsid w:val="00251376"/>
    <w:rsid w:val="00251E32"/>
    <w:rsid w:val="00252243"/>
    <w:rsid w:val="00252A0F"/>
    <w:rsid w:val="00252A2F"/>
    <w:rsid w:val="00252A82"/>
    <w:rsid w:val="00252C3B"/>
    <w:rsid w:val="00252E2F"/>
    <w:rsid w:val="002535CD"/>
    <w:rsid w:val="002536BF"/>
    <w:rsid w:val="002538EC"/>
    <w:rsid w:val="00253A62"/>
    <w:rsid w:val="002543C5"/>
    <w:rsid w:val="00254E4A"/>
    <w:rsid w:val="00254E60"/>
    <w:rsid w:val="00254EF8"/>
    <w:rsid w:val="002554C1"/>
    <w:rsid w:val="00255E75"/>
    <w:rsid w:val="002566A7"/>
    <w:rsid w:val="002567B0"/>
    <w:rsid w:val="00256A75"/>
    <w:rsid w:val="00257172"/>
    <w:rsid w:val="00257ADB"/>
    <w:rsid w:val="00257F10"/>
    <w:rsid w:val="00260558"/>
    <w:rsid w:val="00260A4D"/>
    <w:rsid w:val="00260D9F"/>
    <w:rsid w:val="00262979"/>
    <w:rsid w:val="00262DEE"/>
    <w:rsid w:val="00263D18"/>
    <w:rsid w:val="00265F0C"/>
    <w:rsid w:val="0026608F"/>
    <w:rsid w:val="002667EA"/>
    <w:rsid w:val="00266986"/>
    <w:rsid w:val="00266B66"/>
    <w:rsid w:val="00270DCF"/>
    <w:rsid w:val="00271284"/>
    <w:rsid w:val="0027187E"/>
    <w:rsid w:val="00272E82"/>
    <w:rsid w:val="002736E1"/>
    <w:rsid w:val="0027381A"/>
    <w:rsid w:val="00274B9F"/>
    <w:rsid w:val="00274BCB"/>
    <w:rsid w:val="002751CD"/>
    <w:rsid w:val="00275583"/>
    <w:rsid w:val="0027605B"/>
    <w:rsid w:val="002767B5"/>
    <w:rsid w:val="00276842"/>
    <w:rsid w:val="00277188"/>
    <w:rsid w:val="0027731F"/>
    <w:rsid w:val="002773AA"/>
    <w:rsid w:val="00277EBC"/>
    <w:rsid w:val="00277F64"/>
    <w:rsid w:val="0028023E"/>
    <w:rsid w:val="0028038F"/>
    <w:rsid w:val="00280594"/>
    <w:rsid w:val="002806C4"/>
    <w:rsid w:val="00280F22"/>
    <w:rsid w:val="002812D1"/>
    <w:rsid w:val="00281BBF"/>
    <w:rsid w:val="0028215A"/>
    <w:rsid w:val="00282EDB"/>
    <w:rsid w:val="00283F1B"/>
    <w:rsid w:val="00284AAA"/>
    <w:rsid w:val="002852C5"/>
    <w:rsid w:val="00285432"/>
    <w:rsid w:val="0028576D"/>
    <w:rsid w:val="002857B7"/>
    <w:rsid w:val="002865C5"/>
    <w:rsid w:val="00286EF0"/>
    <w:rsid w:val="0028724F"/>
    <w:rsid w:val="0028792A"/>
    <w:rsid w:val="0029047E"/>
    <w:rsid w:val="0029094F"/>
    <w:rsid w:val="00290E48"/>
    <w:rsid w:val="00290FD0"/>
    <w:rsid w:val="00291E5A"/>
    <w:rsid w:val="00291EBA"/>
    <w:rsid w:val="002920D7"/>
    <w:rsid w:val="002924AC"/>
    <w:rsid w:val="002925A5"/>
    <w:rsid w:val="002925A6"/>
    <w:rsid w:val="00292786"/>
    <w:rsid w:val="00293095"/>
    <w:rsid w:val="00293325"/>
    <w:rsid w:val="00293A48"/>
    <w:rsid w:val="00293D83"/>
    <w:rsid w:val="00293EA2"/>
    <w:rsid w:val="00294270"/>
    <w:rsid w:val="0029454E"/>
    <w:rsid w:val="00294757"/>
    <w:rsid w:val="00294792"/>
    <w:rsid w:val="00294AE8"/>
    <w:rsid w:val="00294DF8"/>
    <w:rsid w:val="00294EC0"/>
    <w:rsid w:val="00295A9F"/>
    <w:rsid w:val="00295D9D"/>
    <w:rsid w:val="00297353"/>
    <w:rsid w:val="002A03AD"/>
    <w:rsid w:val="002A0EF9"/>
    <w:rsid w:val="002A161F"/>
    <w:rsid w:val="002A1D51"/>
    <w:rsid w:val="002A1F5B"/>
    <w:rsid w:val="002A2402"/>
    <w:rsid w:val="002A2D7A"/>
    <w:rsid w:val="002A30A9"/>
    <w:rsid w:val="002A3237"/>
    <w:rsid w:val="002A3273"/>
    <w:rsid w:val="002A39F0"/>
    <w:rsid w:val="002A3A6E"/>
    <w:rsid w:val="002A3F37"/>
    <w:rsid w:val="002A40C5"/>
    <w:rsid w:val="002A4C16"/>
    <w:rsid w:val="002A4EA6"/>
    <w:rsid w:val="002A512A"/>
    <w:rsid w:val="002A5982"/>
    <w:rsid w:val="002A605E"/>
    <w:rsid w:val="002A6361"/>
    <w:rsid w:val="002A6C8B"/>
    <w:rsid w:val="002A7224"/>
    <w:rsid w:val="002A764C"/>
    <w:rsid w:val="002B0467"/>
    <w:rsid w:val="002B0FB2"/>
    <w:rsid w:val="002B131E"/>
    <w:rsid w:val="002B1E10"/>
    <w:rsid w:val="002B1F13"/>
    <w:rsid w:val="002B2C13"/>
    <w:rsid w:val="002B2DED"/>
    <w:rsid w:val="002B3096"/>
    <w:rsid w:val="002B30A4"/>
    <w:rsid w:val="002B3260"/>
    <w:rsid w:val="002B32D6"/>
    <w:rsid w:val="002B3443"/>
    <w:rsid w:val="002B43F8"/>
    <w:rsid w:val="002B46A5"/>
    <w:rsid w:val="002B4933"/>
    <w:rsid w:val="002B5022"/>
    <w:rsid w:val="002B51CD"/>
    <w:rsid w:val="002B540C"/>
    <w:rsid w:val="002B552B"/>
    <w:rsid w:val="002B5654"/>
    <w:rsid w:val="002B5B13"/>
    <w:rsid w:val="002B6067"/>
    <w:rsid w:val="002B6324"/>
    <w:rsid w:val="002B691F"/>
    <w:rsid w:val="002B6922"/>
    <w:rsid w:val="002B6A9B"/>
    <w:rsid w:val="002B6C17"/>
    <w:rsid w:val="002B6D55"/>
    <w:rsid w:val="002B7096"/>
    <w:rsid w:val="002B7099"/>
    <w:rsid w:val="002B718B"/>
    <w:rsid w:val="002B71DB"/>
    <w:rsid w:val="002B7407"/>
    <w:rsid w:val="002B7E52"/>
    <w:rsid w:val="002C0355"/>
    <w:rsid w:val="002C09D3"/>
    <w:rsid w:val="002C0D6A"/>
    <w:rsid w:val="002C1288"/>
    <w:rsid w:val="002C1290"/>
    <w:rsid w:val="002C1B45"/>
    <w:rsid w:val="002C1C1B"/>
    <w:rsid w:val="002C1D33"/>
    <w:rsid w:val="002C29F9"/>
    <w:rsid w:val="002C30B5"/>
    <w:rsid w:val="002C3481"/>
    <w:rsid w:val="002C3568"/>
    <w:rsid w:val="002C38FD"/>
    <w:rsid w:val="002C424E"/>
    <w:rsid w:val="002C4A67"/>
    <w:rsid w:val="002C4B53"/>
    <w:rsid w:val="002C4E80"/>
    <w:rsid w:val="002C5088"/>
    <w:rsid w:val="002C51F3"/>
    <w:rsid w:val="002C5B42"/>
    <w:rsid w:val="002C5F07"/>
    <w:rsid w:val="002C613F"/>
    <w:rsid w:val="002C61D2"/>
    <w:rsid w:val="002C6CDA"/>
    <w:rsid w:val="002C6D1E"/>
    <w:rsid w:val="002C6F17"/>
    <w:rsid w:val="002C7E67"/>
    <w:rsid w:val="002D07AB"/>
    <w:rsid w:val="002D0906"/>
    <w:rsid w:val="002D0AE7"/>
    <w:rsid w:val="002D0F63"/>
    <w:rsid w:val="002D15A9"/>
    <w:rsid w:val="002D181E"/>
    <w:rsid w:val="002D1BA0"/>
    <w:rsid w:val="002D1DEA"/>
    <w:rsid w:val="002D1DED"/>
    <w:rsid w:val="002D1E68"/>
    <w:rsid w:val="002D2267"/>
    <w:rsid w:val="002D22AE"/>
    <w:rsid w:val="002D2F1F"/>
    <w:rsid w:val="002D2F98"/>
    <w:rsid w:val="002D39CA"/>
    <w:rsid w:val="002D3FB0"/>
    <w:rsid w:val="002D413D"/>
    <w:rsid w:val="002D47C5"/>
    <w:rsid w:val="002D48E5"/>
    <w:rsid w:val="002D5590"/>
    <w:rsid w:val="002D564D"/>
    <w:rsid w:val="002D620B"/>
    <w:rsid w:val="002D74F5"/>
    <w:rsid w:val="002D799D"/>
    <w:rsid w:val="002D7B30"/>
    <w:rsid w:val="002D7B45"/>
    <w:rsid w:val="002D7CA0"/>
    <w:rsid w:val="002E0889"/>
    <w:rsid w:val="002E0C9C"/>
    <w:rsid w:val="002E12FA"/>
    <w:rsid w:val="002E1A74"/>
    <w:rsid w:val="002E1D4D"/>
    <w:rsid w:val="002E1DD5"/>
    <w:rsid w:val="002E1E38"/>
    <w:rsid w:val="002E256D"/>
    <w:rsid w:val="002E2C62"/>
    <w:rsid w:val="002E2C8F"/>
    <w:rsid w:val="002E2DC2"/>
    <w:rsid w:val="002E31B7"/>
    <w:rsid w:val="002E31F6"/>
    <w:rsid w:val="002E38C6"/>
    <w:rsid w:val="002E402D"/>
    <w:rsid w:val="002E40BA"/>
    <w:rsid w:val="002E4455"/>
    <w:rsid w:val="002E6228"/>
    <w:rsid w:val="002E65D7"/>
    <w:rsid w:val="002E72FF"/>
    <w:rsid w:val="002E76D3"/>
    <w:rsid w:val="002F084E"/>
    <w:rsid w:val="002F2B4D"/>
    <w:rsid w:val="002F3219"/>
    <w:rsid w:val="002F3EF0"/>
    <w:rsid w:val="002F4138"/>
    <w:rsid w:val="002F4D34"/>
    <w:rsid w:val="002F6766"/>
    <w:rsid w:val="002F6F72"/>
    <w:rsid w:val="002F762B"/>
    <w:rsid w:val="00300096"/>
    <w:rsid w:val="003003EC"/>
    <w:rsid w:val="00300BCF"/>
    <w:rsid w:val="00300FFA"/>
    <w:rsid w:val="0030105A"/>
    <w:rsid w:val="0030108C"/>
    <w:rsid w:val="00301288"/>
    <w:rsid w:val="003015F6"/>
    <w:rsid w:val="00301EE6"/>
    <w:rsid w:val="00302DFF"/>
    <w:rsid w:val="00303EDF"/>
    <w:rsid w:val="00304243"/>
    <w:rsid w:val="0030465E"/>
    <w:rsid w:val="003049BD"/>
    <w:rsid w:val="00304EED"/>
    <w:rsid w:val="00304F5B"/>
    <w:rsid w:val="00304FF3"/>
    <w:rsid w:val="003054F6"/>
    <w:rsid w:val="00305D22"/>
    <w:rsid w:val="00307598"/>
    <w:rsid w:val="00307682"/>
    <w:rsid w:val="00310247"/>
    <w:rsid w:val="003104E6"/>
    <w:rsid w:val="00310B48"/>
    <w:rsid w:val="0031197B"/>
    <w:rsid w:val="00311C98"/>
    <w:rsid w:val="003129F6"/>
    <w:rsid w:val="00312EB2"/>
    <w:rsid w:val="00313C10"/>
    <w:rsid w:val="0031455A"/>
    <w:rsid w:val="003145E4"/>
    <w:rsid w:val="00314830"/>
    <w:rsid w:val="003148BE"/>
    <w:rsid w:val="00314E64"/>
    <w:rsid w:val="0031510B"/>
    <w:rsid w:val="003154EF"/>
    <w:rsid w:val="003156AB"/>
    <w:rsid w:val="00315B62"/>
    <w:rsid w:val="0031615A"/>
    <w:rsid w:val="0031620C"/>
    <w:rsid w:val="0031656D"/>
    <w:rsid w:val="003173F3"/>
    <w:rsid w:val="00317445"/>
    <w:rsid w:val="003174A1"/>
    <w:rsid w:val="00320719"/>
    <w:rsid w:val="00320833"/>
    <w:rsid w:val="00321301"/>
    <w:rsid w:val="00321B15"/>
    <w:rsid w:val="00322147"/>
    <w:rsid w:val="0032251D"/>
    <w:rsid w:val="00322721"/>
    <w:rsid w:val="00323810"/>
    <w:rsid w:val="0032383B"/>
    <w:rsid w:val="00323CF4"/>
    <w:rsid w:val="00323DF2"/>
    <w:rsid w:val="0032417E"/>
    <w:rsid w:val="0032452F"/>
    <w:rsid w:val="0032496C"/>
    <w:rsid w:val="00324EA8"/>
    <w:rsid w:val="00324F31"/>
    <w:rsid w:val="0032568A"/>
    <w:rsid w:val="00325806"/>
    <w:rsid w:val="0032595F"/>
    <w:rsid w:val="00325968"/>
    <w:rsid w:val="00325CB6"/>
    <w:rsid w:val="00325E27"/>
    <w:rsid w:val="00325FCF"/>
    <w:rsid w:val="00326106"/>
    <w:rsid w:val="00326285"/>
    <w:rsid w:val="00326643"/>
    <w:rsid w:val="00326856"/>
    <w:rsid w:val="00326EA9"/>
    <w:rsid w:val="003303B3"/>
    <w:rsid w:val="0033083D"/>
    <w:rsid w:val="00330A84"/>
    <w:rsid w:val="00330C0B"/>
    <w:rsid w:val="00331ADB"/>
    <w:rsid w:val="00331E63"/>
    <w:rsid w:val="00331E9B"/>
    <w:rsid w:val="00332C9C"/>
    <w:rsid w:val="00333C2A"/>
    <w:rsid w:val="0033456E"/>
    <w:rsid w:val="003347D7"/>
    <w:rsid w:val="00334894"/>
    <w:rsid w:val="00334A25"/>
    <w:rsid w:val="00334E95"/>
    <w:rsid w:val="003351BF"/>
    <w:rsid w:val="003353DA"/>
    <w:rsid w:val="003356EC"/>
    <w:rsid w:val="00335818"/>
    <w:rsid w:val="00335D0C"/>
    <w:rsid w:val="00335EE7"/>
    <w:rsid w:val="003362F9"/>
    <w:rsid w:val="00337421"/>
    <w:rsid w:val="003401F6"/>
    <w:rsid w:val="00340633"/>
    <w:rsid w:val="00340C90"/>
    <w:rsid w:val="00341579"/>
    <w:rsid w:val="00342892"/>
    <w:rsid w:val="00342A0C"/>
    <w:rsid w:val="00343F3D"/>
    <w:rsid w:val="00344139"/>
    <w:rsid w:val="00344D61"/>
    <w:rsid w:val="003454D4"/>
    <w:rsid w:val="003455B9"/>
    <w:rsid w:val="00345BA9"/>
    <w:rsid w:val="00345D7D"/>
    <w:rsid w:val="003465A7"/>
    <w:rsid w:val="00346B08"/>
    <w:rsid w:val="00346FE1"/>
    <w:rsid w:val="00347298"/>
    <w:rsid w:val="003472D3"/>
    <w:rsid w:val="00347526"/>
    <w:rsid w:val="003476FD"/>
    <w:rsid w:val="00347A10"/>
    <w:rsid w:val="00347DA2"/>
    <w:rsid w:val="003500BD"/>
    <w:rsid w:val="0035059D"/>
    <w:rsid w:val="00350625"/>
    <w:rsid w:val="0035068A"/>
    <w:rsid w:val="003511D0"/>
    <w:rsid w:val="0035139A"/>
    <w:rsid w:val="0035199C"/>
    <w:rsid w:val="0035240D"/>
    <w:rsid w:val="00353C12"/>
    <w:rsid w:val="00353CDF"/>
    <w:rsid w:val="003542E9"/>
    <w:rsid w:val="00354AC2"/>
    <w:rsid w:val="00354D15"/>
    <w:rsid w:val="00354F89"/>
    <w:rsid w:val="00355C96"/>
    <w:rsid w:val="00355FC5"/>
    <w:rsid w:val="003564C2"/>
    <w:rsid w:val="00356795"/>
    <w:rsid w:val="00357211"/>
    <w:rsid w:val="00357406"/>
    <w:rsid w:val="00357487"/>
    <w:rsid w:val="00357617"/>
    <w:rsid w:val="00357E11"/>
    <w:rsid w:val="00360ABD"/>
    <w:rsid w:val="00360FF0"/>
    <w:rsid w:val="00361B29"/>
    <w:rsid w:val="00361D75"/>
    <w:rsid w:val="00361E7F"/>
    <w:rsid w:val="00361F14"/>
    <w:rsid w:val="00362039"/>
    <w:rsid w:val="003621F9"/>
    <w:rsid w:val="003621FE"/>
    <w:rsid w:val="003625BA"/>
    <w:rsid w:val="00362635"/>
    <w:rsid w:val="0036267E"/>
    <w:rsid w:val="003627DF"/>
    <w:rsid w:val="00362972"/>
    <w:rsid w:val="00362C1B"/>
    <w:rsid w:val="003632D6"/>
    <w:rsid w:val="00363491"/>
    <w:rsid w:val="00363ACA"/>
    <w:rsid w:val="00363AF3"/>
    <w:rsid w:val="00363B42"/>
    <w:rsid w:val="0036452D"/>
    <w:rsid w:val="003647BA"/>
    <w:rsid w:val="00364AB5"/>
    <w:rsid w:val="003654AA"/>
    <w:rsid w:val="00365834"/>
    <w:rsid w:val="00365C15"/>
    <w:rsid w:val="00366A38"/>
    <w:rsid w:val="00366A91"/>
    <w:rsid w:val="003671DE"/>
    <w:rsid w:val="00367F1C"/>
    <w:rsid w:val="00370596"/>
    <w:rsid w:val="003714D4"/>
    <w:rsid w:val="00371587"/>
    <w:rsid w:val="003726B4"/>
    <w:rsid w:val="00373353"/>
    <w:rsid w:val="00373BBF"/>
    <w:rsid w:val="003757CA"/>
    <w:rsid w:val="0037616C"/>
    <w:rsid w:val="00376FB9"/>
    <w:rsid w:val="00377027"/>
    <w:rsid w:val="003770F0"/>
    <w:rsid w:val="00377C3B"/>
    <w:rsid w:val="00380787"/>
    <w:rsid w:val="00380852"/>
    <w:rsid w:val="003812C1"/>
    <w:rsid w:val="003814E2"/>
    <w:rsid w:val="003817FC"/>
    <w:rsid w:val="00381886"/>
    <w:rsid w:val="00381AAE"/>
    <w:rsid w:val="00381C0C"/>
    <w:rsid w:val="00381CE8"/>
    <w:rsid w:val="003822B4"/>
    <w:rsid w:val="0038289B"/>
    <w:rsid w:val="0038297C"/>
    <w:rsid w:val="003830C5"/>
    <w:rsid w:val="00383308"/>
    <w:rsid w:val="00383322"/>
    <w:rsid w:val="003836E1"/>
    <w:rsid w:val="00383B96"/>
    <w:rsid w:val="00383E08"/>
    <w:rsid w:val="0038445C"/>
    <w:rsid w:val="003846A6"/>
    <w:rsid w:val="00384994"/>
    <w:rsid w:val="00384F06"/>
    <w:rsid w:val="00384F20"/>
    <w:rsid w:val="0038538A"/>
    <w:rsid w:val="00386788"/>
    <w:rsid w:val="00387BDF"/>
    <w:rsid w:val="00387DDC"/>
    <w:rsid w:val="00390C1D"/>
    <w:rsid w:val="00390F99"/>
    <w:rsid w:val="00392046"/>
    <w:rsid w:val="00392581"/>
    <w:rsid w:val="00392CE9"/>
    <w:rsid w:val="003937C0"/>
    <w:rsid w:val="00393980"/>
    <w:rsid w:val="003940A9"/>
    <w:rsid w:val="00394D15"/>
    <w:rsid w:val="0039578B"/>
    <w:rsid w:val="00395875"/>
    <w:rsid w:val="00395A2B"/>
    <w:rsid w:val="00395C57"/>
    <w:rsid w:val="00396B60"/>
    <w:rsid w:val="0039761E"/>
    <w:rsid w:val="003A00A5"/>
    <w:rsid w:val="003A10A4"/>
    <w:rsid w:val="003A114C"/>
    <w:rsid w:val="003A18BD"/>
    <w:rsid w:val="003A202D"/>
    <w:rsid w:val="003A2308"/>
    <w:rsid w:val="003A2428"/>
    <w:rsid w:val="003A3506"/>
    <w:rsid w:val="003A373F"/>
    <w:rsid w:val="003A3BAB"/>
    <w:rsid w:val="003A3C66"/>
    <w:rsid w:val="003A3F35"/>
    <w:rsid w:val="003A42A6"/>
    <w:rsid w:val="003A5421"/>
    <w:rsid w:val="003A5713"/>
    <w:rsid w:val="003A6396"/>
    <w:rsid w:val="003A6D29"/>
    <w:rsid w:val="003A6DF7"/>
    <w:rsid w:val="003A7425"/>
    <w:rsid w:val="003A7656"/>
    <w:rsid w:val="003A77D4"/>
    <w:rsid w:val="003A7836"/>
    <w:rsid w:val="003B0677"/>
    <w:rsid w:val="003B0A32"/>
    <w:rsid w:val="003B1104"/>
    <w:rsid w:val="003B1929"/>
    <w:rsid w:val="003B2484"/>
    <w:rsid w:val="003B25A7"/>
    <w:rsid w:val="003B29A2"/>
    <w:rsid w:val="003B3285"/>
    <w:rsid w:val="003B3872"/>
    <w:rsid w:val="003B3B30"/>
    <w:rsid w:val="003B3EF6"/>
    <w:rsid w:val="003B3F38"/>
    <w:rsid w:val="003B4D43"/>
    <w:rsid w:val="003B5353"/>
    <w:rsid w:val="003B590D"/>
    <w:rsid w:val="003B5BEF"/>
    <w:rsid w:val="003B5F98"/>
    <w:rsid w:val="003B6020"/>
    <w:rsid w:val="003B61BE"/>
    <w:rsid w:val="003B694C"/>
    <w:rsid w:val="003B72C2"/>
    <w:rsid w:val="003B7C3F"/>
    <w:rsid w:val="003C01CB"/>
    <w:rsid w:val="003C03C7"/>
    <w:rsid w:val="003C066E"/>
    <w:rsid w:val="003C0BE7"/>
    <w:rsid w:val="003C12CF"/>
    <w:rsid w:val="003C1347"/>
    <w:rsid w:val="003C1EB2"/>
    <w:rsid w:val="003C264F"/>
    <w:rsid w:val="003C31D8"/>
    <w:rsid w:val="003C3242"/>
    <w:rsid w:val="003C3ACD"/>
    <w:rsid w:val="003C3E3A"/>
    <w:rsid w:val="003C42CB"/>
    <w:rsid w:val="003C4954"/>
    <w:rsid w:val="003C4FDC"/>
    <w:rsid w:val="003C5411"/>
    <w:rsid w:val="003C5E03"/>
    <w:rsid w:val="003C5EA6"/>
    <w:rsid w:val="003C6865"/>
    <w:rsid w:val="003C6DAA"/>
    <w:rsid w:val="003C6E84"/>
    <w:rsid w:val="003C756C"/>
    <w:rsid w:val="003C7702"/>
    <w:rsid w:val="003C7C86"/>
    <w:rsid w:val="003D003E"/>
    <w:rsid w:val="003D0737"/>
    <w:rsid w:val="003D0CAF"/>
    <w:rsid w:val="003D0F26"/>
    <w:rsid w:val="003D173D"/>
    <w:rsid w:val="003D1BB3"/>
    <w:rsid w:val="003D1CC1"/>
    <w:rsid w:val="003D2731"/>
    <w:rsid w:val="003D3F1B"/>
    <w:rsid w:val="003D40A2"/>
    <w:rsid w:val="003D5877"/>
    <w:rsid w:val="003D5F3F"/>
    <w:rsid w:val="003D6285"/>
    <w:rsid w:val="003D64EA"/>
    <w:rsid w:val="003D656F"/>
    <w:rsid w:val="003D7B19"/>
    <w:rsid w:val="003D7E03"/>
    <w:rsid w:val="003E0FBD"/>
    <w:rsid w:val="003E1270"/>
    <w:rsid w:val="003E22B4"/>
    <w:rsid w:val="003E23FA"/>
    <w:rsid w:val="003E2A8E"/>
    <w:rsid w:val="003E32CC"/>
    <w:rsid w:val="003E335C"/>
    <w:rsid w:val="003E3461"/>
    <w:rsid w:val="003E35D9"/>
    <w:rsid w:val="003E3919"/>
    <w:rsid w:val="003E3D42"/>
    <w:rsid w:val="003E3DFF"/>
    <w:rsid w:val="003E3FBA"/>
    <w:rsid w:val="003E492D"/>
    <w:rsid w:val="003E4E72"/>
    <w:rsid w:val="003E5062"/>
    <w:rsid w:val="003E594F"/>
    <w:rsid w:val="003E6446"/>
    <w:rsid w:val="003E67E4"/>
    <w:rsid w:val="003E6913"/>
    <w:rsid w:val="003E6BFF"/>
    <w:rsid w:val="003E7436"/>
    <w:rsid w:val="003E7594"/>
    <w:rsid w:val="003E7FAE"/>
    <w:rsid w:val="003F0261"/>
    <w:rsid w:val="003F06F7"/>
    <w:rsid w:val="003F0AE5"/>
    <w:rsid w:val="003F143F"/>
    <w:rsid w:val="003F1B38"/>
    <w:rsid w:val="003F1D69"/>
    <w:rsid w:val="003F28BE"/>
    <w:rsid w:val="003F296D"/>
    <w:rsid w:val="003F39FD"/>
    <w:rsid w:val="003F3F73"/>
    <w:rsid w:val="003F4665"/>
    <w:rsid w:val="003F4C4D"/>
    <w:rsid w:val="003F4F34"/>
    <w:rsid w:val="003F512A"/>
    <w:rsid w:val="003F5ABE"/>
    <w:rsid w:val="003F5E7D"/>
    <w:rsid w:val="003F6737"/>
    <w:rsid w:val="003F68F8"/>
    <w:rsid w:val="003F6AF5"/>
    <w:rsid w:val="004002AF"/>
    <w:rsid w:val="00400A9C"/>
    <w:rsid w:val="0040195A"/>
    <w:rsid w:val="004020E7"/>
    <w:rsid w:val="004028AB"/>
    <w:rsid w:val="00403A49"/>
    <w:rsid w:val="00403AFE"/>
    <w:rsid w:val="00403CE3"/>
    <w:rsid w:val="00404075"/>
    <w:rsid w:val="00404202"/>
    <w:rsid w:val="00404376"/>
    <w:rsid w:val="004045F8"/>
    <w:rsid w:val="00404936"/>
    <w:rsid w:val="0040499E"/>
    <w:rsid w:val="00404A34"/>
    <w:rsid w:val="00404A94"/>
    <w:rsid w:val="0040691E"/>
    <w:rsid w:val="00406926"/>
    <w:rsid w:val="00406BDF"/>
    <w:rsid w:val="0040787C"/>
    <w:rsid w:val="00407F99"/>
    <w:rsid w:val="00410734"/>
    <w:rsid w:val="00410B44"/>
    <w:rsid w:val="0041135A"/>
    <w:rsid w:val="00411CBA"/>
    <w:rsid w:val="00412633"/>
    <w:rsid w:val="004129D8"/>
    <w:rsid w:val="00413EC3"/>
    <w:rsid w:val="00414889"/>
    <w:rsid w:val="004149D2"/>
    <w:rsid w:val="00414D2F"/>
    <w:rsid w:val="00414DF0"/>
    <w:rsid w:val="00415430"/>
    <w:rsid w:val="004158D3"/>
    <w:rsid w:val="00415BFD"/>
    <w:rsid w:val="00415DFF"/>
    <w:rsid w:val="00416184"/>
    <w:rsid w:val="004165E5"/>
    <w:rsid w:val="00416DB5"/>
    <w:rsid w:val="00416DC9"/>
    <w:rsid w:val="00416E5C"/>
    <w:rsid w:val="00417877"/>
    <w:rsid w:val="00417D83"/>
    <w:rsid w:val="004205A0"/>
    <w:rsid w:val="00420705"/>
    <w:rsid w:val="00420B1E"/>
    <w:rsid w:val="00421822"/>
    <w:rsid w:val="00421B96"/>
    <w:rsid w:val="00422743"/>
    <w:rsid w:val="00422C35"/>
    <w:rsid w:val="004230AB"/>
    <w:rsid w:val="00423267"/>
    <w:rsid w:val="00423283"/>
    <w:rsid w:val="00423E04"/>
    <w:rsid w:val="00424475"/>
    <w:rsid w:val="004247CF"/>
    <w:rsid w:val="004252C6"/>
    <w:rsid w:val="00425C7C"/>
    <w:rsid w:val="004272B9"/>
    <w:rsid w:val="00427D65"/>
    <w:rsid w:val="004311A7"/>
    <w:rsid w:val="00431A08"/>
    <w:rsid w:val="00431E06"/>
    <w:rsid w:val="00432B09"/>
    <w:rsid w:val="00433E7F"/>
    <w:rsid w:val="004342E6"/>
    <w:rsid w:val="00434BAD"/>
    <w:rsid w:val="00434BCA"/>
    <w:rsid w:val="00436965"/>
    <w:rsid w:val="0043735F"/>
    <w:rsid w:val="00437ABF"/>
    <w:rsid w:val="0044008B"/>
    <w:rsid w:val="0044188D"/>
    <w:rsid w:val="0044267A"/>
    <w:rsid w:val="00442B4A"/>
    <w:rsid w:val="004436A9"/>
    <w:rsid w:val="0044396D"/>
    <w:rsid w:val="00444573"/>
    <w:rsid w:val="00444D5D"/>
    <w:rsid w:val="0044673C"/>
    <w:rsid w:val="00446E6D"/>
    <w:rsid w:val="004470D6"/>
    <w:rsid w:val="0044754B"/>
    <w:rsid w:val="00447986"/>
    <w:rsid w:val="0045006B"/>
    <w:rsid w:val="004505AE"/>
    <w:rsid w:val="00450654"/>
    <w:rsid w:val="004506FD"/>
    <w:rsid w:val="00450CF2"/>
    <w:rsid w:val="004513A6"/>
    <w:rsid w:val="00451B3B"/>
    <w:rsid w:val="004532B4"/>
    <w:rsid w:val="00453BB1"/>
    <w:rsid w:val="00453F09"/>
    <w:rsid w:val="00454667"/>
    <w:rsid w:val="00455212"/>
    <w:rsid w:val="00455533"/>
    <w:rsid w:val="00455864"/>
    <w:rsid w:val="00455C8D"/>
    <w:rsid w:val="00455EAE"/>
    <w:rsid w:val="00456A0A"/>
    <w:rsid w:val="00456F43"/>
    <w:rsid w:val="004570BC"/>
    <w:rsid w:val="00457BED"/>
    <w:rsid w:val="00457D19"/>
    <w:rsid w:val="00460794"/>
    <w:rsid w:val="00460E24"/>
    <w:rsid w:val="00460FD4"/>
    <w:rsid w:val="004615B4"/>
    <w:rsid w:val="00461994"/>
    <w:rsid w:val="00461E07"/>
    <w:rsid w:val="00462212"/>
    <w:rsid w:val="004622CF"/>
    <w:rsid w:val="0046277A"/>
    <w:rsid w:val="00462DCD"/>
    <w:rsid w:val="00462DF4"/>
    <w:rsid w:val="00462E01"/>
    <w:rsid w:val="0046313A"/>
    <w:rsid w:val="004640FE"/>
    <w:rsid w:val="004641D5"/>
    <w:rsid w:val="00464AD5"/>
    <w:rsid w:val="00464FF5"/>
    <w:rsid w:val="0046503B"/>
    <w:rsid w:val="004651B7"/>
    <w:rsid w:val="0046521B"/>
    <w:rsid w:val="00465220"/>
    <w:rsid w:val="00465337"/>
    <w:rsid w:val="004657D6"/>
    <w:rsid w:val="00465B58"/>
    <w:rsid w:val="00466FA0"/>
    <w:rsid w:val="00467211"/>
    <w:rsid w:val="0046767B"/>
    <w:rsid w:val="00467A05"/>
    <w:rsid w:val="0047043B"/>
    <w:rsid w:val="004705DA"/>
    <w:rsid w:val="00470EA4"/>
    <w:rsid w:val="00471012"/>
    <w:rsid w:val="0047160D"/>
    <w:rsid w:val="004719BB"/>
    <w:rsid w:val="004719EA"/>
    <w:rsid w:val="00471FD6"/>
    <w:rsid w:val="0047252D"/>
    <w:rsid w:val="00472FA5"/>
    <w:rsid w:val="004733FE"/>
    <w:rsid w:val="00473EA1"/>
    <w:rsid w:val="00474AFC"/>
    <w:rsid w:val="004757A1"/>
    <w:rsid w:val="004759F8"/>
    <w:rsid w:val="0047721A"/>
    <w:rsid w:val="004772C4"/>
    <w:rsid w:val="004772EA"/>
    <w:rsid w:val="00477708"/>
    <w:rsid w:val="0047794A"/>
    <w:rsid w:val="0047798B"/>
    <w:rsid w:val="00477C19"/>
    <w:rsid w:val="0048062E"/>
    <w:rsid w:val="00481331"/>
    <w:rsid w:val="00481503"/>
    <w:rsid w:val="004815E4"/>
    <w:rsid w:val="0048208B"/>
    <w:rsid w:val="004824AD"/>
    <w:rsid w:val="004826F8"/>
    <w:rsid w:val="00482818"/>
    <w:rsid w:val="004835C0"/>
    <w:rsid w:val="0048369D"/>
    <w:rsid w:val="004836BB"/>
    <w:rsid w:val="00483A50"/>
    <w:rsid w:val="00483DE8"/>
    <w:rsid w:val="004855E0"/>
    <w:rsid w:val="00485AB7"/>
    <w:rsid w:val="00486E44"/>
    <w:rsid w:val="0048726B"/>
    <w:rsid w:val="00487416"/>
    <w:rsid w:val="00487575"/>
    <w:rsid w:val="004875FF"/>
    <w:rsid w:val="00487791"/>
    <w:rsid w:val="0049073C"/>
    <w:rsid w:val="00490C79"/>
    <w:rsid w:val="00490F8F"/>
    <w:rsid w:val="004910EC"/>
    <w:rsid w:val="00491E61"/>
    <w:rsid w:val="004924DC"/>
    <w:rsid w:val="00492D4E"/>
    <w:rsid w:val="00494779"/>
    <w:rsid w:val="00494A54"/>
    <w:rsid w:val="00494F3B"/>
    <w:rsid w:val="00495300"/>
    <w:rsid w:val="00495772"/>
    <w:rsid w:val="00495FE5"/>
    <w:rsid w:val="00496668"/>
    <w:rsid w:val="0049670C"/>
    <w:rsid w:val="00496801"/>
    <w:rsid w:val="00496CC2"/>
    <w:rsid w:val="0049725A"/>
    <w:rsid w:val="004979B0"/>
    <w:rsid w:val="004A0172"/>
    <w:rsid w:val="004A0317"/>
    <w:rsid w:val="004A0323"/>
    <w:rsid w:val="004A03FC"/>
    <w:rsid w:val="004A1BF4"/>
    <w:rsid w:val="004A1C68"/>
    <w:rsid w:val="004A1D7B"/>
    <w:rsid w:val="004A1FC9"/>
    <w:rsid w:val="004A20C2"/>
    <w:rsid w:val="004A27C3"/>
    <w:rsid w:val="004A33E1"/>
    <w:rsid w:val="004A3E35"/>
    <w:rsid w:val="004A4911"/>
    <w:rsid w:val="004A4966"/>
    <w:rsid w:val="004A4E58"/>
    <w:rsid w:val="004A54AC"/>
    <w:rsid w:val="004A5AB9"/>
    <w:rsid w:val="004A5B11"/>
    <w:rsid w:val="004A62D0"/>
    <w:rsid w:val="004A6606"/>
    <w:rsid w:val="004A6691"/>
    <w:rsid w:val="004A6E7C"/>
    <w:rsid w:val="004A739B"/>
    <w:rsid w:val="004A7DB8"/>
    <w:rsid w:val="004B0E37"/>
    <w:rsid w:val="004B163D"/>
    <w:rsid w:val="004B1B23"/>
    <w:rsid w:val="004B1B5C"/>
    <w:rsid w:val="004B1CE2"/>
    <w:rsid w:val="004B2380"/>
    <w:rsid w:val="004B27B1"/>
    <w:rsid w:val="004B2BB1"/>
    <w:rsid w:val="004B2D0B"/>
    <w:rsid w:val="004B2D70"/>
    <w:rsid w:val="004B44D8"/>
    <w:rsid w:val="004B4670"/>
    <w:rsid w:val="004B4BF4"/>
    <w:rsid w:val="004B4F8D"/>
    <w:rsid w:val="004B5271"/>
    <w:rsid w:val="004B548E"/>
    <w:rsid w:val="004B6D63"/>
    <w:rsid w:val="004B6FD2"/>
    <w:rsid w:val="004B7277"/>
    <w:rsid w:val="004B7330"/>
    <w:rsid w:val="004B7567"/>
    <w:rsid w:val="004B757B"/>
    <w:rsid w:val="004B7E11"/>
    <w:rsid w:val="004C0074"/>
    <w:rsid w:val="004C0192"/>
    <w:rsid w:val="004C0405"/>
    <w:rsid w:val="004C05CD"/>
    <w:rsid w:val="004C08FA"/>
    <w:rsid w:val="004C0DC7"/>
    <w:rsid w:val="004C0EEC"/>
    <w:rsid w:val="004C12F6"/>
    <w:rsid w:val="004C175C"/>
    <w:rsid w:val="004C193B"/>
    <w:rsid w:val="004C1E4A"/>
    <w:rsid w:val="004C3162"/>
    <w:rsid w:val="004C5AE8"/>
    <w:rsid w:val="004C6206"/>
    <w:rsid w:val="004C6777"/>
    <w:rsid w:val="004C6803"/>
    <w:rsid w:val="004C6D8F"/>
    <w:rsid w:val="004C6E7A"/>
    <w:rsid w:val="004C6FF1"/>
    <w:rsid w:val="004C7B19"/>
    <w:rsid w:val="004C7D59"/>
    <w:rsid w:val="004C7E31"/>
    <w:rsid w:val="004D0100"/>
    <w:rsid w:val="004D0286"/>
    <w:rsid w:val="004D0D78"/>
    <w:rsid w:val="004D257A"/>
    <w:rsid w:val="004D33CA"/>
    <w:rsid w:val="004D3B6F"/>
    <w:rsid w:val="004D4324"/>
    <w:rsid w:val="004D511A"/>
    <w:rsid w:val="004D5124"/>
    <w:rsid w:val="004D544E"/>
    <w:rsid w:val="004D57CF"/>
    <w:rsid w:val="004D5A23"/>
    <w:rsid w:val="004D60A0"/>
    <w:rsid w:val="004D6A21"/>
    <w:rsid w:val="004D6C61"/>
    <w:rsid w:val="004D753C"/>
    <w:rsid w:val="004D78BE"/>
    <w:rsid w:val="004E04EA"/>
    <w:rsid w:val="004E057A"/>
    <w:rsid w:val="004E0FBF"/>
    <w:rsid w:val="004E1A79"/>
    <w:rsid w:val="004E243A"/>
    <w:rsid w:val="004E267D"/>
    <w:rsid w:val="004E2BA4"/>
    <w:rsid w:val="004E415E"/>
    <w:rsid w:val="004E4235"/>
    <w:rsid w:val="004E45A3"/>
    <w:rsid w:val="004E496F"/>
    <w:rsid w:val="004E59A8"/>
    <w:rsid w:val="004E5C87"/>
    <w:rsid w:val="004E633A"/>
    <w:rsid w:val="004E65FB"/>
    <w:rsid w:val="004E686F"/>
    <w:rsid w:val="004E6C6D"/>
    <w:rsid w:val="004E76FF"/>
    <w:rsid w:val="004E7953"/>
    <w:rsid w:val="004E7DD3"/>
    <w:rsid w:val="004E7EB2"/>
    <w:rsid w:val="004E7FF7"/>
    <w:rsid w:val="004F0425"/>
    <w:rsid w:val="004F0532"/>
    <w:rsid w:val="004F0B19"/>
    <w:rsid w:val="004F0C53"/>
    <w:rsid w:val="004F14AF"/>
    <w:rsid w:val="004F14FB"/>
    <w:rsid w:val="004F1769"/>
    <w:rsid w:val="004F1D41"/>
    <w:rsid w:val="004F1E45"/>
    <w:rsid w:val="004F22D4"/>
    <w:rsid w:val="004F29B5"/>
    <w:rsid w:val="004F3705"/>
    <w:rsid w:val="004F39DD"/>
    <w:rsid w:val="004F3A48"/>
    <w:rsid w:val="004F42BB"/>
    <w:rsid w:val="004F4375"/>
    <w:rsid w:val="004F46D8"/>
    <w:rsid w:val="004F4CB0"/>
    <w:rsid w:val="004F54C4"/>
    <w:rsid w:val="004F5B6C"/>
    <w:rsid w:val="004F5D23"/>
    <w:rsid w:val="004F5DE1"/>
    <w:rsid w:val="004F6525"/>
    <w:rsid w:val="004F65FD"/>
    <w:rsid w:val="004F736C"/>
    <w:rsid w:val="004F7695"/>
    <w:rsid w:val="005006B4"/>
    <w:rsid w:val="005007A5"/>
    <w:rsid w:val="00500A1E"/>
    <w:rsid w:val="00500BB8"/>
    <w:rsid w:val="00500CA9"/>
    <w:rsid w:val="00501A1B"/>
    <w:rsid w:val="00501D28"/>
    <w:rsid w:val="00501DF5"/>
    <w:rsid w:val="005023E6"/>
    <w:rsid w:val="00503048"/>
    <w:rsid w:val="00503CDD"/>
    <w:rsid w:val="00504285"/>
    <w:rsid w:val="0050438D"/>
    <w:rsid w:val="00504BE6"/>
    <w:rsid w:val="00505095"/>
    <w:rsid w:val="00505445"/>
    <w:rsid w:val="005057AD"/>
    <w:rsid w:val="005059BE"/>
    <w:rsid w:val="00505EF7"/>
    <w:rsid w:val="0050623E"/>
    <w:rsid w:val="00506376"/>
    <w:rsid w:val="00507051"/>
    <w:rsid w:val="00507455"/>
    <w:rsid w:val="00507890"/>
    <w:rsid w:val="00507EBF"/>
    <w:rsid w:val="00507FDC"/>
    <w:rsid w:val="00510345"/>
    <w:rsid w:val="00511A4B"/>
    <w:rsid w:val="00511B0D"/>
    <w:rsid w:val="00511B20"/>
    <w:rsid w:val="005126EC"/>
    <w:rsid w:val="005127FB"/>
    <w:rsid w:val="0051296D"/>
    <w:rsid w:val="00512BC1"/>
    <w:rsid w:val="00512C98"/>
    <w:rsid w:val="005131F8"/>
    <w:rsid w:val="0051398B"/>
    <w:rsid w:val="00513A91"/>
    <w:rsid w:val="00513DEB"/>
    <w:rsid w:val="00514A0F"/>
    <w:rsid w:val="00514B03"/>
    <w:rsid w:val="00514B24"/>
    <w:rsid w:val="00514D12"/>
    <w:rsid w:val="005157D4"/>
    <w:rsid w:val="00516C08"/>
    <w:rsid w:val="0051748A"/>
    <w:rsid w:val="005178AF"/>
    <w:rsid w:val="005201A9"/>
    <w:rsid w:val="005201B6"/>
    <w:rsid w:val="00520842"/>
    <w:rsid w:val="00521976"/>
    <w:rsid w:val="00521CF3"/>
    <w:rsid w:val="00522889"/>
    <w:rsid w:val="005230DE"/>
    <w:rsid w:val="005239F5"/>
    <w:rsid w:val="00523BBE"/>
    <w:rsid w:val="005248B1"/>
    <w:rsid w:val="00525193"/>
    <w:rsid w:val="00525876"/>
    <w:rsid w:val="00525DA4"/>
    <w:rsid w:val="005275E8"/>
    <w:rsid w:val="00527CA1"/>
    <w:rsid w:val="00527D91"/>
    <w:rsid w:val="00530251"/>
    <w:rsid w:val="00530454"/>
    <w:rsid w:val="00530867"/>
    <w:rsid w:val="00530C71"/>
    <w:rsid w:val="00530EBD"/>
    <w:rsid w:val="0053158A"/>
    <w:rsid w:val="00531B13"/>
    <w:rsid w:val="00531CE8"/>
    <w:rsid w:val="005323DD"/>
    <w:rsid w:val="005325A6"/>
    <w:rsid w:val="005326BB"/>
    <w:rsid w:val="00532D1B"/>
    <w:rsid w:val="00533523"/>
    <w:rsid w:val="00533677"/>
    <w:rsid w:val="0053376D"/>
    <w:rsid w:val="00533B91"/>
    <w:rsid w:val="0053404C"/>
    <w:rsid w:val="005345BD"/>
    <w:rsid w:val="00534624"/>
    <w:rsid w:val="00534658"/>
    <w:rsid w:val="00534B97"/>
    <w:rsid w:val="005350C5"/>
    <w:rsid w:val="005350CF"/>
    <w:rsid w:val="00535445"/>
    <w:rsid w:val="005358B2"/>
    <w:rsid w:val="0053775D"/>
    <w:rsid w:val="0053793A"/>
    <w:rsid w:val="00537942"/>
    <w:rsid w:val="0054104C"/>
    <w:rsid w:val="005414B7"/>
    <w:rsid w:val="005417EE"/>
    <w:rsid w:val="0054270B"/>
    <w:rsid w:val="00542A0A"/>
    <w:rsid w:val="00543341"/>
    <w:rsid w:val="00544CDD"/>
    <w:rsid w:val="0054571F"/>
    <w:rsid w:val="005458F1"/>
    <w:rsid w:val="005460C7"/>
    <w:rsid w:val="0054776F"/>
    <w:rsid w:val="00547B8B"/>
    <w:rsid w:val="00547BC2"/>
    <w:rsid w:val="00547C7B"/>
    <w:rsid w:val="00547E4C"/>
    <w:rsid w:val="0055012C"/>
    <w:rsid w:val="00550696"/>
    <w:rsid w:val="00550BBC"/>
    <w:rsid w:val="005514CA"/>
    <w:rsid w:val="00551ECA"/>
    <w:rsid w:val="0055206D"/>
    <w:rsid w:val="00552318"/>
    <w:rsid w:val="00552523"/>
    <w:rsid w:val="005526DF"/>
    <w:rsid w:val="005529B6"/>
    <w:rsid w:val="00553609"/>
    <w:rsid w:val="00553753"/>
    <w:rsid w:val="00553AD8"/>
    <w:rsid w:val="00553F68"/>
    <w:rsid w:val="0055426D"/>
    <w:rsid w:val="00554420"/>
    <w:rsid w:val="0055476C"/>
    <w:rsid w:val="00554822"/>
    <w:rsid w:val="00554CD7"/>
    <w:rsid w:val="0055663C"/>
    <w:rsid w:val="00556A71"/>
    <w:rsid w:val="00556AA2"/>
    <w:rsid w:val="00556EB8"/>
    <w:rsid w:val="00557CA9"/>
    <w:rsid w:val="0056007D"/>
    <w:rsid w:val="00560CE5"/>
    <w:rsid w:val="00560E8C"/>
    <w:rsid w:val="005618AE"/>
    <w:rsid w:val="00561CC5"/>
    <w:rsid w:val="00562FF9"/>
    <w:rsid w:val="00564627"/>
    <w:rsid w:val="0056488B"/>
    <w:rsid w:val="005648D0"/>
    <w:rsid w:val="00564C60"/>
    <w:rsid w:val="00565478"/>
    <w:rsid w:val="005656B8"/>
    <w:rsid w:val="00565719"/>
    <w:rsid w:val="00565E01"/>
    <w:rsid w:val="00565FBE"/>
    <w:rsid w:val="005661D8"/>
    <w:rsid w:val="005673E3"/>
    <w:rsid w:val="005677C7"/>
    <w:rsid w:val="00567BF4"/>
    <w:rsid w:val="00567C17"/>
    <w:rsid w:val="00571690"/>
    <w:rsid w:val="0057186C"/>
    <w:rsid w:val="00571EE1"/>
    <w:rsid w:val="00572059"/>
    <w:rsid w:val="005721B6"/>
    <w:rsid w:val="00572B82"/>
    <w:rsid w:val="005735FB"/>
    <w:rsid w:val="005737A4"/>
    <w:rsid w:val="0057382F"/>
    <w:rsid w:val="00573E1E"/>
    <w:rsid w:val="0057434D"/>
    <w:rsid w:val="00574BC4"/>
    <w:rsid w:val="005752B7"/>
    <w:rsid w:val="00576115"/>
    <w:rsid w:val="00577283"/>
    <w:rsid w:val="005777EB"/>
    <w:rsid w:val="00577E20"/>
    <w:rsid w:val="005800D0"/>
    <w:rsid w:val="005803E8"/>
    <w:rsid w:val="00580BB7"/>
    <w:rsid w:val="005810F3"/>
    <w:rsid w:val="005814D0"/>
    <w:rsid w:val="005821C9"/>
    <w:rsid w:val="005823B0"/>
    <w:rsid w:val="00582D46"/>
    <w:rsid w:val="00583576"/>
    <w:rsid w:val="00583BB0"/>
    <w:rsid w:val="00583BF5"/>
    <w:rsid w:val="00583D1E"/>
    <w:rsid w:val="00583EC2"/>
    <w:rsid w:val="00584B33"/>
    <w:rsid w:val="00585373"/>
    <w:rsid w:val="005853DA"/>
    <w:rsid w:val="005855E0"/>
    <w:rsid w:val="00585B42"/>
    <w:rsid w:val="00585C60"/>
    <w:rsid w:val="00585F81"/>
    <w:rsid w:val="005863F6"/>
    <w:rsid w:val="00587BC3"/>
    <w:rsid w:val="00590715"/>
    <w:rsid w:val="00591DC0"/>
    <w:rsid w:val="00591E69"/>
    <w:rsid w:val="005921DC"/>
    <w:rsid w:val="0059262E"/>
    <w:rsid w:val="00592B8E"/>
    <w:rsid w:val="0059339F"/>
    <w:rsid w:val="005939BD"/>
    <w:rsid w:val="00593EDB"/>
    <w:rsid w:val="005940D8"/>
    <w:rsid w:val="00594548"/>
    <w:rsid w:val="005948EE"/>
    <w:rsid w:val="00594D78"/>
    <w:rsid w:val="005953E2"/>
    <w:rsid w:val="00596437"/>
    <w:rsid w:val="00596825"/>
    <w:rsid w:val="005A0309"/>
    <w:rsid w:val="005A0456"/>
    <w:rsid w:val="005A1093"/>
    <w:rsid w:val="005A11C4"/>
    <w:rsid w:val="005A1FAE"/>
    <w:rsid w:val="005A25A0"/>
    <w:rsid w:val="005A2883"/>
    <w:rsid w:val="005A2CCA"/>
    <w:rsid w:val="005A2F16"/>
    <w:rsid w:val="005A30C5"/>
    <w:rsid w:val="005A3401"/>
    <w:rsid w:val="005A3989"/>
    <w:rsid w:val="005A3F75"/>
    <w:rsid w:val="005A518C"/>
    <w:rsid w:val="005A52C6"/>
    <w:rsid w:val="005A53E7"/>
    <w:rsid w:val="005A663C"/>
    <w:rsid w:val="005A73AC"/>
    <w:rsid w:val="005A76B3"/>
    <w:rsid w:val="005A79AC"/>
    <w:rsid w:val="005A7E37"/>
    <w:rsid w:val="005B09C8"/>
    <w:rsid w:val="005B0EB4"/>
    <w:rsid w:val="005B11D2"/>
    <w:rsid w:val="005B14FF"/>
    <w:rsid w:val="005B15B3"/>
    <w:rsid w:val="005B184E"/>
    <w:rsid w:val="005B21CF"/>
    <w:rsid w:val="005B2616"/>
    <w:rsid w:val="005B26DE"/>
    <w:rsid w:val="005B28FC"/>
    <w:rsid w:val="005B2C8A"/>
    <w:rsid w:val="005B338F"/>
    <w:rsid w:val="005B378B"/>
    <w:rsid w:val="005B3AB6"/>
    <w:rsid w:val="005B3B08"/>
    <w:rsid w:val="005B3B5A"/>
    <w:rsid w:val="005B3F1B"/>
    <w:rsid w:val="005B4C64"/>
    <w:rsid w:val="005B52B7"/>
    <w:rsid w:val="005B569A"/>
    <w:rsid w:val="005B59C0"/>
    <w:rsid w:val="005B5E29"/>
    <w:rsid w:val="005B7356"/>
    <w:rsid w:val="005B75BB"/>
    <w:rsid w:val="005B7EE8"/>
    <w:rsid w:val="005C0327"/>
    <w:rsid w:val="005C06F9"/>
    <w:rsid w:val="005C0852"/>
    <w:rsid w:val="005C0AD2"/>
    <w:rsid w:val="005C1DC5"/>
    <w:rsid w:val="005C1EDF"/>
    <w:rsid w:val="005C23D3"/>
    <w:rsid w:val="005C240B"/>
    <w:rsid w:val="005C2A65"/>
    <w:rsid w:val="005C3008"/>
    <w:rsid w:val="005C330F"/>
    <w:rsid w:val="005C38EA"/>
    <w:rsid w:val="005C3B89"/>
    <w:rsid w:val="005C4589"/>
    <w:rsid w:val="005C45FC"/>
    <w:rsid w:val="005C4845"/>
    <w:rsid w:val="005C48A2"/>
    <w:rsid w:val="005C4E35"/>
    <w:rsid w:val="005C53EE"/>
    <w:rsid w:val="005C5813"/>
    <w:rsid w:val="005C5A25"/>
    <w:rsid w:val="005C5AC3"/>
    <w:rsid w:val="005C6507"/>
    <w:rsid w:val="005C6630"/>
    <w:rsid w:val="005C682A"/>
    <w:rsid w:val="005C724B"/>
    <w:rsid w:val="005C74ED"/>
    <w:rsid w:val="005C7B4B"/>
    <w:rsid w:val="005D0232"/>
    <w:rsid w:val="005D06EE"/>
    <w:rsid w:val="005D0AD5"/>
    <w:rsid w:val="005D0E0A"/>
    <w:rsid w:val="005D10C8"/>
    <w:rsid w:val="005D10E6"/>
    <w:rsid w:val="005D147F"/>
    <w:rsid w:val="005D1643"/>
    <w:rsid w:val="005D1A66"/>
    <w:rsid w:val="005D1B6B"/>
    <w:rsid w:val="005D1E56"/>
    <w:rsid w:val="005D1FFC"/>
    <w:rsid w:val="005D2043"/>
    <w:rsid w:val="005D25A3"/>
    <w:rsid w:val="005D3434"/>
    <w:rsid w:val="005D3A46"/>
    <w:rsid w:val="005D4654"/>
    <w:rsid w:val="005D47B1"/>
    <w:rsid w:val="005D48AA"/>
    <w:rsid w:val="005D52A7"/>
    <w:rsid w:val="005D5C77"/>
    <w:rsid w:val="005D61DA"/>
    <w:rsid w:val="005D635E"/>
    <w:rsid w:val="005D785F"/>
    <w:rsid w:val="005D7F73"/>
    <w:rsid w:val="005E102B"/>
    <w:rsid w:val="005E13BA"/>
    <w:rsid w:val="005E1CCF"/>
    <w:rsid w:val="005E1ECD"/>
    <w:rsid w:val="005E2662"/>
    <w:rsid w:val="005E2732"/>
    <w:rsid w:val="005E28AA"/>
    <w:rsid w:val="005E2AC9"/>
    <w:rsid w:val="005E3AB8"/>
    <w:rsid w:val="005E423C"/>
    <w:rsid w:val="005E4272"/>
    <w:rsid w:val="005E5987"/>
    <w:rsid w:val="005E5A6C"/>
    <w:rsid w:val="005E5D00"/>
    <w:rsid w:val="005E5E92"/>
    <w:rsid w:val="005E61D4"/>
    <w:rsid w:val="005E746C"/>
    <w:rsid w:val="005E7939"/>
    <w:rsid w:val="005E7ED2"/>
    <w:rsid w:val="005F08BA"/>
    <w:rsid w:val="005F13C5"/>
    <w:rsid w:val="005F1673"/>
    <w:rsid w:val="005F1975"/>
    <w:rsid w:val="005F1B34"/>
    <w:rsid w:val="005F2199"/>
    <w:rsid w:val="005F2416"/>
    <w:rsid w:val="005F257B"/>
    <w:rsid w:val="005F263C"/>
    <w:rsid w:val="005F3417"/>
    <w:rsid w:val="005F3A28"/>
    <w:rsid w:val="005F4582"/>
    <w:rsid w:val="005F4D7F"/>
    <w:rsid w:val="005F5299"/>
    <w:rsid w:val="005F57B8"/>
    <w:rsid w:val="005F58C4"/>
    <w:rsid w:val="005F5BA3"/>
    <w:rsid w:val="005F6925"/>
    <w:rsid w:val="005F6D8F"/>
    <w:rsid w:val="005F7475"/>
    <w:rsid w:val="005F7B2C"/>
    <w:rsid w:val="005F7D68"/>
    <w:rsid w:val="005F7FA5"/>
    <w:rsid w:val="00600351"/>
    <w:rsid w:val="0060041C"/>
    <w:rsid w:val="006011CD"/>
    <w:rsid w:val="00601740"/>
    <w:rsid w:val="00603678"/>
    <w:rsid w:val="006038A5"/>
    <w:rsid w:val="00603951"/>
    <w:rsid w:val="00604EF3"/>
    <w:rsid w:val="0060521D"/>
    <w:rsid w:val="00605C04"/>
    <w:rsid w:val="00605E81"/>
    <w:rsid w:val="006066AB"/>
    <w:rsid w:val="00606C96"/>
    <w:rsid w:val="00606EFD"/>
    <w:rsid w:val="00607157"/>
    <w:rsid w:val="0060783C"/>
    <w:rsid w:val="00607845"/>
    <w:rsid w:val="00607B62"/>
    <w:rsid w:val="006104E3"/>
    <w:rsid w:val="006104FB"/>
    <w:rsid w:val="0061095D"/>
    <w:rsid w:val="006110E3"/>
    <w:rsid w:val="006111F3"/>
    <w:rsid w:val="00611A64"/>
    <w:rsid w:val="00612236"/>
    <w:rsid w:val="0061233F"/>
    <w:rsid w:val="006123D7"/>
    <w:rsid w:val="00612BFB"/>
    <w:rsid w:val="00612FB5"/>
    <w:rsid w:val="00613D19"/>
    <w:rsid w:val="0061448B"/>
    <w:rsid w:val="00614B6F"/>
    <w:rsid w:val="006150A4"/>
    <w:rsid w:val="006151E4"/>
    <w:rsid w:val="006152F9"/>
    <w:rsid w:val="00615326"/>
    <w:rsid w:val="0061572C"/>
    <w:rsid w:val="006158A2"/>
    <w:rsid w:val="00615B04"/>
    <w:rsid w:val="00615BAD"/>
    <w:rsid w:val="006160C9"/>
    <w:rsid w:val="00616322"/>
    <w:rsid w:val="00616F94"/>
    <w:rsid w:val="00617225"/>
    <w:rsid w:val="006178B9"/>
    <w:rsid w:val="00620342"/>
    <w:rsid w:val="0062044B"/>
    <w:rsid w:val="00620575"/>
    <w:rsid w:val="00620835"/>
    <w:rsid w:val="006208BF"/>
    <w:rsid w:val="00620C10"/>
    <w:rsid w:val="006213A6"/>
    <w:rsid w:val="006213E3"/>
    <w:rsid w:val="00621DAF"/>
    <w:rsid w:val="00622A20"/>
    <w:rsid w:val="006232F0"/>
    <w:rsid w:val="006234D0"/>
    <w:rsid w:val="006234E6"/>
    <w:rsid w:val="0062386F"/>
    <w:rsid w:val="00623A3D"/>
    <w:rsid w:val="00623C2B"/>
    <w:rsid w:val="006245C7"/>
    <w:rsid w:val="00624FCD"/>
    <w:rsid w:val="0062556E"/>
    <w:rsid w:val="0062558C"/>
    <w:rsid w:val="00625DFB"/>
    <w:rsid w:val="0062645A"/>
    <w:rsid w:val="00626638"/>
    <w:rsid w:val="006314E7"/>
    <w:rsid w:val="00631D66"/>
    <w:rsid w:val="00631FE3"/>
    <w:rsid w:val="006320BB"/>
    <w:rsid w:val="00632229"/>
    <w:rsid w:val="006329D9"/>
    <w:rsid w:val="00632A5A"/>
    <w:rsid w:val="00632D3E"/>
    <w:rsid w:val="00632DAB"/>
    <w:rsid w:val="00633FFE"/>
    <w:rsid w:val="0063433E"/>
    <w:rsid w:val="006348D3"/>
    <w:rsid w:val="0063614A"/>
    <w:rsid w:val="006371DB"/>
    <w:rsid w:val="0063763E"/>
    <w:rsid w:val="00640144"/>
    <w:rsid w:val="006403CB"/>
    <w:rsid w:val="006403E4"/>
    <w:rsid w:val="0064062C"/>
    <w:rsid w:val="00640A30"/>
    <w:rsid w:val="00640D91"/>
    <w:rsid w:val="00641210"/>
    <w:rsid w:val="00641363"/>
    <w:rsid w:val="006417D8"/>
    <w:rsid w:val="006418D5"/>
    <w:rsid w:val="00641CDA"/>
    <w:rsid w:val="00642510"/>
    <w:rsid w:val="00642AEF"/>
    <w:rsid w:val="00642B61"/>
    <w:rsid w:val="00643A2B"/>
    <w:rsid w:val="006442E0"/>
    <w:rsid w:val="006451FF"/>
    <w:rsid w:val="006453E0"/>
    <w:rsid w:val="006454D7"/>
    <w:rsid w:val="00645616"/>
    <w:rsid w:val="006463D6"/>
    <w:rsid w:val="00646C0D"/>
    <w:rsid w:val="00646D69"/>
    <w:rsid w:val="00647019"/>
    <w:rsid w:val="00647113"/>
    <w:rsid w:val="0064755F"/>
    <w:rsid w:val="00647680"/>
    <w:rsid w:val="00647A83"/>
    <w:rsid w:val="00647DB3"/>
    <w:rsid w:val="00650845"/>
    <w:rsid w:val="00650907"/>
    <w:rsid w:val="00650C43"/>
    <w:rsid w:val="00651462"/>
    <w:rsid w:val="00652410"/>
    <w:rsid w:val="00652689"/>
    <w:rsid w:val="00652986"/>
    <w:rsid w:val="00653F44"/>
    <w:rsid w:val="006540E1"/>
    <w:rsid w:val="006543BC"/>
    <w:rsid w:val="00654641"/>
    <w:rsid w:val="006548C8"/>
    <w:rsid w:val="00654DEA"/>
    <w:rsid w:val="00654E2F"/>
    <w:rsid w:val="0065504F"/>
    <w:rsid w:val="00655DC9"/>
    <w:rsid w:val="006563E3"/>
    <w:rsid w:val="00657088"/>
    <w:rsid w:val="00657D0A"/>
    <w:rsid w:val="00660E40"/>
    <w:rsid w:val="0066100D"/>
    <w:rsid w:val="006611CD"/>
    <w:rsid w:val="00661CAA"/>
    <w:rsid w:val="006627B5"/>
    <w:rsid w:val="00662FCE"/>
    <w:rsid w:val="00663541"/>
    <w:rsid w:val="006635C2"/>
    <w:rsid w:val="00663767"/>
    <w:rsid w:val="0066400A"/>
    <w:rsid w:val="00664921"/>
    <w:rsid w:val="00664AB6"/>
    <w:rsid w:val="00664B94"/>
    <w:rsid w:val="006657E2"/>
    <w:rsid w:val="0066593C"/>
    <w:rsid w:val="0066597E"/>
    <w:rsid w:val="00665E8F"/>
    <w:rsid w:val="00666772"/>
    <w:rsid w:val="006669BB"/>
    <w:rsid w:val="00666ED0"/>
    <w:rsid w:val="00666FA3"/>
    <w:rsid w:val="0066719A"/>
    <w:rsid w:val="00667BB0"/>
    <w:rsid w:val="00670785"/>
    <w:rsid w:val="00670ACA"/>
    <w:rsid w:val="00670E68"/>
    <w:rsid w:val="006710D9"/>
    <w:rsid w:val="0067187A"/>
    <w:rsid w:val="00671E0B"/>
    <w:rsid w:val="00671E24"/>
    <w:rsid w:val="0067235B"/>
    <w:rsid w:val="00672C26"/>
    <w:rsid w:val="006741E8"/>
    <w:rsid w:val="00674622"/>
    <w:rsid w:val="00674BDB"/>
    <w:rsid w:val="006752DA"/>
    <w:rsid w:val="00675323"/>
    <w:rsid w:val="00675DF4"/>
    <w:rsid w:val="0067677B"/>
    <w:rsid w:val="00677002"/>
    <w:rsid w:val="00677357"/>
    <w:rsid w:val="00677B9B"/>
    <w:rsid w:val="0068046F"/>
    <w:rsid w:val="00681954"/>
    <w:rsid w:val="006826BE"/>
    <w:rsid w:val="006833A8"/>
    <w:rsid w:val="006845F1"/>
    <w:rsid w:val="00684921"/>
    <w:rsid w:val="00686428"/>
    <w:rsid w:val="0068649B"/>
    <w:rsid w:val="006869A3"/>
    <w:rsid w:val="006869C7"/>
    <w:rsid w:val="00686F2C"/>
    <w:rsid w:val="00690AF3"/>
    <w:rsid w:val="00690F39"/>
    <w:rsid w:val="00691626"/>
    <w:rsid w:val="006918A3"/>
    <w:rsid w:val="00691B97"/>
    <w:rsid w:val="0069218E"/>
    <w:rsid w:val="00692527"/>
    <w:rsid w:val="006925CD"/>
    <w:rsid w:val="006930B4"/>
    <w:rsid w:val="00693436"/>
    <w:rsid w:val="006935C3"/>
    <w:rsid w:val="00693C5B"/>
    <w:rsid w:val="00693D1D"/>
    <w:rsid w:val="006940EE"/>
    <w:rsid w:val="00694363"/>
    <w:rsid w:val="00694DB5"/>
    <w:rsid w:val="00694FC9"/>
    <w:rsid w:val="00695507"/>
    <w:rsid w:val="00696110"/>
    <w:rsid w:val="00696451"/>
    <w:rsid w:val="00696574"/>
    <w:rsid w:val="00696807"/>
    <w:rsid w:val="00696A26"/>
    <w:rsid w:val="00696B13"/>
    <w:rsid w:val="00696EC1"/>
    <w:rsid w:val="00697176"/>
    <w:rsid w:val="00697462"/>
    <w:rsid w:val="006979CE"/>
    <w:rsid w:val="00697CBD"/>
    <w:rsid w:val="006A0371"/>
    <w:rsid w:val="006A1177"/>
    <w:rsid w:val="006A1307"/>
    <w:rsid w:val="006A172B"/>
    <w:rsid w:val="006A1D58"/>
    <w:rsid w:val="006A2188"/>
    <w:rsid w:val="006A2551"/>
    <w:rsid w:val="006A2635"/>
    <w:rsid w:val="006A2C66"/>
    <w:rsid w:val="006A2CBD"/>
    <w:rsid w:val="006A2E61"/>
    <w:rsid w:val="006A4449"/>
    <w:rsid w:val="006A4A7A"/>
    <w:rsid w:val="006A55CE"/>
    <w:rsid w:val="006A64ED"/>
    <w:rsid w:val="006A65EE"/>
    <w:rsid w:val="006A67E5"/>
    <w:rsid w:val="006A6AEE"/>
    <w:rsid w:val="006A79DD"/>
    <w:rsid w:val="006A7DF7"/>
    <w:rsid w:val="006A7F0F"/>
    <w:rsid w:val="006B01FF"/>
    <w:rsid w:val="006B06BC"/>
    <w:rsid w:val="006B0736"/>
    <w:rsid w:val="006B19EA"/>
    <w:rsid w:val="006B1F84"/>
    <w:rsid w:val="006B21DD"/>
    <w:rsid w:val="006B3F5C"/>
    <w:rsid w:val="006B60CA"/>
    <w:rsid w:val="006B60D9"/>
    <w:rsid w:val="006B6664"/>
    <w:rsid w:val="006B685D"/>
    <w:rsid w:val="006B6DBD"/>
    <w:rsid w:val="006B73C3"/>
    <w:rsid w:val="006B760B"/>
    <w:rsid w:val="006B7A0A"/>
    <w:rsid w:val="006B7B1F"/>
    <w:rsid w:val="006C02BE"/>
    <w:rsid w:val="006C02D1"/>
    <w:rsid w:val="006C08A9"/>
    <w:rsid w:val="006C0CC0"/>
    <w:rsid w:val="006C0E42"/>
    <w:rsid w:val="006C0E4D"/>
    <w:rsid w:val="006C1397"/>
    <w:rsid w:val="006C1A92"/>
    <w:rsid w:val="006C1D4C"/>
    <w:rsid w:val="006C25DA"/>
    <w:rsid w:val="006C2C3C"/>
    <w:rsid w:val="006C34C0"/>
    <w:rsid w:val="006C3505"/>
    <w:rsid w:val="006C39F1"/>
    <w:rsid w:val="006C3A69"/>
    <w:rsid w:val="006C4BBC"/>
    <w:rsid w:val="006C5258"/>
    <w:rsid w:val="006C525B"/>
    <w:rsid w:val="006C5295"/>
    <w:rsid w:val="006C5699"/>
    <w:rsid w:val="006C56D8"/>
    <w:rsid w:val="006C5737"/>
    <w:rsid w:val="006C589D"/>
    <w:rsid w:val="006C6061"/>
    <w:rsid w:val="006C6303"/>
    <w:rsid w:val="006C6339"/>
    <w:rsid w:val="006C663F"/>
    <w:rsid w:val="006C6791"/>
    <w:rsid w:val="006C6839"/>
    <w:rsid w:val="006C6AE6"/>
    <w:rsid w:val="006C6F8B"/>
    <w:rsid w:val="006C77B3"/>
    <w:rsid w:val="006D42E8"/>
    <w:rsid w:val="006D4363"/>
    <w:rsid w:val="006D5943"/>
    <w:rsid w:val="006D5A40"/>
    <w:rsid w:val="006D5BB7"/>
    <w:rsid w:val="006D5D75"/>
    <w:rsid w:val="006D5EE2"/>
    <w:rsid w:val="006D6344"/>
    <w:rsid w:val="006D6384"/>
    <w:rsid w:val="006D6A25"/>
    <w:rsid w:val="006D6BF0"/>
    <w:rsid w:val="006D717E"/>
    <w:rsid w:val="006D732C"/>
    <w:rsid w:val="006D769C"/>
    <w:rsid w:val="006D78F4"/>
    <w:rsid w:val="006D7BC0"/>
    <w:rsid w:val="006D7D07"/>
    <w:rsid w:val="006E0030"/>
    <w:rsid w:val="006E0C9B"/>
    <w:rsid w:val="006E0CD0"/>
    <w:rsid w:val="006E0EC0"/>
    <w:rsid w:val="006E1701"/>
    <w:rsid w:val="006E25CC"/>
    <w:rsid w:val="006E2751"/>
    <w:rsid w:val="006E2A50"/>
    <w:rsid w:val="006E36F6"/>
    <w:rsid w:val="006E374E"/>
    <w:rsid w:val="006E464B"/>
    <w:rsid w:val="006E4E09"/>
    <w:rsid w:val="006E5093"/>
    <w:rsid w:val="006E5487"/>
    <w:rsid w:val="006E5C0A"/>
    <w:rsid w:val="006E5F91"/>
    <w:rsid w:val="006E6014"/>
    <w:rsid w:val="006E66C7"/>
    <w:rsid w:val="006E6789"/>
    <w:rsid w:val="006E7BFF"/>
    <w:rsid w:val="006F04ED"/>
    <w:rsid w:val="006F0FFC"/>
    <w:rsid w:val="006F15C2"/>
    <w:rsid w:val="006F2343"/>
    <w:rsid w:val="006F279F"/>
    <w:rsid w:val="006F2909"/>
    <w:rsid w:val="006F2B49"/>
    <w:rsid w:val="006F3376"/>
    <w:rsid w:val="006F36C1"/>
    <w:rsid w:val="006F3DF8"/>
    <w:rsid w:val="006F4CF4"/>
    <w:rsid w:val="006F5CCE"/>
    <w:rsid w:val="006F735F"/>
    <w:rsid w:val="006F770B"/>
    <w:rsid w:val="006F7CE7"/>
    <w:rsid w:val="007003C0"/>
    <w:rsid w:val="007003DF"/>
    <w:rsid w:val="007003F0"/>
    <w:rsid w:val="00700671"/>
    <w:rsid w:val="007009D1"/>
    <w:rsid w:val="007013FF"/>
    <w:rsid w:val="007014C5"/>
    <w:rsid w:val="00701888"/>
    <w:rsid w:val="00701D60"/>
    <w:rsid w:val="007020D7"/>
    <w:rsid w:val="007026C7"/>
    <w:rsid w:val="00702EFF"/>
    <w:rsid w:val="0070338F"/>
    <w:rsid w:val="0070383A"/>
    <w:rsid w:val="007038E1"/>
    <w:rsid w:val="00704746"/>
    <w:rsid w:val="007053F9"/>
    <w:rsid w:val="007055F8"/>
    <w:rsid w:val="0070674D"/>
    <w:rsid w:val="0070689F"/>
    <w:rsid w:val="007076D0"/>
    <w:rsid w:val="00707CD7"/>
    <w:rsid w:val="0071098F"/>
    <w:rsid w:val="007116D9"/>
    <w:rsid w:val="00711B3D"/>
    <w:rsid w:val="00711BB4"/>
    <w:rsid w:val="00711C62"/>
    <w:rsid w:val="0071209E"/>
    <w:rsid w:val="007121B7"/>
    <w:rsid w:val="007126D2"/>
    <w:rsid w:val="00712A2A"/>
    <w:rsid w:val="00712C96"/>
    <w:rsid w:val="00712CCB"/>
    <w:rsid w:val="00713F2A"/>
    <w:rsid w:val="00714830"/>
    <w:rsid w:val="007148C2"/>
    <w:rsid w:val="007149A3"/>
    <w:rsid w:val="00714DE3"/>
    <w:rsid w:val="00714F64"/>
    <w:rsid w:val="0071500D"/>
    <w:rsid w:val="0071543D"/>
    <w:rsid w:val="00715729"/>
    <w:rsid w:val="0071574B"/>
    <w:rsid w:val="0071575E"/>
    <w:rsid w:val="00716280"/>
    <w:rsid w:val="00716F71"/>
    <w:rsid w:val="00717A2F"/>
    <w:rsid w:val="00717AC6"/>
    <w:rsid w:val="007201DB"/>
    <w:rsid w:val="00720B61"/>
    <w:rsid w:val="00720DA9"/>
    <w:rsid w:val="00720F66"/>
    <w:rsid w:val="00721107"/>
    <w:rsid w:val="00721556"/>
    <w:rsid w:val="00721A77"/>
    <w:rsid w:val="00722180"/>
    <w:rsid w:val="0072285E"/>
    <w:rsid w:val="00722A7A"/>
    <w:rsid w:val="00722B56"/>
    <w:rsid w:val="0072433B"/>
    <w:rsid w:val="007251CC"/>
    <w:rsid w:val="00725BC6"/>
    <w:rsid w:val="00726204"/>
    <w:rsid w:val="00726460"/>
    <w:rsid w:val="0072678A"/>
    <w:rsid w:val="00726969"/>
    <w:rsid w:val="00727C93"/>
    <w:rsid w:val="00727D89"/>
    <w:rsid w:val="0073022E"/>
    <w:rsid w:val="007304FC"/>
    <w:rsid w:val="007305B1"/>
    <w:rsid w:val="00730818"/>
    <w:rsid w:val="00730882"/>
    <w:rsid w:val="00731069"/>
    <w:rsid w:val="0073177F"/>
    <w:rsid w:val="007319A0"/>
    <w:rsid w:val="00731FF2"/>
    <w:rsid w:val="00732909"/>
    <w:rsid w:val="00732D81"/>
    <w:rsid w:val="00732FCA"/>
    <w:rsid w:val="007345A9"/>
    <w:rsid w:val="007348E9"/>
    <w:rsid w:val="00734A2B"/>
    <w:rsid w:val="0073572C"/>
    <w:rsid w:val="0073591C"/>
    <w:rsid w:val="00735A93"/>
    <w:rsid w:val="00735DE9"/>
    <w:rsid w:val="00735EBE"/>
    <w:rsid w:val="00735F3F"/>
    <w:rsid w:val="00735F99"/>
    <w:rsid w:val="00735FD4"/>
    <w:rsid w:val="00736497"/>
    <w:rsid w:val="00736815"/>
    <w:rsid w:val="00737016"/>
    <w:rsid w:val="00737A40"/>
    <w:rsid w:val="00741562"/>
    <w:rsid w:val="00741A43"/>
    <w:rsid w:val="007420E5"/>
    <w:rsid w:val="007427CC"/>
    <w:rsid w:val="00742BF8"/>
    <w:rsid w:val="00742F08"/>
    <w:rsid w:val="00744C90"/>
    <w:rsid w:val="0074575D"/>
    <w:rsid w:val="00745FDD"/>
    <w:rsid w:val="007469EC"/>
    <w:rsid w:val="007470E9"/>
    <w:rsid w:val="007477CB"/>
    <w:rsid w:val="00747AE2"/>
    <w:rsid w:val="00747F75"/>
    <w:rsid w:val="00750263"/>
    <w:rsid w:val="007506F1"/>
    <w:rsid w:val="00750C95"/>
    <w:rsid w:val="007519E3"/>
    <w:rsid w:val="00752652"/>
    <w:rsid w:val="00752822"/>
    <w:rsid w:val="00752C6A"/>
    <w:rsid w:val="00752CC9"/>
    <w:rsid w:val="0075361A"/>
    <w:rsid w:val="0075380D"/>
    <w:rsid w:val="00753C4B"/>
    <w:rsid w:val="00754B4F"/>
    <w:rsid w:val="007550BC"/>
    <w:rsid w:val="007560E8"/>
    <w:rsid w:val="0075663C"/>
    <w:rsid w:val="007566E0"/>
    <w:rsid w:val="00756EE6"/>
    <w:rsid w:val="007577AA"/>
    <w:rsid w:val="00757AD6"/>
    <w:rsid w:val="00757ED3"/>
    <w:rsid w:val="007609EF"/>
    <w:rsid w:val="007623F1"/>
    <w:rsid w:val="007627EF"/>
    <w:rsid w:val="007628CE"/>
    <w:rsid w:val="00762C3E"/>
    <w:rsid w:val="00763165"/>
    <w:rsid w:val="00763493"/>
    <w:rsid w:val="00763A07"/>
    <w:rsid w:val="00764950"/>
    <w:rsid w:val="00764D8C"/>
    <w:rsid w:val="00765F36"/>
    <w:rsid w:val="0076649A"/>
    <w:rsid w:val="007668A4"/>
    <w:rsid w:val="00766BFB"/>
    <w:rsid w:val="00766D13"/>
    <w:rsid w:val="00767FBD"/>
    <w:rsid w:val="00770170"/>
    <w:rsid w:val="00770359"/>
    <w:rsid w:val="00770422"/>
    <w:rsid w:val="007706FB"/>
    <w:rsid w:val="00770979"/>
    <w:rsid w:val="0077097D"/>
    <w:rsid w:val="00770E53"/>
    <w:rsid w:val="007712AB"/>
    <w:rsid w:val="007718E5"/>
    <w:rsid w:val="00771BC1"/>
    <w:rsid w:val="007724C3"/>
    <w:rsid w:val="007730DD"/>
    <w:rsid w:val="00773E6F"/>
    <w:rsid w:val="007744F0"/>
    <w:rsid w:val="00774607"/>
    <w:rsid w:val="00774FD7"/>
    <w:rsid w:val="00775288"/>
    <w:rsid w:val="00775AE1"/>
    <w:rsid w:val="007761FA"/>
    <w:rsid w:val="00776518"/>
    <w:rsid w:val="0077651E"/>
    <w:rsid w:val="00776958"/>
    <w:rsid w:val="00776CA8"/>
    <w:rsid w:val="0077741D"/>
    <w:rsid w:val="007774B9"/>
    <w:rsid w:val="00780454"/>
    <w:rsid w:val="00781A4B"/>
    <w:rsid w:val="00781E4A"/>
    <w:rsid w:val="00782146"/>
    <w:rsid w:val="00782E39"/>
    <w:rsid w:val="00782FF7"/>
    <w:rsid w:val="00783F93"/>
    <w:rsid w:val="00784C95"/>
    <w:rsid w:val="00785391"/>
    <w:rsid w:val="00785BFD"/>
    <w:rsid w:val="00786003"/>
    <w:rsid w:val="007863EF"/>
    <w:rsid w:val="007865B4"/>
    <w:rsid w:val="0078790D"/>
    <w:rsid w:val="00790000"/>
    <w:rsid w:val="00790599"/>
    <w:rsid w:val="00791119"/>
    <w:rsid w:val="007917EB"/>
    <w:rsid w:val="007932A8"/>
    <w:rsid w:val="007932EA"/>
    <w:rsid w:val="00793435"/>
    <w:rsid w:val="007948E9"/>
    <w:rsid w:val="00794992"/>
    <w:rsid w:val="007952C0"/>
    <w:rsid w:val="00795B65"/>
    <w:rsid w:val="00795C6A"/>
    <w:rsid w:val="00795CBE"/>
    <w:rsid w:val="0079629D"/>
    <w:rsid w:val="00796D80"/>
    <w:rsid w:val="00796EFA"/>
    <w:rsid w:val="007973F6"/>
    <w:rsid w:val="007975AA"/>
    <w:rsid w:val="007976C2"/>
    <w:rsid w:val="007A00A3"/>
    <w:rsid w:val="007A09DB"/>
    <w:rsid w:val="007A0D85"/>
    <w:rsid w:val="007A0E85"/>
    <w:rsid w:val="007A0E8E"/>
    <w:rsid w:val="007A1202"/>
    <w:rsid w:val="007A1542"/>
    <w:rsid w:val="007A15D0"/>
    <w:rsid w:val="007A3172"/>
    <w:rsid w:val="007A3AAF"/>
    <w:rsid w:val="007A3B8A"/>
    <w:rsid w:val="007A3E6F"/>
    <w:rsid w:val="007A4082"/>
    <w:rsid w:val="007A4690"/>
    <w:rsid w:val="007A47D7"/>
    <w:rsid w:val="007A4D6D"/>
    <w:rsid w:val="007A55F9"/>
    <w:rsid w:val="007A59E4"/>
    <w:rsid w:val="007A6FA0"/>
    <w:rsid w:val="007A6FD1"/>
    <w:rsid w:val="007A7289"/>
    <w:rsid w:val="007A7324"/>
    <w:rsid w:val="007A7D8F"/>
    <w:rsid w:val="007B009C"/>
    <w:rsid w:val="007B01BD"/>
    <w:rsid w:val="007B0644"/>
    <w:rsid w:val="007B06D0"/>
    <w:rsid w:val="007B08DE"/>
    <w:rsid w:val="007B0A0A"/>
    <w:rsid w:val="007B0BAE"/>
    <w:rsid w:val="007B129C"/>
    <w:rsid w:val="007B1C9F"/>
    <w:rsid w:val="007B23A1"/>
    <w:rsid w:val="007B449A"/>
    <w:rsid w:val="007B4743"/>
    <w:rsid w:val="007B5C7F"/>
    <w:rsid w:val="007B64AA"/>
    <w:rsid w:val="007B656D"/>
    <w:rsid w:val="007B65EA"/>
    <w:rsid w:val="007B667F"/>
    <w:rsid w:val="007B68A7"/>
    <w:rsid w:val="007B78F9"/>
    <w:rsid w:val="007C0471"/>
    <w:rsid w:val="007C1932"/>
    <w:rsid w:val="007C1F86"/>
    <w:rsid w:val="007C25A4"/>
    <w:rsid w:val="007C271E"/>
    <w:rsid w:val="007C27BF"/>
    <w:rsid w:val="007C2C44"/>
    <w:rsid w:val="007C2EE9"/>
    <w:rsid w:val="007C3046"/>
    <w:rsid w:val="007C3C2D"/>
    <w:rsid w:val="007C3DCB"/>
    <w:rsid w:val="007C41FC"/>
    <w:rsid w:val="007C4384"/>
    <w:rsid w:val="007C438D"/>
    <w:rsid w:val="007C44D7"/>
    <w:rsid w:val="007C48E6"/>
    <w:rsid w:val="007C4B9C"/>
    <w:rsid w:val="007C5070"/>
    <w:rsid w:val="007C508E"/>
    <w:rsid w:val="007C5335"/>
    <w:rsid w:val="007C564A"/>
    <w:rsid w:val="007C6753"/>
    <w:rsid w:val="007C7A05"/>
    <w:rsid w:val="007C7AFF"/>
    <w:rsid w:val="007D17A2"/>
    <w:rsid w:val="007D1B07"/>
    <w:rsid w:val="007D2023"/>
    <w:rsid w:val="007D26A1"/>
    <w:rsid w:val="007D2E54"/>
    <w:rsid w:val="007D2FB4"/>
    <w:rsid w:val="007D3011"/>
    <w:rsid w:val="007D3606"/>
    <w:rsid w:val="007D3F95"/>
    <w:rsid w:val="007D43BC"/>
    <w:rsid w:val="007D4F42"/>
    <w:rsid w:val="007D5CBF"/>
    <w:rsid w:val="007D5FD7"/>
    <w:rsid w:val="007D6664"/>
    <w:rsid w:val="007D66DE"/>
    <w:rsid w:val="007D6B02"/>
    <w:rsid w:val="007D6D10"/>
    <w:rsid w:val="007D6ECB"/>
    <w:rsid w:val="007D715E"/>
    <w:rsid w:val="007D7819"/>
    <w:rsid w:val="007D796A"/>
    <w:rsid w:val="007E00DE"/>
    <w:rsid w:val="007E0B5E"/>
    <w:rsid w:val="007E0C7C"/>
    <w:rsid w:val="007E0D22"/>
    <w:rsid w:val="007E0D4D"/>
    <w:rsid w:val="007E0E52"/>
    <w:rsid w:val="007E1474"/>
    <w:rsid w:val="007E18EB"/>
    <w:rsid w:val="007E2398"/>
    <w:rsid w:val="007E2904"/>
    <w:rsid w:val="007E2C80"/>
    <w:rsid w:val="007E31BE"/>
    <w:rsid w:val="007E33CA"/>
    <w:rsid w:val="007E3E70"/>
    <w:rsid w:val="007E3E89"/>
    <w:rsid w:val="007E4BE0"/>
    <w:rsid w:val="007E4D6F"/>
    <w:rsid w:val="007E5A95"/>
    <w:rsid w:val="007E650B"/>
    <w:rsid w:val="007E67BC"/>
    <w:rsid w:val="007E6CB4"/>
    <w:rsid w:val="007F08A2"/>
    <w:rsid w:val="007F0DC4"/>
    <w:rsid w:val="007F1357"/>
    <w:rsid w:val="007F1411"/>
    <w:rsid w:val="007F16BD"/>
    <w:rsid w:val="007F17A8"/>
    <w:rsid w:val="007F1804"/>
    <w:rsid w:val="007F1E19"/>
    <w:rsid w:val="007F266C"/>
    <w:rsid w:val="007F4522"/>
    <w:rsid w:val="007F4983"/>
    <w:rsid w:val="007F4CB8"/>
    <w:rsid w:val="007F592B"/>
    <w:rsid w:val="007F6045"/>
    <w:rsid w:val="007F622D"/>
    <w:rsid w:val="007F62BB"/>
    <w:rsid w:val="007F62BE"/>
    <w:rsid w:val="007F6737"/>
    <w:rsid w:val="007F697F"/>
    <w:rsid w:val="007F727D"/>
    <w:rsid w:val="007F790D"/>
    <w:rsid w:val="007F7AC0"/>
    <w:rsid w:val="007F7CF4"/>
    <w:rsid w:val="008003AF"/>
    <w:rsid w:val="00800B99"/>
    <w:rsid w:val="00801C4C"/>
    <w:rsid w:val="00801EBC"/>
    <w:rsid w:val="00801EDF"/>
    <w:rsid w:val="008025F9"/>
    <w:rsid w:val="00802943"/>
    <w:rsid w:val="00802F8F"/>
    <w:rsid w:val="00803772"/>
    <w:rsid w:val="00803D3F"/>
    <w:rsid w:val="00803FEA"/>
    <w:rsid w:val="00804915"/>
    <w:rsid w:val="00804D05"/>
    <w:rsid w:val="00805A28"/>
    <w:rsid w:val="00805E5C"/>
    <w:rsid w:val="008061D6"/>
    <w:rsid w:val="008067B7"/>
    <w:rsid w:val="00806886"/>
    <w:rsid w:val="00806B85"/>
    <w:rsid w:val="00806DCE"/>
    <w:rsid w:val="00806E30"/>
    <w:rsid w:val="00807269"/>
    <w:rsid w:val="00807D57"/>
    <w:rsid w:val="00810274"/>
    <w:rsid w:val="00810341"/>
    <w:rsid w:val="00810383"/>
    <w:rsid w:val="0081047B"/>
    <w:rsid w:val="008109AD"/>
    <w:rsid w:val="008112DB"/>
    <w:rsid w:val="00811E40"/>
    <w:rsid w:val="008121BA"/>
    <w:rsid w:val="0081244D"/>
    <w:rsid w:val="0081297B"/>
    <w:rsid w:val="00812DF5"/>
    <w:rsid w:val="0081315C"/>
    <w:rsid w:val="008133EA"/>
    <w:rsid w:val="00813F9B"/>
    <w:rsid w:val="0081471B"/>
    <w:rsid w:val="00814B41"/>
    <w:rsid w:val="00815930"/>
    <w:rsid w:val="00816F5F"/>
    <w:rsid w:val="0081756B"/>
    <w:rsid w:val="0081774E"/>
    <w:rsid w:val="00817823"/>
    <w:rsid w:val="00817AA3"/>
    <w:rsid w:val="00817D59"/>
    <w:rsid w:val="00820089"/>
    <w:rsid w:val="008209DB"/>
    <w:rsid w:val="00820A5F"/>
    <w:rsid w:val="00820B14"/>
    <w:rsid w:val="00820DE4"/>
    <w:rsid w:val="008212F8"/>
    <w:rsid w:val="00821843"/>
    <w:rsid w:val="00821B5E"/>
    <w:rsid w:val="00821E80"/>
    <w:rsid w:val="00821FDF"/>
    <w:rsid w:val="0082265F"/>
    <w:rsid w:val="00822ED4"/>
    <w:rsid w:val="00822FB2"/>
    <w:rsid w:val="00822FF2"/>
    <w:rsid w:val="00823C8B"/>
    <w:rsid w:val="0082428F"/>
    <w:rsid w:val="00824D8F"/>
    <w:rsid w:val="00824EC9"/>
    <w:rsid w:val="00824F4E"/>
    <w:rsid w:val="008250B9"/>
    <w:rsid w:val="008253CF"/>
    <w:rsid w:val="00825432"/>
    <w:rsid w:val="008256E9"/>
    <w:rsid w:val="00825CF1"/>
    <w:rsid w:val="00826597"/>
    <w:rsid w:val="0082660B"/>
    <w:rsid w:val="00826809"/>
    <w:rsid w:val="00826B25"/>
    <w:rsid w:val="00827293"/>
    <w:rsid w:val="00827312"/>
    <w:rsid w:val="008273B9"/>
    <w:rsid w:val="00827A7E"/>
    <w:rsid w:val="0083006B"/>
    <w:rsid w:val="0083079C"/>
    <w:rsid w:val="00830B8F"/>
    <w:rsid w:val="00830D01"/>
    <w:rsid w:val="008318B5"/>
    <w:rsid w:val="00831BCC"/>
    <w:rsid w:val="00831D81"/>
    <w:rsid w:val="008326AB"/>
    <w:rsid w:val="00832844"/>
    <w:rsid w:val="00832EE5"/>
    <w:rsid w:val="00832FA8"/>
    <w:rsid w:val="008333C8"/>
    <w:rsid w:val="008337AC"/>
    <w:rsid w:val="00833A25"/>
    <w:rsid w:val="00833C3C"/>
    <w:rsid w:val="00833C77"/>
    <w:rsid w:val="00834117"/>
    <w:rsid w:val="00834463"/>
    <w:rsid w:val="00834DD6"/>
    <w:rsid w:val="00834DDE"/>
    <w:rsid w:val="00834E97"/>
    <w:rsid w:val="0083502A"/>
    <w:rsid w:val="008358CD"/>
    <w:rsid w:val="00836136"/>
    <w:rsid w:val="00836344"/>
    <w:rsid w:val="00836FF6"/>
    <w:rsid w:val="00837346"/>
    <w:rsid w:val="0083768C"/>
    <w:rsid w:val="008376E7"/>
    <w:rsid w:val="008406CE"/>
    <w:rsid w:val="00840D12"/>
    <w:rsid w:val="00841259"/>
    <w:rsid w:val="00842CB4"/>
    <w:rsid w:val="008433BC"/>
    <w:rsid w:val="00843AE5"/>
    <w:rsid w:val="00843C7E"/>
    <w:rsid w:val="00843EB2"/>
    <w:rsid w:val="00844BD7"/>
    <w:rsid w:val="0084673B"/>
    <w:rsid w:val="00846D4A"/>
    <w:rsid w:val="0084754A"/>
    <w:rsid w:val="008475FD"/>
    <w:rsid w:val="008500BA"/>
    <w:rsid w:val="008502B7"/>
    <w:rsid w:val="00850679"/>
    <w:rsid w:val="00850CBA"/>
    <w:rsid w:val="00850DCB"/>
    <w:rsid w:val="00850E46"/>
    <w:rsid w:val="008513B0"/>
    <w:rsid w:val="00851418"/>
    <w:rsid w:val="00851445"/>
    <w:rsid w:val="00851A2C"/>
    <w:rsid w:val="00851E91"/>
    <w:rsid w:val="0085266E"/>
    <w:rsid w:val="00852742"/>
    <w:rsid w:val="00852B0B"/>
    <w:rsid w:val="0085334B"/>
    <w:rsid w:val="0085348A"/>
    <w:rsid w:val="00853B6B"/>
    <w:rsid w:val="00854487"/>
    <w:rsid w:val="00854B87"/>
    <w:rsid w:val="00854ED5"/>
    <w:rsid w:val="008550F5"/>
    <w:rsid w:val="00855301"/>
    <w:rsid w:val="008553E7"/>
    <w:rsid w:val="00855557"/>
    <w:rsid w:val="008555DB"/>
    <w:rsid w:val="00857126"/>
    <w:rsid w:val="00857480"/>
    <w:rsid w:val="008576D3"/>
    <w:rsid w:val="0086026C"/>
    <w:rsid w:val="00860925"/>
    <w:rsid w:val="0086094C"/>
    <w:rsid w:val="00860958"/>
    <w:rsid w:val="00861033"/>
    <w:rsid w:val="008613C1"/>
    <w:rsid w:val="008613EC"/>
    <w:rsid w:val="00862527"/>
    <w:rsid w:val="00862C80"/>
    <w:rsid w:val="00862E73"/>
    <w:rsid w:val="00863267"/>
    <w:rsid w:val="00863F5D"/>
    <w:rsid w:val="0086415C"/>
    <w:rsid w:val="008641C0"/>
    <w:rsid w:val="00864578"/>
    <w:rsid w:val="00864BFA"/>
    <w:rsid w:val="00865548"/>
    <w:rsid w:val="0086654B"/>
    <w:rsid w:val="00867305"/>
    <w:rsid w:val="008673AC"/>
    <w:rsid w:val="00867693"/>
    <w:rsid w:val="00867AF2"/>
    <w:rsid w:val="008702DB"/>
    <w:rsid w:val="00870487"/>
    <w:rsid w:val="008708D1"/>
    <w:rsid w:val="00870AB1"/>
    <w:rsid w:val="00870CDB"/>
    <w:rsid w:val="0087101A"/>
    <w:rsid w:val="008710E1"/>
    <w:rsid w:val="00871156"/>
    <w:rsid w:val="008715E2"/>
    <w:rsid w:val="00871D65"/>
    <w:rsid w:val="0087226E"/>
    <w:rsid w:val="008727F0"/>
    <w:rsid w:val="0087296C"/>
    <w:rsid w:val="0087360A"/>
    <w:rsid w:val="00873E0D"/>
    <w:rsid w:val="00874410"/>
    <w:rsid w:val="00875041"/>
    <w:rsid w:val="00875493"/>
    <w:rsid w:val="008757A0"/>
    <w:rsid w:val="00876197"/>
    <w:rsid w:val="00876238"/>
    <w:rsid w:val="00877A5B"/>
    <w:rsid w:val="00880185"/>
    <w:rsid w:val="00880266"/>
    <w:rsid w:val="00880F76"/>
    <w:rsid w:val="0088105F"/>
    <w:rsid w:val="0088147A"/>
    <w:rsid w:val="00881565"/>
    <w:rsid w:val="008816AB"/>
    <w:rsid w:val="008823C3"/>
    <w:rsid w:val="008828BA"/>
    <w:rsid w:val="0088368C"/>
    <w:rsid w:val="0088373E"/>
    <w:rsid w:val="0088375F"/>
    <w:rsid w:val="00883E0A"/>
    <w:rsid w:val="00884346"/>
    <w:rsid w:val="0088520C"/>
    <w:rsid w:val="0088546A"/>
    <w:rsid w:val="00885915"/>
    <w:rsid w:val="008859F6"/>
    <w:rsid w:val="00885BA7"/>
    <w:rsid w:val="00885EAD"/>
    <w:rsid w:val="0088623A"/>
    <w:rsid w:val="008867EB"/>
    <w:rsid w:val="00886BB8"/>
    <w:rsid w:val="00887A1E"/>
    <w:rsid w:val="00887F6C"/>
    <w:rsid w:val="00890785"/>
    <w:rsid w:val="00891333"/>
    <w:rsid w:val="00891BC2"/>
    <w:rsid w:val="00892068"/>
    <w:rsid w:val="00892239"/>
    <w:rsid w:val="00892895"/>
    <w:rsid w:val="00892C98"/>
    <w:rsid w:val="00892CF0"/>
    <w:rsid w:val="00892D9C"/>
    <w:rsid w:val="008935E3"/>
    <w:rsid w:val="00893700"/>
    <w:rsid w:val="008938D6"/>
    <w:rsid w:val="00894061"/>
    <w:rsid w:val="00894F97"/>
    <w:rsid w:val="008958A0"/>
    <w:rsid w:val="008960B1"/>
    <w:rsid w:val="008961F7"/>
    <w:rsid w:val="0089628E"/>
    <w:rsid w:val="008970EE"/>
    <w:rsid w:val="0089718F"/>
    <w:rsid w:val="00897828"/>
    <w:rsid w:val="00897A06"/>
    <w:rsid w:val="00897A94"/>
    <w:rsid w:val="00897AE4"/>
    <w:rsid w:val="008A07C7"/>
    <w:rsid w:val="008A0A4F"/>
    <w:rsid w:val="008A0E2D"/>
    <w:rsid w:val="008A14E6"/>
    <w:rsid w:val="008A249A"/>
    <w:rsid w:val="008A2554"/>
    <w:rsid w:val="008A28FE"/>
    <w:rsid w:val="008A2C86"/>
    <w:rsid w:val="008A32C3"/>
    <w:rsid w:val="008A33F3"/>
    <w:rsid w:val="008A372E"/>
    <w:rsid w:val="008A3D8C"/>
    <w:rsid w:val="008A53D0"/>
    <w:rsid w:val="008A554D"/>
    <w:rsid w:val="008A55E5"/>
    <w:rsid w:val="008A5B1C"/>
    <w:rsid w:val="008A5E7D"/>
    <w:rsid w:val="008A64CA"/>
    <w:rsid w:val="008A6587"/>
    <w:rsid w:val="008A65EC"/>
    <w:rsid w:val="008A6916"/>
    <w:rsid w:val="008A6C4F"/>
    <w:rsid w:val="008A73B2"/>
    <w:rsid w:val="008A73BE"/>
    <w:rsid w:val="008A7BF3"/>
    <w:rsid w:val="008B000A"/>
    <w:rsid w:val="008B06A3"/>
    <w:rsid w:val="008B06FA"/>
    <w:rsid w:val="008B0DBF"/>
    <w:rsid w:val="008B1005"/>
    <w:rsid w:val="008B1A2D"/>
    <w:rsid w:val="008B23E0"/>
    <w:rsid w:val="008B272D"/>
    <w:rsid w:val="008B2764"/>
    <w:rsid w:val="008B321F"/>
    <w:rsid w:val="008B34C7"/>
    <w:rsid w:val="008B3F94"/>
    <w:rsid w:val="008B4115"/>
    <w:rsid w:val="008B4859"/>
    <w:rsid w:val="008B505A"/>
    <w:rsid w:val="008B5293"/>
    <w:rsid w:val="008B5298"/>
    <w:rsid w:val="008B67DF"/>
    <w:rsid w:val="008B6B46"/>
    <w:rsid w:val="008B6E9E"/>
    <w:rsid w:val="008B7032"/>
    <w:rsid w:val="008B77D7"/>
    <w:rsid w:val="008B7898"/>
    <w:rsid w:val="008B7B74"/>
    <w:rsid w:val="008B7E60"/>
    <w:rsid w:val="008C08F8"/>
    <w:rsid w:val="008C1805"/>
    <w:rsid w:val="008C185D"/>
    <w:rsid w:val="008C1FC9"/>
    <w:rsid w:val="008C20DD"/>
    <w:rsid w:val="008C2433"/>
    <w:rsid w:val="008C395D"/>
    <w:rsid w:val="008C3D40"/>
    <w:rsid w:val="008C4D1A"/>
    <w:rsid w:val="008C4E18"/>
    <w:rsid w:val="008C5ED1"/>
    <w:rsid w:val="008C6253"/>
    <w:rsid w:val="008C658B"/>
    <w:rsid w:val="008C6814"/>
    <w:rsid w:val="008C7008"/>
    <w:rsid w:val="008C7499"/>
    <w:rsid w:val="008D0734"/>
    <w:rsid w:val="008D11D4"/>
    <w:rsid w:val="008D15E8"/>
    <w:rsid w:val="008D1681"/>
    <w:rsid w:val="008D1764"/>
    <w:rsid w:val="008D2018"/>
    <w:rsid w:val="008D2400"/>
    <w:rsid w:val="008D3232"/>
    <w:rsid w:val="008D4D6F"/>
    <w:rsid w:val="008D4D97"/>
    <w:rsid w:val="008D4FBD"/>
    <w:rsid w:val="008D52B8"/>
    <w:rsid w:val="008D60DF"/>
    <w:rsid w:val="008D677E"/>
    <w:rsid w:val="008D67DB"/>
    <w:rsid w:val="008D6AF9"/>
    <w:rsid w:val="008D6DCD"/>
    <w:rsid w:val="008E0356"/>
    <w:rsid w:val="008E0725"/>
    <w:rsid w:val="008E074E"/>
    <w:rsid w:val="008E0A85"/>
    <w:rsid w:val="008E1858"/>
    <w:rsid w:val="008E191B"/>
    <w:rsid w:val="008E1A21"/>
    <w:rsid w:val="008E1E56"/>
    <w:rsid w:val="008E1FE4"/>
    <w:rsid w:val="008E2371"/>
    <w:rsid w:val="008E2486"/>
    <w:rsid w:val="008E30B0"/>
    <w:rsid w:val="008E381D"/>
    <w:rsid w:val="008E492B"/>
    <w:rsid w:val="008E4A7A"/>
    <w:rsid w:val="008E4CCA"/>
    <w:rsid w:val="008E5124"/>
    <w:rsid w:val="008E5C6E"/>
    <w:rsid w:val="008E630C"/>
    <w:rsid w:val="008E6E3D"/>
    <w:rsid w:val="008E7169"/>
    <w:rsid w:val="008E723B"/>
    <w:rsid w:val="008E77A1"/>
    <w:rsid w:val="008E79DA"/>
    <w:rsid w:val="008F044C"/>
    <w:rsid w:val="008F072A"/>
    <w:rsid w:val="008F1312"/>
    <w:rsid w:val="008F1B56"/>
    <w:rsid w:val="008F1C5B"/>
    <w:rsid w:val="008F1CC5"/>
    <w:rsid w:val="008F22A6"/>
    <w:rsid w:val="008F247F"/>
    <w:rsid w:val="008F26D3"/>
    <w:rsid w:val="008F36BC"/>
    <w:rsid w:val="008F37A8"/>
    <w:rsid w:val="008F3D60"/>
    <w:rsid w:val="008F4236"/>
    <w:rsid w:val="008F47B7"/>
    <w:rsid w:val="008F54E2"/>
    <w:rsid w:val="008F6047"/>
    <w:rsid w:val="008F6590"/>
    <w:rsid w:val="008F6B90"/>
    <w:rsid w:val="008F6BAF"/>
    <w:rsid w:val="009003DD"/>
    <w:rsid w:val="00900A34"/>
    <w:rsid w:val="00900CDA"/>
    <w:rsid w:val="00900D7D"/>
    <w:rsid w:val="00900EF0"/>
    <w:rsid w:val="00901971"/>
    <w:rsid w:val="0090289D"/>
    <w:rsid w:val="00902D22"/>
    <w:rsid w:val="0090311D"/>
    <w:rsid w:val="0090325A"/>
    <w:rsid w:val="009032DE"/>
    <w:rsid w:val="00903351"/>
    <w:rsid w:val="00903C9F"/>
    <w:rsid w:val="00904449"/>
    <w:rsid w:val="0090445B"/>
    <w:rsid w:val="0090493D"/>
    <w:rsid w:val="00904B20"/>
    <w:rsid w:val="00905024"/>
    <w:rsid w:val="0090536C"/>
    <w:rsid w:val="0090555C"/>
    <w:rsid w:val="00905E1A"/>
    <w:rsid w:val="00905F9A"/>
    <w:rsid w:val="009063AE"/>
    <w:rsid w:val="00906ACD"/>
    <w:rsid w:val="009079B6"/>
    <w:rsid w:val="00910F12"/>
    <w:rsid w:val="0091103F"/>
    <w:rsid w:val="00911542"/>
    <w:rsid w:val="00911659"/>
    <w:rsid w:val="009117B2"/>
    <w:rsid w:val="00912296"/>
    <w:rsid w:val="009124AB"/>
    <w:rsid w:val="009124FA"/>
    <w:rsid w:val="00913F70"/>
    <w:rsid w:val="00914A27"/>
    <w:rsid w:val="009152AB"/>
    <w:rsid w:val="0091599D"/>
    <w:rsid w:val="00915A9B"/>
    <w:rsid w:val="00916894"/>
    <w:rsid w:val="00916DB2"/>
    <w:rsid w:val="00917640"/>
    <w:rsid w:val="00917848"/>
    <w:rsid w:val="009200CB"/>
    <w:rsid w:val="009200FA"/>
    <w:rsid w:val="00920962"/>
    <w:rsid w:val="00921236"/>
    <w:rsid w:val="0092198C"/>
    <w:rsid w:val="00921F2D"/>
    <w:rsid w:val="00921F9E"/>
    <w:rsid w:val="009233DF"/>
    <w:rsid w:val="00924605"/>
    <w:rsid w:val="0092463E"/>
    <w:rsid w:val="00924C3C"/>
    <w:rsid w:val="00924EC9"/>
    <w:rsid w:val="00925B0B"/>
    <w:rsid w:val="00925F69"/>
    <w:rsid w:val="0092608F"/>
    <w:rsid w:val="009260CB"/>
    <w:rsid w:val="009260E7"/>
    <w:rsid w:val="00926141"/>
    <w:rsid w:val="00926D3E"/>
    <w:rsid w:val="0092725B"/>
    <w:rsid w:val="009301B7"/>
    <w:rsid w:val="009306F1"/>
    <w:rsid w:val="00930745"/>
    <w:rsid w:val="00930988"/>
    <w:rsid w:val="00930B49"/>
    <w:rsid w:val="00931417"/>
    <w:rsid w:val="00932104"/>
    <w:rsid w:val="009325C4"/>
    <w:rsid w:val="00932BD5"/>
    <w:rsid w:val="00932C64"/>
    <w:rsid w:val="00932F4E"/>
    <w:rsid w:val="00933748"/>
    <w:rsid w:val="009339A6"/>
    <w:rsid w:val="0093431D"/>
    <w:rsid w:val="009344C0"/>
    <w:rsid w:val="009370A4"/>
    <w:rsid w:val="009371D4"/>
    <w:rsid w:val="009379C4"/>
    <w:rsid w:val="00937C09"/>
    <w:rsid w:val="00940016"/>
    <w:rsid w:val="009403FC"/>
    <w:rsid w:val="009405A2"/>
    <w:rsid w:val="0094072B"/>
    <w:rsid w:val="00940AC6"/>
    <w:rsid w:val="00940C3E"/>
    <w:rsid w:val="00940FA1"/>
    <w:rsid w:val="0094104C"/>
    <w:rsid w:val="0094113B"/>
    <w:rsid w:val="00941665"/>
    <w:rsid w:val="00941A16"/>
    <w:rsid w:val="00941D44"/>
    <w:rsid w:val="009423A6"/>
    <w:rsid w:val="00942ACA"/>
    <w:rsid w:val="00942D8F"/>
    <w:rsid w:val="00943242"/>
    <w:rsid w:val="00943340"/>
    <w:rsid w:val="00943A47"/>
    <w:rsid w:val="00943C80"/>
    <w:rsid w:val="00943FC3"/>
    <w:rsid w:val="00944238"/>
    <w:rsid w:val="00944ABA"/>
    <w:rsid w:val="00945374"/>
    <w:rsid w:val="00945453"/>
    <w:rsid w:val="0094549D"/>
    <w:rsid w:val="009456AC"/>
    <w:rsid w:val="00945DD1"/>
    <w:rsid w:val="00945EF7"/>
    <w:rsid w:val="009460C8"/>
    <w:rsid w:val="00946730"/>
    <w:rsid w:val="009468FF"/>
    <w:rsid w:val="00947437"/>
    <w:rsid w:val="009474D9"/>
    <w:rsid w:val="00947596"/>
    <w:rsid w:val="00950E14"/>
    <w:rsid w:val="00950FA0"/>
    <w:rsid w:val="0095185B"/>
    <w:rsid w:val="00952301"/>
    <w:rsid w:val="0095293E"/>
    <w:rsid w:val="00952D38"/>
    <w:rsid w:val="00952DA2"/>
    <w:rsid w:val="0095392C"/>
    <w:rsid w:val="00953FAB"/>
    <w:rsid w:val="00954FFD"/>
    <w:rsid w:val="00955C31"/>
    <w:rsid w:val="009564F8"/>
    <w:rsid w:val="0096062E"/>
    <w:rsid w:val="0096070D"/>
    <w:rsid w:val="00960A02"/>
    <w:rsid w:val="00960ABC"/>
    <w:rsid w:val="00960BC7"/>
    <w:rsid w:val="00960DC7"/>
    <w:rsid w:val="00960F2F"/>
    <w:rsid w:val="00961B50"/>
    <w:rsid w:val="00961F71"/>
    <w:rsid w:val="00962350"/>
    <w:rsid w:val="00962DAB"/>
    <w:rsid w:val="009633D4"/>
    <w:rsid w:val="0096340A"/>
    <w:rsid w:val="00963486"/>
    <w:rsid w:val="0096377D"/>
    <w:rsid w:val="00963A48"/>
    <w:rsid w:val="00964405"/>
    <w:rsid w:val="009645A7"/>
    <w:rsid w:val="009645F8"/>
    <w:rsid w:val="00964706"/>
    <w:rsid w:val="0096478B"/>
    <w:rsid w:val="00964BDD"/>
    <w:rsid w:val="00965F2F"/>
    <w:rsid w:val="00966216"/>
    <w:rsid w:val="00966243"/>
    <w:rsid w:val="00966E30"/>
    <w:rsid w:val="0096746F"/>
    <w:rsid w:val="00967736"/>
    <w:rsid w:val="0096786B"/>
    <w:rsid w:val="00967AD9"/>
    <w:rsid w:val="00967C93"/>
    <w:rsid w:val="00967FD3"/>
    <w:rsid w:val="00971116"/>
    <w:rsid w:val="0097132D"/>
    <w:rsid w:val="00971357"/>
    <w:rsid w:val="009717E0"/>
    <w:rsid w:val="009718E8"/>
    <w:rsid w:val="00971A05"/>
    <w:rsid w:val="00971EAC"/>
    <w:rsid w:val="009721E2"/>
    <w:rsid w:val="0097244F"/>
    <w:rsid w:val="00972A08"/>
    <w:rsid w:val="00973098"/>
    <w:rsid w:val="009730F2"/>
    <w:rsid w:val="0097341E"/>
    <w:rsid w:val="00973FC4"/>
    <w:rsid w:val="00974708"/>
    <w:rsid w:val="00974C05"/>
    <w:rsid w:val="00974E41"/>
    <w:rsid w:val="009750ED"/>
    <w:rsid w:val="009752D4"/>
    <w:rsid w:val="00975F30"/>
    <w:rsid w:val="00976652"/>
    <w:rsid w:val="009767D1"/>
    <w:rsid w:val="00976B20"/>
    <w:rsid w:val="00976C23"/>
    <w:rsid w:val="009772C3"/>
    <w:rsid w:val="00977698"/>
    <w:rsid w:val="00977AB1"/>
    <w:rsid w:val="00977DC5"/>
    <w:rsid w:val="009806D3"/>
    <w:rsid w:val="00980A38"/>
    <w:rsid w:val="009816D8"/>
    <w:rsid w:val="00981ADF"/>
    <w:rsid w:val="00981D9C"/>
    <w:rsid w:val="0098265E"/>
    <w:rsid w:val="00983036"/>
    <w:rsid w:val="00983117"/>
    <w:rsid w:val="00983D98"/>
    <w:rsid w:val="00984325"/>
    <w:rsid w:val="00984898"/>
    <w:rsid w:val="009849BC"/>
    <w:rsid w:val="00984CC8"/>
    <w:rsid w:val="00984D0B"/>
    <w:rsid w:val="00984E7E"/>
    <w:rsid w:val="0098595E"/>
    <w:rsid w:val="009859F6"/>
    <w:rsid w:val="00985BE7"/>
    <w:rsid w:val="009869DE"/>
    <w:rsid w:val="00986B95"/>
    <w:rsid w:val="00986ED6"/>
    <w:rsid w:val="00986F3E"/>
    <w:rsid w:val="00987622"/>
    <w:rsid w:val="009877AC"/>
    <w:rsid w:val="00990FDE"/>
    <w:rsid w:val="00991763"/>
    <w:rsid w:val="00991CBF"/>
    <w:rsid w:val="00991CE8"/>
    <w:rsid w:val="00991D0C"/>
    <w:rsid w:val="00992510"/>
    <w:rsid w:val="00992B21"/>
    <w:rsid w:val="00993308"/>
    <w:rsid w:val="009933E1"/>
    <w:rsid w:val="00993433"/>
    <w:rsid w:val="00993CD0"/>
    <w:rsid w:val="009946DB"/>
    <w:rsid w:val="00994778"/>
    <w:rsid w:val="00994C3C"/>
    <w:rsid w:val="0099553F"/>
    <w:rsid w:val="00995CBC"/>
    <w:rsid w:val="0099602B"/>
    <w:rsid w:val="00996425"/>
    <w:rsid w:val="00996AAA"/>
    <w:rsid w:val="00997988"/>
    <w:rsid w:val="00997ACE"/>
    <w:rsid w:val="009A0441"/>
    <w:rsid w:val="009A05D5"/>
    <w:rsid w:val="009A069E"/>
    <w:rsid w:val="009A0A05"/>
    <w:rsid w:val="009A0ADF"/>
    <w:rsid w:val="009A0F76"/>
    <w:rsid w:val="009A11CD"/>
    <w:rsid w:val="009A1867"/>
    <w:rsid w:val="009A1A82"/>
    <w:rsid w:val="009A2258"/>
    <w:rsid w:val="009A2336"/>
    <w:rsid w:val="009A2745"/>
    <w:rsid w:val="009A275B"/>
    <w:rsid w:val="009A39DA"/>
    <w:rsid w:val="009A3A61"/>
    <w:rsid w:val="009A41E2"/>
    <w:rsid w:val="009A457D"/>
    <w:rsid w:val="009A5029"/>
    <w:rsid w:val="009A5ED0"/>
    <w:rsid w:val="009A661A"/>
    <w:rsid w:val="009A6BA0"/>
    <w:rsid w:val="009A6EEE"/>
    <w:rsid w:val="009A6F3A"/>
    <w:rsid w:val="009A7481"/>
    <w:rsid w:val="009A7592"/>
    <w:rsid w:val="009A77F9"/>
    <w:rsid w:val="009A7F0D"/>
    <w:rsid w:val="009B08A5"/>
    <w:rsid w:val="009B09FA"/>
    <w:rsid w:val="009B0CA5"/>
    <w:rsid w:val="009B0FB4"/>
    <w:rsid w:val="009B164E"/>
    <w:rsid w:val="009B164F"/>
    <w:rsid w:val="009B193B"/>
    <w:rsid w:val="009B2860"/>
    <w:rsid w:val="009B2AEE"/>
    <w:rsid w:val="009B2C88"/>
    <w:rsid w:val="009B2D65"/>
    <w:rsid w:val="009B2E02"/>
    <w:rsid w:val="009B40D9"/>
    <w:rsid w:val="009B42D2"/>
    <w:rsid w:val="009B42DC"/>
    <w:rsid w:val="009B4569"/>
    <w:rsid w:val="009B4E2E"/>
    <w:rsid w:val="009B5321"/>
    <w:rsid w:val="009B59B8"/>
    <w:rsid w:val="009B5ADC"/>
    <w:rsid w:val="009B682B"/>
    <w:rsid w:val="009B6CB9"/>
    <w:rsid w:val="009C0DA1"/>
    <w:rsid w:val="009C0FFA"/>
    <w:rsid w:val="009C1462"/>
    <w:rsid w:val="009C186C"/>
    <w:rsid w:val="009C23C0"/>
    <w:rsid w:val="009C24C0"/>
    <w:rsid w:val="009C26D9"/>
    <w:rsid w:val="009C3EB5"/>
    <w:rsid w:val="009C46F8"/>
    <w:rsid w:val="009C485A"/>
    <w:rsid w:val="009C50EC"/>
    <w:rsid w:val="009C50F9"/>
    <w:rsid w:val="009C52E1"/>
    <w:rsid w:val="009C5641"/>
    <w:rsid w:val="009C5752"/>
    <w:rsid w:val="009C5F9D"/>
    <w:rsid w:val="009C6627"/>
    <w:rsid w:val="009C682D"/>
    <w:rsid w:val="009C71B1"/>
    <w:rsid w:val="009C71BA"/>
    <w:rsid w:val="009C76F3"/>
    <w:rsid w:val="009C7A54"/>
    <w:rsid w:val="009C7DB5"/>
    <w:rsid w:val="009D03B6"/>
    <w:rsid w:val="009D0AC6"/>
    <w:rsid w:val="009D0B8D"/>
    <w:rsid w:val="009D0BCC"/>
    <w:rsid w:val="009D0ECF"/>
    <w:rsid w:val="009D0F9D"/>
    <w:rsid w:val="009D14D0"/>
    <w:rsid w:val="009D1834"/>
    <w:rsid w:val="009D194B"/>
    <w:rsid w:val="009D3DD8"/>
    <w:rsid w:val="009D40BB"/>
    <w:rsid w:val="009D549A"/>
    <w:rsid w:val="009D560D"/>
    <w:rsid w:val="009D5825"/>
    <w:rsid w:val="009D6F23"/>
    <w:rsid w:val="009D719A"/>
    <w:rsid w:val="009D7362"/>
    <w:rsid w:val="009D74D5"/>
    <w:rsid w:val="009D78D2"/>
    <w:rsid w:val="009E00A9"/>
    <w:rsid w:val="009E044D"/>
    <w:rsid w:val="009E09AB"/>
    <w:rsid w:val="009E1776"/>
    <w:rsid w:val="009E1B2A"/>
    <w:rsid w:val="009E24E0"/>
    <w:rsid w:val="009E2BA9"/>
    <w:rsid w:val="009E2F4B"/>
    <w:rsid w:val="009E328D"/>
    <w:rsid w:val="009E367A"/>
    <w:rsid w:val="009E39EE"/>
    <w:rsid w:val="009E3B55"/>
    <w:rsid w:val="009E3E21"/>
    <w:rsid w:val="009E4106"/>
    <w:rsid w:val="009E4160"/>
    <w:rsid w:val="009E420B"/>
    <w:rsid w:val="009E471A"/>
    <w:rsid w:val="009E4DB7"/>
    <w:rsid w:val="009E5087"/>
    <w:rsid w:val="009E60C1"/>
    <w:rsid w:val="009E61A2"/>
    <w:rsid w:val="009E62A9"/>
    <w:rsid w:val="009E62C6"/>
    <w:rsid w:val="009E6FBB"/>
    <w:rsid w:val="009E7512"/>
    <w:rsid w:val="009E7597"/>
    <w:rsid w:val="009E7D89"/>
    <w:rsid w:val="009E7F7C"/>
    <w:rsid w:val="009F093F"/>
    <w:rsid w:val="009F0CF0"/>
    <w:rsid w:val="009F12A4"/>
    <w:rsid w:val="009F1455"/>
    <w:rsid w:val="009F1628"/>
    <w:rsid w:val="009F180B"/>
    <w:rsid w:val="009F22CD"/>
    <w:rsid w:val="009F286C"/>
    <w:rsid w:val="009F2B5C"/>
    <w:rsid w:val="009F2ECD"/>
    <w:rsid w:val="009F3140"/>
    <w:rsid w:val="009F33E3"/>
    <w:rsid w:val="009F3627"/>
    <w:rsid w:val="009F413E"/>
    <w:rsid w:val="009F4763"/>
    <w:rsid w:val="009F4835"/>
    <w:rsid w:val="009F4861"/>
    <w:rsid w:val="009F4A77"/>
    <w:rsid w:val="009F4BAD"/>
    <w:rsid w:val="009F534E"/>
    <w:rsid w:val="009F54BD"/>
    <w:rsid w:val="009F5512"/>
    <w:rsid w:val="009F5608"/>
    <w:rsid w:val="009F577A"/>
    <w:rsid w:val="009F5944"/>
    <w:rsid w:val="009F5988"/>
    <w:rsid w:val="009F6255"/>
    <w:rsid w:val="009F6837"/>
    <w:rsid w:val="009F735E"/>
    <w:rsid w:val="009F743B"/>
    <w:rsid w:val="009F7932"/>
    <w:rsid w:val="009F7A88"/>
    <w:rsid w:val="00A001BF"/>
    <w:rsid w:val="00A00353"/>
    <w:rsid w:val="00A004D6"/>
    <w:rsid w:val="00A01098"/>
    <w:rsid w:val="00A010BB"/>
    <w:rsid w:val="00A01B1E"/>
    <w:rsid w:val="00A0296E"/>
    <w:rsid w:val="00A02D0A"/>
    <w:rsid w:val="00A02FB1"/>
    <w:rsid w:val="00A03339"/>
    <w:rsid w:val="00A04154"/>
    <w:rsid w:val="00A0444A"/>
    <w:rsid w:val="00A04CB9"/>
    <w:rsid w:val="00A04D6C"/>
    <w:rsid w:val="00A055E0"/>
    <w:rsid w:val="00A0570F"/>
    <w:rsid w:val="00A05F6A"/>
    <w:rsid w:val="00A06052"/>
    <w:rsid w:val="00A0748E"/>
    <w:rsid w:val="00A07760"/>
    <w:rsid w:val="00A07967"/>
    <w:rsid w:val="00A07FA2"/>
    <w:rsid w:val="00A10705"/>
    <w:rsid w:val="00A10BE2"/>
    <w:rsid w:val="00A11164"/>
    <w:rsid w:val="00A11290"/>
    <w:rsid w:val="00A11725"/>
    <w:rsid w:val="00A12073"/>
    <w:rsid w:val="00A12893"/>
    <w:rsid w:val="00A12C49"/>
    <w:rsid w:val="00A1380B"/>
    <w:rsid w:val="00A14100"/>
    <w:rsid w:val="00A14126"/>
    <w:rsid w:val="00A14C38"/>
    <w:rsid w:val="00A15954"/>
    <w:rsid w:val="00A15AC6"/>
    <w:rsid w:val="00A15D28"/>
    <w:rsid w:val="00A15D81"/>
    <w:rsid w:val="00A1618B"/>
    <w:rsid w:val="00A16291"/>
    <w:rsid w:val="00A165FD"/>
    <w:rsid w:val="00A1698D"/>
    <w:rsid w:val="00A16A36"/>
    <w:rsid w:val="00A16D5B"/>
    <w:rsid w:val="00A16EED"/>
    <w:rsid w:val="00A17112"/>
    <w:rsid w:val="00A171D6"/>
    <w:rsid w:val="00A1720E"/>
    <w:rsid w:val="00A176C8"/>
    <w:rsid w:val="00A2120D"/>
    <w:rsid w:val="00A21F57"/>
    <w:rsid w:val="00A22662"/>
    <w:rsid w:val="00A22F3F"/>
    <w:rsid w:val="00A22FC4"/>
    <w:rsid w:val="00A23050"/>
    <w:rsid w:val="00A23094"/>
    <w:rsid w:val="00A231BB"/>
    <w:rsid w:val="00A231EE"/>
    <w:rsid w:val="00A23661"/>
    <w:rsid w:val="00A23D58"/>
    <w:rsid w:val="00A241B8"/>
    <w:rsid w:val="00A24834"/>
    <w:rsid w:val="00A24882"/>
    <w:rsid w:val="00A249FE"/>
    <w:rsid w:val="00A2537C"/>
    <w:rsid w:val="00A25DF3"/>
    <w:rsid w:val="00A261B1"/>
    <w:rsid w:val="00A262B7"/>
    <w:rsid w:val="00A26CFC"/>
    <w:rsid w:val="00A26D13"/>
    <w:rsid w:val="00A272BB"/>
    <w:rsid w:val="00A27522"/>
    <w:rsid w:val="00A27542"/>
    <w:rsid w:val="00A2785E"/>
    <w:rsid w:val="00A27961"/>
    <w:rsid w:val="00A27EB3"/>
    <w:rsid w:val="00A30141"/>
    <w:rsid w:val="00A30759"/>
    <w:rsid w:val="00A30860"/>
    <w:rsid w:val="00A317C8"/>
    <w:rsid w:val="00A31B6D"/>
    <w:rsid w:val="00A3261C"/>
    <w:rsid w:val="00A32A47"/>
    <w:rsid w:val="00A33ADE"/>
    <w:rsid w:val="00A33C46"/>
    <w:rsid w:val="00A35DB4"/>
    <w:rsid w:val="00A36314"/>
    <w:rsid w:val="00A36594"/>
    <w:rsid w:val="00A3667C"/>
    <w:rsid w:val="00A371A1"/>
    <w:rsid w:val="00A37C87"/>
    <w:rsid w:val="00A40E0C"/>
    <w:rsid w:val="00A40F1C"/>
    <w:rsid w:val="00A43029"/>
    <w:rsid w:val="00A43123"/>
    <w:rsid w:val="00A43305"/>
    <w:rsid w:val="00A43AF3"/>
    <w:rsid w:val="00A43FF6"/>
    <w:rsid w:val="00A4421D"/>
    <w:rsid w:val="00A444AB"/>
    <w:rsid w:val="00A44544"/>
    <w:rsid w:val="00A450E9"/>
    <w:rsid w:val="00A45874"/>
    <w:rsid w:val="00A45A0C"/>
    <w:rsid w:val="00A45B01"/>
    <w:rsid w:val="00A45DC6"/>
    <w:rsid w:val="00A472D7"/>
    <w:rsid w:val="00A47497"/>
    <w:rsid w:val="00A47A73"/>
    <w:rsid w:val="00A5011B"/>
    <w:rsid w:val="00A5062B"/>
    <w:rsid w:val="00A51E00"/>
    <w:rsid w:val="00A5218C"/>
    <w:rsid w:val="00A5311A"/>
    <w:rsid w:val="00A536C4"/>
    <w:rsid w:val="00A53C9A"/>
    <w:rsid w:val="00A53FC6"/>
    <w:rsid w:val="00A54C9E"/>
    <w:rsid w:val="00A54F52"/>
    <w:rsid w:val="00A5527A"/>
    <w:rsid w:val="00A554E0"/>
    <w:rsid w:val="00A55BF2"/>
    <w:rsid w:val="00A55DE6"/>
    <w:rsid w:val="00A55F4C"/>
    <w:rsid w:val="00A55F5B"/>
    <w:rsid w:val="00A560BB"/>
    <w:rsid w:val="00A56140"/>
    <w:rsid w:val="00A5638B"/>
    <w:rsid w:val="00A56CC4"/>
    <w:rsid w:val="00A56DD5"/>
    <w:rsid w:val="00A574E8"/>
    <w:rsid w:val="00A5798B"/>
    <w:rsid w:val="00A604DC"/>
    <w:rsid w:val="00A60D92"/>
    <w:rsid w:val="00A615EA"/>
    <w:rsid w:val="00A616CE"/>
    <w:rsid w:val="00A61880"/>
    <w:rsid w:val="00A6196F"/>
    <w:rsid w:val="00A62356"/>
    <w:rsid w:val="00A627A3"/>
    <w:rsid w:val="00A628C6"/>
    <w:rsid w:val="00A62912"/>
    <w:rsid w:val="00A62BD5"/>
    <w:rsid w:val="00A63CDC"/>
    <w:rsid w:val="00A64097"/>
    <w:rsid w:val="00A64864"/>
    <w:rsid w:val="00A64B87"/>
    <w:rsid w:val="00A64B9E"/>
    <w:rsid w:val="00A65020"/>
    <w:rsid w:val="00A65EFC"/>
    <w:rsid w:val="00A666E3"/>
    <w:rsid w:val="00A66BD7"/>
    <w:rsid w:val="00A676E9"/>
    <w:rsid w:val="00A701C3"/>
    <w:rsid w:val="00A70574"/>
    <w:rsid w:val="00A706A7"/>
    <w:rsid w:val="00A70B81"/>
    <w:rsid w:val="00A70FB0"/>
    <w:rsid w:val="00A714A2"/>
    <w:rsid w:val="00A71559"/>
    <w:rsid w:val="00A71958"/>
    <w:rsid w:val="00A71BB0"/>
    <w:rsid w:val="00A71F1A"/>
    <w:rsid w:val="00A722C9"/>
    <w:rsid w:val="00A72ED1"/>
    <w:rsid w:val="00A7308A"/>
    <w:rsid w:val="00A730A8"/>
    <w:rsid w:val="00A73281"/>
    <w:rsid w:val="00A73E7C"/>
    <w:rsid w:val="00A74414"/>
    <w:rsid w:val="00A74498"/>
    <w:rsid w:val="00A74782"/>
    <w:rsid w:val="00A748CE"/>
    <w:rsid w:val="00A74DA5"/>
    <w:rsid w:val="00A7521B"/>
    <w:rsid w:val="00A75405"/>
    <w:rsid w:val="00A75793"/>
    <w:rsid w:val="00A75D8E"/>
    <w:rsid w:val="00A760A0"/>
    <w:rsid w:val="00A76C57"/>
    <w:rsid w:val="00A77E5C"/>
    <w:rsid w:val="00A80B81"/>
    <w:rsid w:val="00A81144"/>
    <w:rsid w:val="00A823BF"/>
    <w:rsid w:val="00A83097"/>
    <w:rsid w:val="00A83579"/>
    <w:rsid w:val="00A83F3D"/>
    <w:rsid w:val="00A842ED"/>
    <w:rsid w:val="00A8457E"/>
    <w:rsid w:val="00A84C92"/>
    <w:rsid w:val="00A84D40"/>
    <w:rsid w:val="00A865E3"/>
    <w:rsid w:val="00A8674B"/>
    <w:rsid w:val="00A86829"/>
    <w:rsid w:val="00A868B9"/>
    <w:rsid w:val="00A86DF2"/>
    <w:rsid w:val="00A879F1"/>
    <w:rsid w:val="00A87F53"/>
    <w:rsid w:val="00A90188"/>
    <w:rsid w:val="00A90296"/>
    <w:rsid w:val="00A905F8"/>
    <w:rsid w:val="00A9076B"/>
    <w:rsid w:val="00A91139"/>
    <w:rsid w:val="00A914DE"/>
    <w:rsid w:val="00A91AE8"/>
    <w:rsid w:val="00A91D8A"/>
    <w:rsid w:val="00A924A4"/>
    <w:rsid w:val="00A926CC"/>
    <w:rsid w:val="00A92BF9"/>
    <w:rsid w:val="00A944F6"/>
    <w:rsid w:val="00A95186"/>
    <w:rsid w:val="00A95C61"/>
    <w:rsid w:val="00A9632F"/>
    <w:rsid w:val="00A96400"/>
    <w:rsid w:val="00A9685E"/>
    <w:rsid w:val="00AA0661"/>
    <w:rsid w:val="00AA1446"/>
    <w:rsid w:val="00AA19CD"/>
    <w:rsid w:val="00AA1AA1"/>
    <w:rsid w:val="00AA2127"/>
    <w:rsid w:val="00AA2189"/>
    <w:rsid w:val="00AA2400"/>
    <w:rsid w:val="00AA2EBE"/>
    <w:rsid w:val="00AA2F10"/>
    <w:rsid w:val="00AA3B5D"/>
    <w:rsid w:val="00AA3BF4"/>
    <w:rsid w:val="00AA3FBA"/>
    <w:rsid w:val="00AA47D6"/>
    <w:rsid w:val="00AA5391"/>
    <w:rsid w:val="00AA5AB8"/>
    <w:rsid w:val="00AA5CCE"/>
    <w:rsid w:val="00AA5E11"/>
    <w:rsid w:val="00AA62C6"/>
    <w:rsid w:val="00AA674C"/>
    <w:rsid w:val="00AA7076"/>
    <w:rsid w:val="00AA711D"/>
    <w:rsid w:val="00AA7C14"/>
    <w:rsid w:val="00AB0946"/>
    <w:rsid w:val="00AB0DD5"/>
    <w:rsid w:val="00AB10AD"/>
    <w:rsid w:val="00AB1646"/>
    <w:rsid w:val="00AB16A2"/>
    <w:rsid w:val="00AB1E73"/>
    <w:rsid w:val="00AB1FF5"/>
    <w:rsid w:val="00AB252D"/>
    <w:rsid w:val="00AB2542"/>
    <w:rsid w:val="00AB2A13"/>
    <w:rsid w:val="00AB31BE"/>
    <w:rsid w:val="00AB39A4"/>
    <w:rsid w:val="00AB3BD8"/>
    <w:rsid w:val="00AB432D"/>
    <w:rsid w:val="00AB4493"/>
    <w:rsid w:val="00AB4720"/>
    <w:rsid w:val="00AB5511"/>
    <w:rsid w:val="00AB5512"/>
    <w:rsid w:val="00AB59C9"/>
    <w:rsid w:val="00AB6389"/>
    <w:rsid w:val="00AB6741"/>
    <w:rsid w:val="00AB67D1"/>
    <w:rsid w:val="00AB7569"/>
    <w:rsid w:val="00AB7FBC"/>
    <w:rsid w:val="00AC1343"/>
    <w:rsid w:val="00AC197E"/>
    <w:rsid w:val="00AC1C43"/>
    <w:rsid w:val="00AC22D1"/>
    <w:rsid w:val="00AC3BC5"/>
    <w:rsid w:val="00AC3DE3"/>
    <w:rsid w:val="00AC4154"/>
    <w:rsid w:val="00AC4DE3"/>
    <w:rsid w:val="00AC5172"/>
    <w:rsid w:val="00AC57D7"/>
    <w:rsid w:val="00AC657B"/>
    <w:rsid w:val="00AC6C60"/>
    <w:rsid w:val="00AC73E2"/>
    <w:rsid w:val="00AC7FEE"/>
    <w:rsid w:val="00AD03C3"/>
    <w:rsid w:val="00AD145C"/>
    <w:rsid w:val="00AD1501"/>
    <w:rsid w:val="00AD19B7"/>
    <w:rsid w:val="00AD2410"/>
    <w:rsid w:val="00AD2B9E"/>
    <w:rsid w:val="00AD330F"/>
    <w:rsid w:val="00AD356C"/>
    <w:rsid w:val="00AD36F9"/>
    <w:rsid w:val="00AD3BFD"/>
    <w:rsid w:val="00AD4591"/>
    <w:rsid w:val="00AD47DF"/>
    <w:rsid w:val="00AD4E55"/>
    <w:rsid w:val="00AD50A5"/>
    <w:rsid w:val="00AD5268"/>
    <w:rsid w:val="00AD5BF0"/>
    <w:rsid w:val="00AD6750"/>
    <w:rsid w:val="00AD6846"/>
    <w:rsid w:val="00AD6A30"/>
    <w:rsid w:val="00AD740C"/>
    <w:rsid w:val="00AD74FE"/>
    <w:rsid w:val="00AD76E0"/>
    <w:rsid w:val="00AD77F0"/>
    <w:rsid w:val="00AD7DC4"/>
    <w:rsid w:val="00AD7EAF"/>
    <w:rsid w:val="00AE02A3"/>
    <w:rsid w:val="00AE03D1"/>
    <w:rsid w:val="00AE04D3"/>
    <w:rsid w:val="00AE097C"/>
    <w:rsid w:val="00AE12E0"/>
    <w:rsid w:val="00AE1654"/>
    <w:rsid w:val="00AE17A1"/>
    <w:rsid w:val="00AE197B"/>
    <w:rsid w:val="00AE1B41"/>
    <w:rsid w:val="00AE21B1"/>
    <w:rsid w:val="00AE2F7F"/>
    <w:rsid w:val="00AE45B4"/>
    <w:rsid w:val="00AE4EF6"/>
    <w:rsid w:val="00AE508A"/>
    <w:rsid w:val="00AE524B"/>
    <w:rsid w:val="00AE52AF"/>
    <w:rsid w:val="00AE585C"/>
    <w:rsid w:val="00AE586D"/>
    <w:rsid w:val="00AE5A40"/>
    <w:rsid w:val="00AE6542"/>
    <w:rsid w:val="00AE6D04"/>
    <w:rsid w:val="00AE72F3"/>
    <w:rsid w:val="00AE7910"/>
    <w:rsid w:val="00AE7ECA"/>
    <w:rsid w:val="00AF0EB7"/>
    <w:rsid w:val="00AF1A50"/>
    <w:rsid w:val="00AF26DC"/>
    <w:rsid w:val="00AF3562"/>
    <w:rsid w:val="00AF363B"/>
    <w:rsid w:val="00AF4BCA"/>
    <w:rsid w:val="00AF5175"/>
    <w:rsid w:val="00AF51F0"/>
    <w:rsid w:val="00AF55C9"/>
    <w:rsid w:val="00AF5FD6"/>
    <w:rsid w:val="00AF6054"/>
    <w:rsid w:val="00AF69E7"/>
    <w:rsid w:val="00AF7775"/>
    <w:rsid w:val="00AF7801"/>
    <w:rsid w:val="00AF7C4E"/>
    <w:rsid w:val="00B0017F"/>
    <w:rsid w:val="00B00534"/>
    <w:rsid w:val="00B00970"/>
    <w:rsid w:val="00B034F9"/>
    <w:rsid w:val="00B041B0"/>
    <w:rsid w:val="00B047CA"/>
    <w:rsid w:val="00B04D17"/>
    <w:rsid w:val="00B04FCD"/>
    <w:rsid w:val="00B05701"/>
    <w:rsid w:val="00B05D1E"/>
    <w:rsid w:val="00B06997"/>
    <w:rsid w:val="00B06C4B"/>
    <w:rsid w:val="00B06E85"/>
    <w:rsid w:val="00B07ABE"/>
    <w:rsid w:val="00B1012C"/>
    <w:rsid w:val="00B102C3"/>
    <w:rsid w:val="00B10321"/>
    <w:rsid w:val="00B104F3"/>
    <w:rsid w:val="00B10CD4"/>
    <w:rsid w:val="00B10CDD"/>
    <w:rsid w:val="00B10FBF"/>
    <w:rsid w:val="00B1139D"/>
    <w:rsid w:val="00B11672"/>
    <w:rsid w:val="00B1175F"/>
    <w:rsid w:val="00B11B58"/>
    <w:rsid w:val="00B12276"/>
    <w:rsid w:val="00B123C1"/>
    <w:rsid w:val="00B1356C"/>
    <w:rsid w:val="00B16262"/>
    <w:rsid w:val="00B16399"/>
    <w:rsid w:val="00B16FB0"/>
    <w:rsid w:val="00B1709A"/>
    <w:rsid w:val="00B1757F"/>
    <w:rsid w:val="00B179D1"/>
    <w:rsid w:val="00B17DBA"/>
    <w:rsid w:val="00B20A44"/>
    <w:rsid w:val="00B21147"/>
    <w:rsid w:val="00B21340"/>
    <w:rsid w:val="00B21714"/>
    <w:rsid w:val="00B21B6D"/>
    <w:rsid w:val="00B22DE1"/>
    <w:rsid w:val="00B237A5"/>
    <w:rsid w:val="00B2396A"/>
    <w:rsid w:val="00B23E95"/>
    <w:rsid w:val="00B24E69"/>
    <w:rsid w:val="00B2604B"/>
    <w:rsid w:val="00B2610B"/>
    <w:rsid w:val="00B26242"/>
    <w:rsid w:val="00B26552"/>
    <w:rsid w:val="00B26677"/>
    <w:rsid w:val="00B26921"/>
    <w:rsid w:val="00B26B4E"/>
    <w:rsid w:val="00B26E73"/>
    <w:rsid w:val="00B26EDE"/>
    <w:rsid w:val="00B301AA"/>
    <w:rsid w:val="00B307AC"/>
    <w:rsid w:val="00B313E2"/>
    <w:rsid w:val="00B32356"/>
    <w:rsid w:val="00B32E55"/>
    <w:rsid w:val="00B33100"/>
    <w:rsid w:val="00B3344B"/>
    <w:rsid w:val="00B33663"/>
    <w:rsid w:val="00B33FA9"/>
    <w:rsid w:val="00B3477A"/>
    <w:rsid w:val="00B3495E"/>
    <w:rsid w:val="00B34ADD"/>
    <w:rsid w:val="00B34AE8"/>
    <w:rsid w:val="00B34C5B"/>
    <w:rsid w:val="00B34D95"/>
    <w:rsid w:val="00B351AD"/>
    <w:rsid w:val="00B35287"/>
    <w:rsid w:val="00B37346"/>
    <w:rsid w:val="00B37AF1"/>
    <w:rsid w:val="00B40580"/>
    <w:rsid w:val="00B4072B"/>
    <w:rsid w:val="00B408ED"/>
    <w:rsid w:val="00B4101B"/>
    <w:rsid w:val="00B412E5"/>
    <w:rsid w:val="00B41952"/>
    <w:rsid w:val="00B422E2"/>
    <w:rsid w:val="00B428B4"/>
    <w:rsid w:val="00B42F70"/>
    <w:rsid w:val="00B43503"/>
    <w:rsid w:val="00B43660"/>
    <w:rsid w:val="00B43665"/>
    <w:rsid w:val="00B43995"/>
    <w:rsid w:val="00B450D6"/>
    <w:rsid w:val="00B45F93"/>
    <w:rsid w:val="00B4630E"/>
    <w:rsid w:val="00B46A81"/>
    <w:rsid w:val="00B4702F"/>
    <w:rsid w:val="00B47161"/>
    <w:rsid w:val="00B476B6"/>
    <w:rsid w:val="00B478FF"/>
    <w:rsid w:val="00B47D95"/>
    <w:rsid w:val="00B507D9"/>
    <w:rsid w:val="00B5084B"/>
    <w:rsid w:val="00B509F5"/>
    <w:rsid w:val="00B50CB6"/>
    <w:rsid w:val="00B50FD3"/>
    <w:rsid w:val="00B51C01"/>
    <w:rsid w:val="00B525B0"/>
    <w:rsid w:val="00B52E1C"/>
    <w:rsid w:val="00B53080"/>
    <w:rsid w:val="00B53649"/>
    <w:rsid w:val="00B540F0"/>
    <w:rsid w:val="00B54A75"/>
    <w:rsid w:val="00B5535B"/>
    <w:rsid w:val="00B5609F"/>
    <w:rsid w:val="00B56CDC"/>
    <w:rsid w:val="00B571CF"/>
    <w:rsid w:val="00B575AB"/>
    <w:rsid w:val="00B5772F"/>
    <w:rsid w:val="00B604E8"/>
    <w:rsid w:val="00B60889"/>
    <w:rsid w:val="00B610D8"/>
    <w:rsid w:val="00B6116C"/>
    <w:rsid w:val="00B611D9"/>
    <w:rsid w:val="00B61511"/>
    <w:rsid w:val="00B61872"/>
    <w:rsid w:val="00B62206"/>
    <w:rsid w:val="00B625E6"/>
    <w:rsid w:val="00B62B09"/>
    <w:rsid w:val="00B62D3F"/>
    <w:rsid w:val="00B63024"/>
    <w:rsid w:val="00B63113"/>
    <w:rsid w:val="00B63864"/>
    <w:rsid w:val="00B639BB"/>
    <w:rsid w:val="00B6422E"/>
    <w:rsid w:val="00B64BBF"/>
    <w:rsid w:val="00B64E69"/>
    <w:rsid w:val="00B6530A"/>
    <w:rsid w:val="00B65DCF"/>
    <w:rsid w:val="00B66125"/>
    <w:rsid w:val="00B664BE"/>
    <w:rsid w:val="00B6742C"/>
    <w:rsid w:val="00B70627"/>
    <w:rsid w:val="00B7088F"/>
    <w:rsid w:val="00B70952"/>
    <w:rsid w:val="00B70AD8"/>
    <w:rsid w:val="00B70BFE"/>
    <w:rsid w:val="00B71118"/>
    <w:rsid w:val="00B7112F"/>
    <w:rsid w:val="00B7160B"/>
    <w:rsid w:val="00B7328C"/>
    <w:rsid w:val="00B73526"/>
    <w:rsid w:val="00B74030"/>
    <w:rsid w:val="00B740A8"/>
    <w:rsid w:val="00B742B6"/>
    <w:rsid w:val="00B74D65"/>
    <w:rsid w:val="00B753FF"/>
    <w:rsid w:val="00B75C74"/>
    <w:rsid w:val="00B75ED6"/>
    <w:rsid w:val="00B75FB7"/>
    <w:rsid w:val="00B76574"/>
    <w:rsid w:val="00B7668D"/>
    <w:rsid w:val="00B76FF7"/>
    <w:rsid w:val="00B7752F"/>
    <w:rsid w:val="00B77A9F"/>
    <w:rsid w:val="00B77D00"/>
    <w:rsid w:val="00B806EB"/>
    <w:rsid w:val="00B80A43"/>
    <w:rsid w:val="00B80A61"/>
    <w:rsid w:val="00B80BF7"/>
    <w:rsid w:val="00B80D2F"/>
    <w:rsid w:val="00B81753"/>
    <w:rsid w:val="00B81EC4"/>
    <w:rsid w:val="00B830AD"/>
    <w:rsid w:val="00B83A7D"/>
    <w:rsid w:val="00B83B30"/>
    <w:rsid w:val="00B83F78"/>
    <w:rsid w:val="00B84787"/>
    <w:rsid w:val="00B8481D"/>
    <w:rsid w:val="00B851AE"/>
    <w:rsid w:val="00B85EB6"/>
    <w:rsid w:val="00B85F93"/>
    <w:rsid w:val="00B85FDD"/>
    <w:rsid w:val="00B863A0"/>
    <w:rsid w:val="00B87130"/>
    <w:rsid w:val="00B874C0"/>
    <w:rsid w:val="00B87EBB"/>
    <w:rsid w:val="00B900F2"/>
    <w:rsid w:val="00B9080E"/>
    <w:rsid w:val="00B90FC2"/>
    <w:rsid w:val="00B91D82"/>
    <w:rsid w:val="00B91DA2"/>
    <w:rsid w:val="00B91F97"/>
    <w:rsid w:val="00B925F3"/>
    <w:rsid w:val="00B927DA"/>
    <w:rsid w:val="00B92C10"/>
    <w:rsid w:val="00B92E42"/>
    <w:rsid w:val="00B937A3"/>
    <w:rsid w:val="00B9385F"/>
    <w:rsid w:val="00B93C32"/>
    <w:rsid w:val="00B93C3D"/>
    <w:rsid w:val="00B94534"/>
    <w:rsid w:val="00B94E1B"/>
    <w:rsid w:val="00B94E4E"/>
    <w:rsid w:val="00B955FE"/>
    <w:rsid w:val="00B9588B"/>
    <w:rsid w:val="00B961C1"/>
    <w:rsid w:val="00B966C1"/>
    <w:rsid w:val="00B96B78"/>
    <w:rsid w:val="00B96F8D"/>
    <w:rsid w:val="00B972C3"/>
    <w:rsid w:val="00B97EDB"/>
    <w:rsid w:val="00BA05D0"/>
    <w:rsid w:val="00BA0D9B"/>
    <w:rsid w:val="00BA12DC"/>
    <w:rsid w:val="00BA2F07"/>
    <w:rsid w:val="00BA3064"/>
    <w:rsid w:val="00BA31F3"/>
    <w:rsid w:val="00BA3DAB"/>
    <w:rsid w:val="00BA43AD"/>
    <w:rsid w:val="00BA517B"/>
    <w:rsid w:val="00BA52EB"/>
    <w:rsid w:val="00BA5979"/>
    <w:rsid w:val="00BA5BDD"/>
    <w:rsid w:val="00BA5F21"/>
    <w:rsid w:val="00BA5F45"/>
    <w:rsid w:val="00BA5FEE"/>
    <w:rsid w:val="00BA60AB"/>
    <w:rsid w:val="00BA63AC"/>
    <w:rsid w:val="00BA63EF"/>
    <w:rsid w:val="00BA64FD"/>
    <w:rsid w:val="00BA67D6"/>
    <w:rsid w:val="00BA704A"/>
    <w:rsid w:val="00BA7071"/>
    <w:rsid w:val="00BA787F"/>
    <w:rsid w:val="00BA794E"/>
    <w:rsid w:val="00BA7E76"/>
    <w:rsid w:val="00BB0BFF"/>
    <w:rsid w:val="00BB15C2"/>
    <w:rsid w:val="00BB1B5C"/>
    <w:rsid w:val="00BB1D67"/>
    <w:rsid w:val="00BB1FBF"/>
    <w:rsid w:val="00BB22CD"/>
    <w:rsid w:val="00BB24DA"/>
    <w:rsid w:val="00BB25CC"/>
    <w:rsid w:val="00BB2899"/>
    <w:rsid w:val="00BB3331"/>
    <w:rsid w:val="00BB3A74"/>
    <w:rsid w:val="00BB3B8C"/>
    <w:rsid w:val="00BB402E"/>
    <w:rsid w:val="00BB4482"/>
    <w:rsid w:val="00BB4CCF"/>
    <w:rsid w:val="00BB4DEB"/>
    <w:rsid w:val="00BB4F82"/>
    <w:rsid w:val="00BB5280"/>
    <w:rsid w:val="00BB54C9"/>
    <w:rsid w:val="00BB5E4C"/>
    <w:rsid w:val="00BB64FB"/>
    <w:rsid w:val="00BB6690"/>
    <w:rsid w:val="00BB66B1"/>
    <w:rsid w:val="00BB6A96"/>
    <w:rsid w:val="00BB6D09"/>
    <w:rsid w:val="00BB707F"/>
    <w:rsid w:val="00BB759C"/>
    <w:rsid w:val="00BB7678"/>
    <w:rsid w:val="00BB7932"/>
    <w:rsid w:val="00BB7B74"/>
    <w:rsid w:val="00BC0AE3"/>
    <w:rsid w:val="00BC0EB5"/>
    <w:rsid w:val="00BC1B48"/>
    <w:rsid w:val="00BC1BA7"/>
    <w:rsid w:val="00BC1F78"/>
    <w:rsid w:val="00BC20CC"/>
    <w:rsid w:val="00BC270E"/>
    <w:rsid w:val="00BC2EFF"/>
    <w:rsid w:val="00BC3BB4"/>
    <w:rsid w:val="00BC45AE"/>
    <w:rsid w:val="00BC4791"/>
    <w:rsid w:val="00BC4903"/>
    <w:rsid w:val="00BC4B23"/>
    <w:rsid w:val="00BC4D61"/>
    <w:rsid w:val="00BC5120"/>
    <w:rsid w:val="00BC51DF"/>
    <w:rsid w:val="00BC5590"/>
    <w:rsid w:val="00BC5B35"/>
    <w:rsid w:val="00BC6374"/>
    <w:rsid w:val="00BC6DCD"/>
    <w:rsid w:val="00BC7280"/>
    <w:rsid w:val="00BC7480"/>
    <w:rsid w:val="00BD03E4"/>
    <w:rsid w:val="00BD05AE"/>
    <w:rsid w:val="00BD08D1"/>
    <w:rsid w:val="00BD094C"/>
    <w:rsid w:val="00BD0BE2"/>
    <w:rsid w:val="00BD0CE3"/>
    <w:rsid w:val="00BD12DA"/>
    <w:rsid w:val="00BD132B"/>
    <w:rsid w:val="00BD14D8"/>
    <w:rsid w:val="00BD24DD"/>
    <w:rsid w:val="00BD26FF"/>
    <w:rsid w:val="00BD331B"/>
    <w:rsid w:val="00BD3432"/>
    <w:rsid w:val="00BD3676"/>
    <w:rsid w:val="00BD3DE9"/>
    <w:rsid w:val="00BD3E7B"/>
    <w:rsid w:val="00BD44AC"/>
    <w:rsid w:val="00BD4915"/>
    <w:rsid w:val="00BD5273"/>
    <w:rsid w:val="00BD5524"/>
    <w:rsid w:val="00BD6D51"/>
    <w:rsid w:val="00BD7B23"/>
    <w:rsid w:val="00BE0CA8"/>
    <w:rsid w:val="00BE25F9"/>
    <w:rsid w:val="00BE2F14"/>
    <w:rsid w:val="00BE303D"/>
    <w:rsid w:val="00BE3A09"/>
    <w:rsid w:val="00BE3A12"/>
    <w:rsid w:val="00BE3A8F"/>
    <w:rsid w:val="00BE460F"/>
    <w:rsid w:val="00BE4844"/>
    <w:rsid w:val="00BE6447"/>
    <w:rsid w:val="00BE648F"/>
    <w:rsid w:val="00BE65AF"/>
    <w:rsid w:val="00BE65EB"/>
    <w:rsid w:val="00BE663A"/>
    <w:rsid w:val="00BE6794"/>
    <w:rsid w:val="00BE6DCD"/>
    <w:rsid w:val="00BE6FAE"/>
    <w:rsid w:val="00BE738B"/>
    <w:rsid w:val="00BF00BA"/>
    <w:rsid w:val="00BF01BF"/>
    <w:rsid w:val="00BF0874"/>
    <w:rsid w:val="00BF0B9B"/>
    <w:rsid w:val="00BF1063"/>
    <w:rsid w:val="00BF1532"/>
    <w:rsid w:val="00BF223F"/>
    <w:rsid w:val="00BF23FB"/>
    <w:rsid w:val="00BF281E"/>
    <w:rsid w:val="00BF2CF6"/>
    <w:rsid w:val="00BF3075"/>
    <w:rsid w:val="00BF35B6"/>
    <w:rsid w:val="00BF3B91"/>
    <w:rsid w:val="00BF3F8E"/>
    <w:rsid w:val="00BF3FB8"/>
    <w:rsid w:val="00BF45A9"/>
    <w:rsid w:val="00BF46E9"/>
    <w:rsid w:val="00BF478A"/>
    <w:rsid w:val="00BF4AB9"/>
    <w:rsid w:val="00BF4D39"/>
    <w:rsid w:val="00BF55AF"/>
    <w:rsid w:val="00BF5627"/>
    <w:rsid w:val="00BF57DA"/>
    <w:rsid w:val="00BF65C1"/>
    <w:rsid w:val="00BF6C44"/>
    <w:rsid w:val="00BF7140"/>
    <w:rsid w:val="00BF73CA"/>
    <w:rsid w:val="00BF7592"/>
    <w:rsid w:val="00BF7E16"/>
    <w:rsid w:val="00C00297"/>
    <w:rsid w:val="00C008AE"/>
    <w:rsid w:val="00C0153B"/>
    <w:rsid w:val="00C01B78"/>
    <w:rsid w:val="00C025C4"/>
    <w:rsid w:val="00C02984"/>
    <w:rsid w:val="00C02E23"/>
    <w:rsid w:val="00C031C5"/>
    <w:rsid w:val="00C0320A"/>
    <w:rsid w:val="00C033E1"/>
    <w:rsid w:val="00C036E1"/>
    <w:rsid w:val="00C03990"/>
    <w:rsid w:val="00C03FE2"/>
    <w:rsid w:val="00C0412E"/>
    <w:rsid w:val="00C04B29"/>
    <w:rsid w:val="00C059E2"/>
    <w:rsid w:val="00C05B59"/>
    <w:rsid w:val="00C06EA4"/>
    <w:rsid w:val="00C06EEF"/>
    <w:rsid w:val="00C07015"/>
    <w:rsid w:val="00C07788"/>
    <w:rsid w:val="00C07DC5"/>
    <w:rsid w:val="00C07DD4"/>
    <w:rsid w:val="00C10DFF"/>
    <w:rsid w:val="00C11028"/>
    <w:rsid w:val="00C11192"/>
    <w:rsid w:val="00C11293"/>
    <w:rsid w:val="00C127DD"/>
    <w:rsid w:val="00C13D29"/>
    <w:rsid w:val="00C13DDE"/>
    <w:rsid w:val="00C14405"/>
    <w:rsid w:val="00C14D22"/>
    <w:rsid w:val="00C14EDB"/>
    <w:rsid w:val="00C1652E"/>
    <w:rsid w:val="00C165C8"/>
    <w:rsid w:val="00C1660E"/>
    <w:rsid w:val="00C16C4C"/>
    <w:rsid w:val="00C17B96"/>
    <w:rsid w:val="00C201B8"/>
    <w:rsid w:val="00C215C8"/>
    <w:rsid w:val="00C22047"/>
    <w:rsid w:val="00C221FD"/>
    <w:rsid w:val="00C226E2"/>
    <w:rsid w:val="00C228BA"/>
    <w:rsid w:val="00C22E02"/>
    <w:rsid w:val="00C232C0"/>
    <w:rsid w:val="00C25C59"/>
    <w:rsid w:val="00C265A5"/>
    <w:rsid w:val="00C2673B"/>
    <w:rsid w:val="00C26755"/>
    <w:rsid w:val="00C269D1"/>
    <w:rsid w:val="00C26DBF"/>
    <w:rsid w:val="00C27A38"/>
    <w:rsid w:val="00C30F4E"/>
    <w:rsid w:val="00C311E6"/>
    <w:rsid w:val="00C313F6"/>
    <w:rsid w:val="00C3172B"/>
    <w:rsid w:val="00C31DBB"/>
    <w:rsid w:val="00C31E4A"/>
    <w:rsid w:val="00C3259D"/>
    <w:rsid w:val="00C32E1F"/>
    <w:rsid w:val="00C33F24"/>
    <w:rsid w:val="00C33FC2"/>
    <w:rsid w:val="00C34067"/>
    <w:rsid w:val="00C3413D"/>
    <w:rsid w:val="00C34EEE"/>
    <w:rsid w:val="00C35106"/>
    <w:rsid w:val="00C35332"/>
    <w:rsid w:val="00C359DA"/>
    <w:rsid w:val="00C35EC3"/>
    <w:rsid w:val="00C360E3"/>
    <w:rsid w:val="00C364AA"/>
    <w:rsid w:val="00C36547"/>
    <w:rsid w:val="00C36847"/>
    <w:rsid w:val="00C37194"/>
    <w:rsid w:val="00C3730E"/>
    <w:rsid w:val="00C37D03"/>
    <w:rsid w:val="00C401E5"/>
    <w:rsid w:val="00C403E8"/>
    <w:rsid w:val="00C407AE"/>
    <w:rsid w:val="00C41FB6"/>
    <w:rsid w:val="00C425AD"/>
    <w:rsid w:val="00C42669"/>
    <w:rsid w:val="00C42CE4"/>
    <w:rsid w:val="00C4302D"/>
    <w:rsid w:val="00C43C87"/>
    <w:rsid w:val="00C44051"/>
    <w:rsid w:val="00C44509"/>
    <w:rsid w:val="00C44BB9"/>
    <w:rsid w:val="00C44F0B"/>
    <w:rsid w:val="00C45573"/>
    <w:rsid w:val="00C4558A"/>
    <w:rsid w:val="00C45628"/>
    <w:rsid w:val="00C46130"/>
    <w:rsid w:val="00C46B17"/>
    <w:rsid w:val="00C46FA4"/>
    <w:rsid w:val="00C470DA"/>
    <w:rsid w:val="00C474FB"/>
    <w:rsid w:val="00C477F1"/>
    <w:rsid w:val="00C47B01"/>
    <w:rsid w:val="00C47BCD"/>
    <w:rsid w:val="00C5061F"/>
    <w:rsid w:val="00C50F65"/>
    <w:rsid w:val="00C5106D"/>
    <w:rsid w:val="00C5160F"/>
    <w:rsid w:val="00C51B65"/>
    <w:rsid w:val="00C527FF"/>
    <w:rsid w:val="00C52ADE"/>
    <w:rsid w:val="00C53640"/>
    <w:rsid w:val="00C543FC"/>
    <w:rsid w:val="00C55575"/>
    <w:rsid w:val="00C55D90"/>
    <w:rsid w:val="00C55DA1"/>
    <w:rsid w:val="00C55DC9"/>
    <w:rsid w:val="00C55EAE"/>
    <w:rsid w:val="00C567EF"/>
    <w:rsid w:val="00C57373"/>
    <w:rsid w:val="00C576F1"/>
    <w:rsid w:val="00C5778D"/>
    <w:rsid w:val="00C57E78"/>
    <w:rsid w:val="00C60F7F"/>
    <w:rsid w:val="00C61621"/>
    <w:rsid w:val="00C61BB7"/>
    <w:rsid w:val="00C61FD8"/>
    <w:rsid w:val="00C61FF2"/>
    <w:rsid w:val="00C6225E"/>
    <w:rsid w:val="00C63DCF"/>
    <w:rsid w:val="00C644A0"/>
    <w:rsid w:val="00C65488"/>
    <w:rsid w:val="00C657EF"/>
    <w:rsid w:val="00C662FC"/>
    <w:rsid w:val="00C66A19"/>
    <w:rsid w:val="00C66D3F"/>
    <w:rsid w:val="00C67387"/>
    <w:rsid w:val="00C67474"/>
    <w:rsid w:val="00C67678"/>
    <w:rsid w:val="00C67B46"/>
    <w:rsid w:val="00C67D71"/>
    <w:rsid w:val="00C67F00"/>
    <w:rsid w:val="00C70867"/>
    <w:rsid w:val="00C70C6A"/>
    <w:rsid w:val="00C71139"/>
    <w:rsid w:val="00C71149"/>
    <w:rsid w:val="00C71E7F"/>
    <w:rsid w:val="00C7218E"/>
    <w:rsid w:val="00C72354"/>
    <w:rsid w:val="00C73A4E"/>
    <w:rsid w:val="00C73AC1"/>
    <w:rsid w:val="00C749F0"/>
    <w:rsid w:val="00C74CFF"/>
    <w:rsid w:val="00C7509B"/>
    <w:rsid w:val="00C750AE"/>
    <w:rsid w:val="00C75670"/>
    <w:rsid w:val="00C756CA"/>
    <w:rsid w:val="00C76126"/>
    <w:rsid w:val="00C76417"/>
    <w:rsid w:val="00C76E0B"/>
    <w:rsid w:val="00C770AE"/>
    <w:rsid w:val="00C7731E"/>
    <w:rsid w:val="00C775AC"/>
    <w:rsid w:val="00C7781B"/>
    <w:rsid w:val="00C77B74"/>
    <w:rsid w:val="00C8042B"/>
    <w:rsid w:val="00C8088B"/>
    <w:rsid w:val="00C80B7B"/>
    <w:rsid w:val="00C811B6"/>
    <w:rsid w:val="00C81493"/>
    <w:rsid w:val="00C8274C"/>
    <w:rsid w:val="00C82ACD"/>
    <w:rsid w:val="00C82DCD"/>
    <w:rsid w:val="00C83309"/>
    <w:rsid w:val="00C8344F"/>
    <w:rsid w:val="00C835C7"/>
    <w:rsid w:val="00C836B9"/>
    <w:rsid w:val="00C841B7"/>
    <w:rsid w:val="00C84822"/>
    <w:rsid w:val="00C85D7E"/>
    <w:rsid w:val="00C8727A"/>
    <w:rsid w:val="00C90A0D"/>
    <w:rsid w:val="00C90DF4"/>
    <w:rsid w:val="00C90E63"/>
    <w:rsid w:val="00C919E3"/>
    <w:rsid w:val="00C91AF5"/>
    <w:rsid w:val="00C91D45"/>
    <w:rsid w:val="00C91DC2"/>
    <w:rsid w:val="00C927E1"/>
    <w:rsid w:val="00C9363D"/>
    <w:rsid w:val="00C93770"/>
    <w:rsid w:val="00C93782"/>
    <w:rsid w:val="00C938EA"/>
    <w:rsid w:val="00C93A4A"/>
    <w:rsid w:val="00C93BB9"/>
    <w:rsid w:val="00C93C8E"/>
    <w:rsid w:val="00C93F72"/>
    <w:rsid w:val="00C94C33"/>
    <w:rsid w:val="00C94F07"/>
    <w:rsid w:val="00C952B8"/>
    <w:rsid w:val="00C95373"/>
    <w:rsid w:val="00C95EA8"/>
    <w:rsid w:val="00C96B20"/>
    <w:rsid w:val="00C96C99"/>
    <w:rsid w:val="00C96CA8"/>
    <w:rsid w:val="00C96E4B"/>
    <w:rsid w:val="00C9738B"/>
    <w:rsid w:val="00CA0625"/>
    <w:rsid w:val="00CA1066"/>
    <w:rsid w:val="00CA1364"/>
    <w:rsid w:val="00CA18C1"/>
    <w:rsid w:val="00CA18C5"/>
    <w:rsid w:val="00CA1C47"/>
    <w:rsid w:val="00CA20DA"/>
    <w:rsid w:val="00CA2115"/>
    <w:rsid w:val="00CA26F4"/>
    <w:rsid w:val="00CA2855"/>
    <w:rsid w:val="00CA28B6"/>
    <w:rsid w:val="00CA2E6A"/>
    <w:rsid w:val="00CA309B"/>
    <w:rsid w:val="00CA32A8"/>
    <w:rsid w:val="00CA32E2"/>
    <w:rsid w:val="00CA3369"/>
    <w:rsid w:val="00CA34E3"/>
    <w:rsid w:val="00CA36C0"/>
    <w:rsid w:val="00CA3CF6"/>
    <w:rsid w:val="00CA3E0B"/>
    <w:rsid w:val="00CA3E4E"/>
    <w:rsid w:val="00CA43E9"/>
    <w:rsid w:val="00CA4DAE"/>
    <w:rsid w:val="00CA5AF2"/>
    <w:rsid w:val="00CA5BD0"/>
    <w:rsid w:val="00CA5C18"/>
    <w:rsid w:val="00CA5CBA"/>
    <w:rsid w:val="00CA5E20"/>
    <w:rsid w:val="00CA67C7"/>
    <w:rsid w:val="00CA68C7"/>
    <w:rsid w:val="00CA6948"/>
    <w:rsid w:val="00CA719C"/>
    <w:rsid w:val="00CA7E4F"/>
    <w:rsid w:val="00CA7EE2"/>
    <w:rsid w:val="00CB06FA"/>
    <w:rsid w:val="00CB0B9C"/>
    <w:rsid w:val="00CB11BF"/>
    <w:rsid w:val="00CB1499"/>
    <w:rsid w:val="00CB15EE"/>
    <w:rsid w:val="00CB1D2D"/>
    <w:rsid w:val="00CB1D5F"/>
    <w:rsid w:val="00CB2A09"/>
    <w:rsid w:val="00CB3630"/>
    <w:rsid w:val="00CB49F4"/>
    <w:rsid w:val="00CB4B4E"/>
    <w:rsid w:val="00CB514D"/>
    <w:rsid w:val="00CB66CA"/>
    <w:rsid w:val="00CB6912"/>
    <w:rsid w:val="00CB6DA4"/>
    <w:rsid w:val="00CB7402"/>
    <w:rsid w:val="00CB7739"/>
    <w:rsid w:val="00CB7BD5"/>
    <w:rsid w:val="00CB7D3B"/>
    <w:rsid w:val="00CC015C"/>
    <w:rsid w:val="00CC0A6C"/>
    <w:rsid w:val="00CC0EB4"/>
    <w:rsid w:val="00CC106F"/>
    <w:rsid w:val="00CC19E7"/>
    <w:rsid w:val="00CC1C99"/>
    <w:rsid w:val="00CC1CDA"/>
    <w:rsid w:val="00CC20FC"/>
    <w:rsid w:val="00CC2645"/>
    <w:rsid w:val="00CC3B16"/>
    <w:rsid w:val="00CC4099"/>
    <w:rsid w:val="00CC466C"/>
    <w:rsid w:val="00CC5011"/>
    <w:rsid w:val="00CC5456"/>
    <w:rsid w:val="00CC603F"/>
    <w:rsid w:val="00CC6B9A"/>
    <w:rsid w:val="00CC715B"/>
    <w:rsid w:val="00CC71B0"/>
    <w:rsid w:val="00CC77E0"/>
    <w:rsid w:val="00CC7A6C"/>
    <w:rsid w:val="00CC7F61"/>
    <w:rsid w:val="00CC7FFA"/>
    <w:rsid w:val="00CD089F"/>
    <w:rsid w:val="00CD0AE2"/>
    <w:rsid w:val="00CD0C31"/>
    <w:rsid w:val="00CD17CB"/>
    <w:rsid w:val="00CD1DC2"/>
    <w:rsid w:val="00CD2369"/>
    <w:rsid w:val="00CD2491"/>
    <w:rsid w:val="00CD3C32"/>
    <w:rsid w:val="00CD3C34"/>
    <w:rsid w:val="00CD4839"/>
    <w:rsid w:val="00CD49B8"/>
    <w:rsid w:val="00CD50C4"/>
    <w:rsid w:val="00CD5BAD"/>
    <w:rsid w:val="00CD5BE5"/>
    <w:rsid w:val="00CD61A0"/>
    <w:rsid w:val="00CD65A8"/>
    <w:rsid w:val="00CD6BD2"/>
    <w:rsid w:val="00CD6FB9"/>
    <w:rsid w:val="00CD72CE"/>
    <w:rsid w:val="00CD7F1B"/>
    <w:rsid w:val="00CE0183"/>
    <w:rsid w:val="00CE035C"/>
    <w:rsid w:val="00CE061E"/>
    <w:rsid w:val="00CE0934"/>
    <w:rsid w:val="00CE0BA4"/>
    <w:rsid w:val="00CE0E5F"/>
    <w:rsid w:val="00CE0E7D"/>
    <w:rsid w:val="00CE1450"/>
    <w:rsid w:val="00CE1549"/>
    <w:rsid w:val="00CE1EA7"/>
    <w:rsid w:val="00CE1EFC"/>
    <w:rsid w:val="00CE1F82"/>
    <w:rsid w:val="00CE251A"/>
    <w:rsid w:val="00CE3035"/>
    <w:rsid w:val="00CE3141"/>
    <w:rsid w:val="00CE3367"/>
    <w:rsid w:val="00CE3449"/>
    <w:rsid w:val="00CE397C"/>
    <w:rsid w:val="00CE3AD9"/>
    <w:rsid w:val="00CE3DAC"/>
    <w:rsid w:val="00CE40EA"/>
    <w:rsid w:val="00CE4351"/>
    <w:rsid w:val="00CE4705"/>
    <w:rsid w:val="00CE4D57"/>
    <w:rsid w:val="00CE53EE"/>
    <w:rsid w:val="00CE5D74"/>
    <w:rsid w:val="00CE5F3F"/>
    <w:rsid w:val="00CE611A"/>
    <w:rsid w:val="00CE61E3"/>
    <w:rsid w:val="00CE65A7"/>
    <w:rsid w:val="00CE6CFA"/>
    <w:rsid w:val="00CE6F13"/>
    <w:rsid w:val="00CE7129"/>
    <w:rsid w:val="00CE720A"/>
    <w:rsid w:val="00CE7586"/>
    <w:rsid w:val="00CE76C4"/>
    <w:rsid w:val="00CE7A57"/>
    <w:rsid w:val="00CE7AC1"/>
    <w:rsid w:val="00CF00A0"/>
    <w:rsid w:val="00CF08D1"/>
    <w:rsid w:val="00CF0B3E"/>
    <w:rsid w:val="00CF1017"/>
    <w:rsid w:val="00CF137F"/>
    <w:rsid w:val="00CF18C9"/>
    <w:rsid w:val="00CF1FD2"/>
    <w:rsid w:val="00CF2929"/>
    <w:rsid w:val="00CF2C3E"/>
    <w:rsid w:val="00CF337B"/>
    <w:rsid w:val="00CF337C"/>
    <w:rsid w:val="00CF33D0"/>
    <w:rsid w:val="00CF4FA2"/>
    <w:rsid w:val="00CF5325"/>
    <w:rsid w:val="00CF591E"/>
    <w:rsid w:val="00CF5FAC"/>
    <w:rsid w:val="00CF6154"/>
    <w:rsid w:val="00CF6376"/>
    <w:rsid w:val="00CF67D3"/>
    <w:rsid w:val="00CF6B1D"/>
    <w:rsid w:val="00CF6C1A"/>
    <w:rsid w:val="00CF7520"/>
    <w:rsid w:val="00CF76D4"/>
    <w:rsid w:val="00CF78D9"/>
    <w:rsid w:val="00D00295"/>
    <w:rsid w:val="00D008A5"/>
    <w:rsid w:val="00D009BD"/>
    <w:rsid w:val="00D0116F"/>
    <w:rsid w:val="00D011A2"/>
    <w:rsid w:val="00D0170D"/>
    <w:rsid w:val="00D01A5A"/>
    <w:rsid w:val="00D0214C"/>
    <w:rsid w:val="00D028D6"/>
    <w:rsid w:val="00D02A97"/>
    <w:rsid w:val="00D02CD9"/>
    <w:rsid w:val="00D02DBB"/>
    <w:rsid w:val="00D03401"/>
    <w:rsid w:val="00D040A3"/>
    <w:rsid w:val="00D0475B"/>
    <w:rsid w:val="00D04B79"/>
    <w:rsid w:val="00D04C17"/>
    <w:rsid w:val="00D04C80"/>
    <w:rsid w:val="00D053B1"/>
    <w:rsid w:val="00D053FB"/>
    <w:rsid w:val="00D05FC9"/>
    <w:rsid w:val="00D06447"/>
    <w:rsid w:val="00D06BE9"/>
    <w:rsid w:val="00D070C0"/>
    <w:rsid w:val="00D072C2"/>
    <w:rsid w:val="00D07386"/>
    <w:rsid w:val="00D076BE"/>
    <w:rsid w:val="00D07DE8"/>
    <w:rsid w:val="00D10B47"/>
    <w:rsid w:val="00D10D40"/>
    <w:rsid w:val="00D10DFF"/>
    <w:rsid w:val="00D10F12"/>
    <w:rsid w:val="00D1233B"/>
    <w:rsid w:val="00D12408"/>
    <w:rsid w:val="00D125E2"/>
    <w:rsid w:val="00D12700"/>
    <w:rsid w:val="00D12E97"/>
    <w:rsid w:val="00D12ECA"/>
    <w:rsid w:val="00D135E3"/>
    <w:rsid w:val="00D13875"/>
    <w:rsid w:val="00D142FA"/>
    <w:rsid w:val="00D14CA7"/>
    <w:rsid w:val="00D14EC4"/>
    <w:rsid w:val="00D14F33"/>
    <w:rsid w:val="00D1560C"/>
    <w:rsid w:val="00D15A58"/>
    <w:rsid w:val="00D15FCA"/>
    <w:rsid w:val="00D16003"/>
    <w:rsid w:val="00D1653A"/>
    <w:rsid w:val="00D17596"/>
    <w:rsid w:val="00D20808"/>
    <w:rsid w:val="00D20B30"/>
    <w:rsid w:val="00D20EC2"/>
    <w:rsid w:val="00D21328"/>
    <w:rsid w:val="00D213C6"/>
    <w:rsid w:val="00D21778"/>
    <w:rsid w:val="00D21876"/>
    <w:rsid w:val="00D21CE6"/>
    <w:rsid w:val="00D22772"/>
    <w:rsid w:val="00D23527"/>
    <w:rsid w:val="00D23586"/>
    <w:rsid w:val="00D23A47"/>
    <w:rsid w:val="00D244EF"/>
    <w:rsid w:val="00D248EF"/>
    <w:rsid w:val="00D24A0D"/>
    <w:rsid w:val="00D24BDA"/>
    <w:rsid w:val="00D24E34"/>
    <w:rsid w:val="00D250ED"/>
    <w:rsid w:val="00D251B3"/>
    <w:rsid w:val="00D2581B"/>
    <w:rsid w:val="00D25BEE"/>
    <w:rsid w:val="00D2667D"/>
    <w:rsid w:val="00D2716F"/>
    <w:rsid w:val="00D30DB3"/>
    <w:rsid w:val="00D31F71"/>
    <w:rsid w:val="00D32419"/>
    <w:rsid w:val="00D3285E"/>
    <w:rsid w:val="00D33142"/>
    <w:rsid w:val="00D331F9"/>
    <w:rsid w:val="00D33982"/>
    <w:rsid w:val="00D33D75"/>
    <w:rsid w:val="00D344FD"/>
    <w:rsid w:val="00D34A4B"/>
    <w:rsid w:val="00D34E00"/>
    <w:rsid w:val="00D356A9"/>
    <w:rsid w:val="00D358BD"/>
    <w:rsid w:val="00D35901"/>
    <w:rsid w:val="00D36B39"/>
    <w:rsid w:val="00D375DB"/>
    <w:rsid w:val="00D37D46"/>
    <w:rsid w:val="00D37F47"/>
    <w:rsid w:val="00D403FF"/>
    <w:rsid w:val="00D405E8"/>
    <w:rsid w:val="00D40D8C"/>
    <w:rsid w:val="00D41AA3"/>
    <w:rsid w:val="00D41AA9"/>
    <w:rsid w:val="00D42212"/>
    <w:rsid w:val="00D432A7"/>
    <w:rsid w:val="00D45026"/>
    <w:rsid w:val="00D453EE"/>
    <w:rsid w:val="00D45455"/>
    <w:rsid w:val="00D45C49"/>
    <w:rsid w:val="00D46ACA"/>
    <w:rsid w:val="00D476E4"/>
    <w:rsid w:val="00D5045A"/>
    <w:rsid w:val="00D50CFD"/>
    <w:rsid w:val="00D511E1"/>
    <w:rsid w:val="00D520F8"/>
    <w:rsid w:val="00D5251A"/>
    <w:rsid w:val="00D52A21"/>
    <w:rsid w:val="00D52CF1"/>
    <w:rsid w:val="00D52EBE"/>
    <w:rsid w:val="00D53420"/>
    <w:rsid w:val="00D53697"/>
    <w:rsid w:val="00D539B6"/>
    <w:rsid w:val="00D53B13"/>
    <w:rsid w:val="00D5415C"/>
    <w:rsid w:val="00D54723"/>
    <w:rsid w:val="00D559EF"/>
    <w:rsid w:val="00D55D10"/>
    <w:rsid w:val="00D56725"/>
    <w:rsid w:val="00D569FE"/>
    <w:rsid w:val="00D56D21"/>
    <w:rsid w:val="00D56E1E"/>
    <w:rsid w:val="00D574F7"/>
    <w:rsid w:val="00D60298"/>
    <w:rsid w:val="00D60412"/>
    <w:rsid w:val="00D604CE"/>
    <w:rsid w:val="00D6071F"/>
    <w:rsid w:val="00D60869"/>
    <w:rsid w:val="00D60959"/>
    <w:rsid w:val="00D60ACA"/>
    <w:rsid w:val="00D60DF6"/>
    <w:rsid w:val="00D61142"/>
    <w:rsid w:val="00D61150"/>
    <w:rsid w:val="00D618A1"/>
    <w:rsid w:val="00D62639"/>
    <w:rsid w:val="00D6275A"/>
    <w:rsid w:val="00D63027"/>
    <w:rsid w:val="00D633EA"/>
    <w:rsid w:val="00D635A3"/>
    <w:rsid w:val="00D641C2"/>
    <w:rsid w:val="00D65333"/>
    <w:rsid w:val="00D65470"/>
    <w:rsid w:val="00D65506"/>
    <w:rsid w:val="00D656BC"/>
    <w:rsid w:val="00D65D88"/>
    <w:rsid w:val="00D65EF3"/>
    <w:rsid w:val="00D66503"/>
    <w:rsid w:val="00D66992"/>
    <w:rsid w:val="00D702F9"/>
    <w:rsid w:val="00D70C5C"/>
    <w:rsid w:val="00D71099"/>
    <w:rsid w:val="00D71168"/>
    <w:rsid w:val="00D718AD"/>
    <w:rsid w:val="00D7192C"/>
    <w:rsid w:val="00D72788"/>
    <w:rsid w:val="00D7372E"/>
    <w:rsid w:val="00D73BC1"/>
    <w:rsid w:val="00D73F22"/>
    <w:rsid w:val="00D743F6"/>
    <w:rsid w:val="00D74418"/>
    <w:rsid w:val="00D75363"/>
    <w:rsid w:val="00D761CD"/>
    <w:rsid w:val="00D76324"/>
    <w:rsid w:val="00D76747"/>
    <w:rsid w:val="00D76EF8"/>
    <w:rsid w:val="00D8050C"/>
    <w:rsid w:val="00D80520"/>
    <w:rsid w:val="00D82799"/>
    <w:rsid w:val="00D8316E"/>
    <w:rsid w:val="00D833D6"/>
    <w:rsid w:val="00D8344D"/>
    <w:rsid w:val="00D8355F"/>
    <w:rsid w:val="00D8368C"/>
    <w:rsid w:val="00D83814"/>
    <w:rsid w:val="00D84C60"/>
    <w:rsid w:val="00D8537A"/>
    <w:rsid w:val="00D85414"/>
    <w:rsid w:val="00D854D6"/>
    <w:rsid w:val="00D859A4"/>
    <w:rsid w:val="00D85B1D"/>
    <w:rsid w:val="00D86091"/>
    <w:rsid w:val="00D867DB"/>
    <w:rsid w:val="00D869E1"/>
    <w:rsid w:val="00D86EFD"/>
    <w:rsid w:val="00D86F90"/>
    <w:rsid w:val="00D8774F"/>
    <w:rsid w:val="00D878B7"/>
    <w:rsid w:val="00D87C21"/>
    <w:rsid w:val="00D90360"/>
    <w:rsid w:val="00D91059"/>
    <w:rsid w:val="00D91196"/>
    <w:rsid w:val="00D916FF"/>
    <w:rsid w:val="00D917D7"/>
    <w:rsid w:val="00D933FD"/>
    <w:rsid w:val="00D938AE"/>
    <w:rsid w:val="00D93AB6"/>
    <w:rsid w:val="00D940ED"/>
    <w:rsid w:val="00D94356"/>
    <w:rsid w:val="00D949CD"/>
    <w:rsid w:val="00D94A23"/>
    <w:rsid w:val="00D9505A"/>
    <w:rsid w:val="00D9508A"/>
    <w:rsid w:val="00D95299"/>
    <w:rsid w:val="00D95712"/>
    <w:rsid w:val="00D9590D"/>
    <w:rsid w:val="00D959DD"/>
    <w:rsid w:val="00D95ADC"/>
    <w:rsid w:val="00D96307"/>
    <w:rsid w:val="00D9635D"/>
    <w:rsid w:val="00D96C38"/>
    <w:rsid w:val="00D9793C"/>
    <w:rsid w:val="00D97BA7"/>
    <w:rsid w:val="00DA074D"/>
    <w:rsid w:val="00DA091A"/>
    <w:rsid w:val="00DA0D00"/>
    <w:rsid w:val="00DA0E3C"/>
    <w:rsid w:val="00DA1193"/>
    <w:rsid w:val="00DA11EA"/>
    <w:rsid w:val="00DA174D"/>
    <w:rsid w:val="00DA218B"/>
    <w:rsid w:val="00DA26EB"/>
    <w:rsid w:val="00DA29A4"/>
    <w:rsid w:val="00DA2E23"/>
    <w:rsid w:val="00DA336E"/>
    <w:rsid w:val="00DA3593"/>
    <w:rsid w:val="00DA3AC8"/>
    <w:rsid w:val="00DA48C0"/>
    <w:rsid w:val="00DA4B93"/>
    <w:rsid w:val="00DA4EEB"/>
    <w:rsid w:val="00DA56ED"/>
    <w:rsid w:val="00DA5BC1"/>
    <w:rsid w:val="00DA5E97"/>
    <w:rsid w:val="00DA61C4"/>
    <w:rsid w:val="00DA6834"/>
    <w:rsid w:val="00DA7040"/>
    <w:rsid w:val="00DA7A13"/>
    <w:rsid w:val="00DA7F04"/>
    <w:rsid w:val="00DA7FE4"/>
    <w:rsid w:val="00DB014E"/>
    <w:rsid w:val="00DB17CC"/>
    <w:rsid w:val="00DB1B7A"/>
    <w:rsid w:val="00DB202F"/>
    <w:rsid w:val="00DB20FD"/>
    <w:rsid w:val="00DB266A"/>
    <w:rsid w:val="00DB3123"/>
    <w:rsid w:val="00DB39F0"/>
    <w:rsid w:val="00DB3D19"/>
    <w:rsid w:val="00DB3EE4"/>
    <w:rsid w:val="00DB4CF3"/>
    <w:rsid w:val="00DB4ED8"/>
    <w:rsid w:val="00DB4FC7"/>
    <w:rsid w:val="00DB6331"/>
    <w:rsid w:val="00DB76B1"/>
    <w:rsid w:val="00DB778C"/>
    <w:rsid w:val="00DB7812"/>
    <w:rsid w:val="00DB7919"/>
    <w:rsid w:val="00DB7BD9"/>
    <w:rsid w:val="00DB7CB2"/>
    <w:rsid w:val="00DC04C4"/>
    <w:rsid w:val="00DC0BA9"/>
    <w:rsid w:val="00DC1ACA"/>
    <w:rsid w:val="00DC1DD0"/>
    <w:rsid w:val="00DC2645"/>
    <w:rsid w:val="00DC2DFD"/>
    <w:rsid w:val="00DC33B9"/>
    <w:rsid w:val="00DC4190"/>
    <w:rsid w:val="00DC43F2"/>
    <w:rsid w:val="00DC5A03"/>
    <w:rsid w:val="00DC6522"/>
    <w:rsid w:val="00DC65B9"/>
    <w:rsid w:val="00DC7399"/>
    <w:rsid w:val="00DC7484"/>
    <w:rsid w:val="00DC7585"/>
    <w:rsid w:val="00DC75E4"/>
    <w:rsid w:val="00DC7C6E"/>
    <w:rsid w:val="00DD0315"/>
    <w:rsid w:val="00DD084C"/>
    <w:rsid w:val="00DD15B8"/>
    <w:rsid w:val="00DD1A0D"/>
    <w:rsid w:val="00DD1A32"/>
    <w:rsid w:val="00DD2642"/>
    <w:rsid w:val="00DD2764"/>
    <w:rsid w:val="00DD2E94"/>
    <w:rsid w:val="00DD569A"/>
    <w:rsid w:val="00DD6660"/>
    <w:rsid w:val="00DD7265"/>
    <w:rsid w:val="00DE05F3"/>
    <w:rsid w:val="00DE0669"/>
    <w:rsid w:val="00DE0805"/>
    <w:rsid w:val="00DE09E6"/>
    <w:rsid w:val="00DE1652"/>
    <w:rsid w:val="00DE20C8"/>
    <w:rsid w:val="00DE2597"/>
    <w:rsid w:val="00DE29CF"/>
    <w:rsid w:val="00DE2A44"/>
    <w:rsid w:val="00DE2CCB"/>
    <w:rsid w:val="00DE2DEE"/>
    <w:rsid w:val="00DE3494"/>
    <w:rsid w:val="00DE38AB"/>
    <w:rsid w:val="00DE4535"/>
    <w:rsid w:val="00DE47CE"/>
    <w:rsid w:val="00DE48C7"/>
    <w:rsid w:val="00DE4F03"/>
    <w:rsid w:val="00DE5643"/>
    <w:rsid w:val="00DE5CD8"/>
    <w:rsid w:val="00DE681D"/>
    <w:rsid w:val="00DE6A21"/>
    <w:rsid w:val="00DE6BB6"/>
    <w:rsid w:val="00DE6C32"/>
    <w:rsid w:val="00DE736B"/>
    <w:rsid w:val="00DF0336"/>
    <w:rsid w:val="00DF03AF"/>
    <w:rsid w:val="00DF0551"/>
    <w:rsid w:val="00DF0EC4"/>
    <w:rsid w:val="00DF1868"/>
    <w:rsid w:val="00DF20CC"/>
    <w:rsid w:val="00DF2128"/>
    <w:rsid w:val="00DF2649"/>
    <w:rsid w:val="00DF331E"/>
    <w:rsid w:val="00DF358E"/>
    <w:rsid w:val="00DF3C15"/>
    <w:rsid w:val="00DF3DB9"/>
    <w:rsid w:val="00DF3FBD"/>
    <w:rsid w:val="00DF44E3"/>
    <w:rsid w:val="00DF4521"/>
    <w:rsid w:val="00DF474D"/>
    <w:rsid w:val="00DF49B1"/>
    <w:rsid w:val="00DF4E5D"/>
    <w:rsid w:val="00DF6993"/>
    <w:rsid w:val="00DF7D4F"/>
    <w:rsid w:val="00E004D2"/>
    <w:rsid w:val="00E006B1"/>
    <w:rsid w:val="00E00813"/>
    <w:rsid w:val="00E009F5"/>
    <w:rsid w:val="00E012EA"/>
    <w:rsid w:val="00E0156A"/>
    <w:rsid w:val="00E0166C"/>
    <w:rsid w:val="00E016CE"/>
    <w:rsid w:val="00E01E17"/>
    <w:rsid w:val="00E021A1"/>
    <w:rsid w:val="00E02768"/>
    <w:rsid w:val="00E02B0A"/>
    <w:rsid w:val="00E03060"/>
    <w:rsid w:val="00E03180"/>
    <w:rsid w:val="00E0432A"/>
    <w:rsid w:val="00E04391"/>
    <w:rsid w:val="00E04AA4"/>
    <w:rsid w:val="00E04AF8"/>
    <w:rsid w:val="00E04D88"/>
    <w:rsid w:val="00E0529F"/>
    <w:rsid w:val="00E0569A"/>
    <w:rsid w:val="00E059AB"/>
    <w:rsid w:val="00E05C07"/>
    <w:rsid w:val="00E06AEC"/>
    <w:rsid w:val="00E07050"/>
    <w:rsid w:val="00E071F2"/>
    <w:rsid w:val="00E076C5"/>
    <w:rsid w:val="00E077A0"/>
    <w:rsid w:val="00E07A93"/>
    <w:rsid w:val="00E07E45"/>
    <w:rsid w:val="00E10178"/>
    <w:rsid w:val="00E1021D"/>
    <w:rsid w:val="00E10DC8"/>
    <w:rsid w:val="00E1274C"/>
    <w:rsid w:val="00E13DCE"/>
    <w:rsid w:val="00E140D4"/>
    <w:rsid w:val="00E14C75"/>
    <w:rsid w:val="00E14CE5"/>
    <w:rsid w:val="00E14F9D"/>
    <w:rsid w:val="00E1535C"/>
    <w:rsid w:val="00E155AF"/>
    <w:rsid w:val="00E15A5B"/>
    <w:rsid w:val="00E15DDC"/>
    <w:rsid w:val="00E161B7"/>
    <w:rsid w:val="00E1649C"/>
    <w:rsid w:val="00E165E3"/>
    <w:rsid w:val="00E1674A"/>
    <w:rsid w:val="00E16B1E"/>
    <w:rsid w:val="00E170A3"/>
    <w:rsid w:val="00E176CF"/>
    <w:rsid w:val="00E176D5"/>
    <w:rsid w:val="00E17928"/>
    <w:rsid w:val="00E17C3C"/>
    <w:rsid w:val="00E17FD6"/>
    <w:rsid w:val="00E17FE1"/>
    <w:rsid w:val="00E206AF"/>
    <w:rsid w:val="00E207C9"/>
    <w:rsid w:val="00E20D50"/>
    <w:rsid w:val="00E20DDA"/>
    <w:rsid w:val="00E21264"/>
    <w:rsid w:val="00E2136A"/>
    <w:rsid w:val="00E21D27"/>
    <w:rsid w:val="00E2232B"/>
    <w:rsid w:val="00E22488"/>
    <w:rsid w:val="00E226CE"/>
    <w:rsid w:val="00E226F9"/>
    <w:rsid w:val="00E22B12"/>
    <w:rsid w:val="00E22C15"/>
    <w:rsid w:val="00E22E94"/>
    <w:rsid w:val="00E23039"/>
    <w:rsid w:val="00E230D0"/>
    <w:rsid w:val="00E23841"/>
    <w:rsid w:val="00E23A29"/>
    <w:rsid w:val="00E23BE2"/>
    <w:rsid w:val="00E248E9"/>
    <w:rsid w:val="00E24D65"/>
    <w:rsid w:val="00E24DB3"/>
    <w:rsid w:val="00E25A3B"/>
    <w:rsid w:val="00E25B8E"/>
    <w:rsid w:val="00E274DC"/>
    <w:rsid w:val="00E27645"/>
    <w:rsid w:val="00E27D5F"/>
    <w:rsid w:val="00E30499"/>
    <w:rsid w:val="00E30BED"/>
    <w:rsid w:val="00E314FB"/>
    <w:rsid w:val="00E31774"/>
    <w:rsid w:val="00E317C9"/>
    <w:rsid w:val="00E31BA8"/>
    <w:rsid w:val="00E322CC"/>
    <w:rsid w:val="00E322F7"/>
    <w:rsid w:val="00E32E13"/>
    <w:rsid w:val="00E32EC6"/>
    <w:rsid w:val="00E3363F"/>
    <w:rsid w:val="00E33AE8"/>
    <w:rsid w:val="00E33D2F"/>
    <w:rsid w:val="00E340DA"/>
    <w:rsid w:val="00E34664"/>
    <w:rsid w:val="00E34BF6"/>
    <w:rsid w:val="00E3525B"/>
    <w:rsid w:val="00E3596B"/>
    <w:rsid w:val="00E35A2D"/>
    <w:rsid w:val="00E3608F"/>
    <w:rsid w:val="00E36334"/>
    <w:rsid w:val="00E36B63"/>
    <w:rsid w:val="00E36CAB"/>
    <w:rsid w:val="00E37438"/>
    <w:rsid w:val="00E37B57"/>
    <w:rsid w:val="00E37D90"/>
    <w:rsid w:val="00E37E44"/>
    <w:rsid w:val="00E40085"/>
    <w:rsid w:val="00E4130C"/>
    <w:rsid w:val="00E41AF9"/>
    <w:rsid w:val="00E41C2E"/>
    <w:rsid w:val="00E42346"/>
    <w:rsid w:val="00E42368"/>
    <w:rsid w:val="00E42834"/>
    <w:rsid w:val="00E439E1"/>
    <w:rsid w:val="00E44B6D"/>
    <w:rsid w:val="00E44DB4"/>
    <w:rsid w:val="00E45099"/>
    <w:rsid w:val="00E451B1"/>
    <w:rsid w:val="00E45B6F"/>
    <w:rsid w:val="00E45D20"/>
    <w:rsid w:val="00E46E1F"/>
    <w:rsid w:val="00E47482"/>
    <w:rsid w:val="00E47643"/>
    <w:rsid w:val="00E47848"/>
    <w:rsid w:val="00E50390"/>
    <w:rsid w:val="00E50558"/>
    <w:rsid w:val="00E508F8"/>
    <w:rsid w:val="00E5152F"/>
    <w:rsid w:val="00E51859"/>
    <w:rsid w:val="00E52342"/>
    <w:rsid w:val="00E5247F"/>
    <w:rsid w:val="00E524C0"/>
    <w:rsid w:val="00E52D8D"/>
    <w:rsid w:val="00E530EE"/>
    <w:rsid w:val="00E53237"/>
    <w:rsid w:val="00E534EC"/>
    <w:rsid w:val="00E535B0"/>
    <w:rsid w:val="00E538D7"/>
    <w:rsid w:val="00E547B2"/>
    <w:rsid w:val="00E54A44"/>
    <w:rsid w:val="00E554B9"/>
    <w:rsid w:val="00E55B2D"/>
    <w:rsid w:val="00E55D16"/>
    <w:rsid w:val="00E5645F"/>
    <w:rsid w:val="00E5664F"/>
    <w:rsid w:val="00E56DE5"/>
    <w:rsid w:val="00E570DC"/>
    <w:rsid w:val="00E57324"/>
    <w:rsid w:val="00E574B7"/>
    <w:rsid w:val="00E57525"/>
    <w:rsid w:val="00E57F32"/>
    <w:rsid w:val="00E60FAE"/>
    <w:rsid w:val="00E6102C"/>
    <w:rsid w:val="00E618B3"/>
    <w:rsid w:val="00E61C2C"/>
    <w:rsid w:val="00E6258E"/>
    <w:rsid w:val="00E63338"/>
    <w:rsid w:val="00E6497A"/>
    <w:rsid w:val="00E64A0F"/>
    <w:rsid w:val="00E64BFD"/>
    <w:rsid w:val="00E64C9D"/>
    <w:rsid w:val="00E64D79"/>
    <w:rsid w:val="00E651ED"/>
    <w:rsid w:val="00E66358"/>
    <w:rsid w:val="00E674AC"/>
    <w:rsid w:val="00E6789D"/>
    <w:rsid w:val="00E67BB0"/>
    <w:rsid w:val="00E67C1B"/>
    <w:rsid w:val="00E67CC5"/>
    <w:rsid w:val="00E7037A"/>
    <w:rsid w:val="00E7153D"/>
    <w:rsid w:val="00E71F96"/>
    <w:rsid w:val="00E71FF2"/>
    <w:rsid w:val="00E729A5"/>
    <w:rsid w:val="00E72C99"/>
    <w:rsid w:val="00E72CD7"/>
    <w:rsid w:val="00E731FB"/>
    <w:rsid w:val="00E73B53"/>
    <w:rsid w:val="00E73C26"/>
    <w:rsid w:val="00E73F4A"/>
    <w:rsid w:val="00E74385"/>
    <w:rsid w:val="00E745CE"/>
    <w:rsid w:val="00E749EE"/>
    <w:rsid w:val="00E74C21"/>
    <w:rsid w:val="00E74D2D"/>
    <w:rsid w:val="00E74F2F"/>
    <w:rsid w:val="00E75E6B"/>
    <w:rsid w:val="00E767AC"/>
    <w:rsid w:val="00E7724C"/>
    <w:rsid w:val="00E774D0"/>
    <w:rsid w:val="00E77C9F"/>
    <w:rsid w:val="00E800D9"/>
    <w:rsid w:val="00E80B3F"/>
    <w:rsid w:val="00E80D35"/>
    <w:rsid w:val="00E81490"/>
    <w:rsid w:val="00E8221A"/>
    <w:rsid w:val="00E82286"/>
    <w:rsid w:val="00E82F77"/>
    <w:rsid w:val="00E8346C"/>
    <w:rsid w:val="00E846FC"/>
    <w:rsid w:val="00E84F2C"/>
    <w:rsid w:val="00E853C4"/>
    <w:rsid w:val="00E864DF"/>
    <w:rsid w:val="00E866CE"/>
    <w:rsid w:val="00E86749"/>
    <w:rsid w:val="00E86BD7"/>
    <w:rsid w:val="00E8754E"/>
    <w:rsid w:val="00E878E6"/>
    <w:rsid w:val="00E878EE"/>
    <w:rsid w:val="00E9046B"/>
    <w:rsid w:val="00E907A3"/>
    <w:rsid w:val="00E908E0"/>
    <w:rsid w:val="00E90AE9"/>
    <w:rsid w:val="00E9129F"/>
    <w:rsid w:val="00E91A02"/>
    <w:rsid w:val="00E9213D"/>
    <w:rsid w:val="00E92633"/>
    <w:rsid w:val="00E93D20"/>
    <w:rsid w:val="00E93F76"/>
    <w:rsid w:val="00E93FA1"/>
    <w:rsid w:val="00E95969"/>
    <w:rsid w:val="00E95A30"/>
    <w:rsid w:val="00E95A34"/>
    <w:rsid w:val="00E966B2"/>
    <w:rsid w:val="00E96911"/>
    <w:rsid w:val="00E970B3"/>
    <w:rsid w:val="00E97187"/>
    <w:rsid w:val="00E9766E"/>
    <w:rsid w:val="00E97815"/>
    <w:rsid w:val="00EA02BC"/>
    <w:rsid w:val="00EA0649"/>
    <w:rsid w:val="00EA0C27"/>
    <w:rsid w:val="00EA0C6C"/>
    <w:rsid w:val="00EA0D79"/>
    <w:rsid w:val="00EA1432"/>
    <w:rsid w:val="00EA193E"/>
    <w:rsid w:val="00EA1AA9"/>
    <w:rsid w:val="00EA1B71"/>
    <w:rsid w:val="00EA2583"/>
    <w:rsid w:val="00EA28B3"/>
    <w:rsid w:val="00EA294C"/>
    <w:rsid w:val="00EA37C4"/>
    <w:rsid w:val="00EA3881"/>
    <w:rsid w:val="00EA3C2C"/>
    <w:rsid w:val="00EA47D2"/>
    <w:rsid w:val="00EA49BC"/>
    <w:rsid w:val="00EA49C8"/>
    <w:rsid w:val="00EA4F76"/>
    <w:rsid w:val="00EA50E6"/>
    <w:rsid w:val="00EA55D6"/>
    <w:rsid w:val="00EA57E4"/>
    <w:rsid w:val="00EA5D31"/>
    <w:rsid w:val="00EA7397"/>
    <w:rsid w:val="00EA73ED"/>
    <w:rsid w:val="00EA75E7"/>
    <w:rsid w:val="00EA7B55"/>
    <w:rsid w:val="00EA7C5D"/>
    <w:rsid w:val="00EA7CC6"/>
    <w:rsid w:val="00EA7D3D"/>
    <w:rsid w:val="00EB0029"/>
    <w:rsid w:val="00EB019C"/>
    <w:rsid w:val="00EB03A6"/>
    <w:rsid w:val="00EB0663"/>
    <w:rsid w:val="00EB07C0"/>
    <w:rsid w:val="00EB0D64"/>
    <w:rsid w:val="00EB1C40"/>
    <w:rsid w:val="00EB1C6A"/>
    <w:rsid w:val="00EB2427"/>
    <w:rsid w:val="00EB2971"/>
    <w:rsid w:val="00EB316A"/>
    <w:rsid w:val="00EB3716"/>
    <w:rsid w:val="00EB397D"/>
    <w:rsid w:val="00EB3A34"/>
    <w:rsid w:val="00EB3A4A"/>
    <w:rsid w:val="00EB44B4"/>
    <w:rsid w:val="00EB5912"/>
    <w:rsid w:val="00EB5A28"/>
    <w:rsid w:val="00EB5DD4"/>
    <w:rsid w:val="00EB6175"/>
    <w:rsid w:val="00EB6269"/>
    <w:rsid w:val="00EB637F"/>
    <w:rsid w:val="00EB69DA"/>
    <w:rsid w:val="00EB7000"/>
    <w:rsid w:val="00EB76DB"/>
    <w:rsid w:val="00EC0145"/>
    <w:rsid w:val="00EC0153"/>
    <w:rsid w:val="00EC07ED"/>
    <w:rsid w:val="00EC0F47"/>
    <w:rsid w:val="00EC106B"/>
    <w:rsid w:val="00EC18A3"/>
    <w:rsid w:val="00EC22A0"/>
    <w:rsid w:val="00EC235E"/>
    <w:rsid w:val="00EC27A1"/>
    <w:rsid w:val="00EC3421"/>
    <w:rsid w:val="00EC37E0"/>
    <w:rsid w:val="00EC3942"/>
    <w:rsid w:val="00EC3CD2"/>
    <w:rsid w:val="00EC400C"/>
    <w:rsid w:val="00EC46F9"/>
    <w:rsid w:val="00EC4DA9"/>
    <w:rsid w:val="00EC576C"/>
    <w:rsid w:val="00EC5E96"/>
    <w:rsid w:val="00EC63A8"/>
    <w:rsid w:val="00EC6C34"/>
    <w:rsid w:val="00EC716B"/>
    <w:rsid w:val="00EC73C9"/>
    <w:rsid w:val="00EC7719"/>
    <w:rsid w:val="00ED0568"/>
    <w:rsid w:val="00ED0799"/>
    <w:rsid w:val="00ED0C0F"/>
    <w:rsid w:val="00ED0FDD"/>
    <w:rsid w:val="00ED106F"/>
    <w:rsid w:val="00ED15B2"/>
    <w:rsid w:val="00ED1683"/>
    <w:rsid w:val="00ED17EA"/>
    <w:rsid w:val="00ED19BA"/>
    <w:rsid w:val="00ED1AAF"/>
    <w:rsid w:val="00ED1C0D"/>
    <w:rsid w:val="00ED1D40"/>
    <w:rsid w:val="00ED200E"/>
    <w:rsid w:val="00ED22D2"/>
    <w:rsid w:val="00ED22F2"/>
    <w:rsid w:val="00ED23B0"/>
    <w:rsid w:val="00ED243C"/>
    <w:rsid w:val="00ED2D0D"/>
    <w:rsid w:val="00ED32BB"/>
    <w:rsid w:val="00ED349C"/>
    <w:rsid w:val="00ED4D1F"/>
    <w:rsid w:val="00ED514C"/>
    <w:rsid w:val="00ED578E"/>
    <w:rsid w:val="00ED5890"/>
    <w:rsid w:val="00ED58C2"/>
    <w:rsid w:val="00ED5F03"/>
    <w:rsid w:val="00ED786B"/>
    <w:rsid w:val="00EE122B"/>
    <w:rsid w:val="00EE12B7"/>
    <w:rsid w:val="00EE134B"/>
    <w:rsid w:val="00EE1759"/>
    <w:rsid w:val="00EE1ED4"/>
    <w:rsid w:val="00EE230C"/>
    <w:rsid w:val="00EE2A7F"/>
    <w:rsid w:val="00EE3B88"/>
    <w:rsid w:val="00EE4338"/>
    <w:rsid w:val="00EE43AE"/>
    <w:rsid w:val="00EE4551"/>
    <w:rsid w:val="00EE4753"/>
    <w:rsid w:val="00EE5308"/>
    <w:rsid w:val="00EE5C4A"/>
    <w:rsid w:val="00EE5D3D"/>
    <w:rsid w:val="00EE5DD4"/>
    <w:rsid w:val="00EE602E"/>
    <w:rsid w:val="00EE6125"/>
    <w:rsid w:val="00EE6765"/>
    <w:rsid w:val="00EE72FA"/>
    <w:rsid w:val="00EF14BD"/>
    <w:rsid w:val="00EF250E"/>
    <w:rsid w:val="00EF2B09"/>
    <w:rsid w:val="00EF2F33"/>
    <w:rsid w:val="00EF2F67"/>
    <w:rsid w:val="00EF3163"/>
    <w:rsid w:val="00EF32CE"/>
    <w:rsid w:val="00EF40E3"/>
    <w:rsid w:val="00EF4B69"/>
    <w:rsid w:val="00EF4BF5"/>
    <w:rsid w:val="00EF5503"/>
    <w:rsid w:val="00EF631A"/>
    <w:rsid w:val="00EF649E"/>
    <w:rsid w:val="00EF6502"/>
    <w:rsid w:val="00EF6B13"/>
    <w:rsid w:val="00EF6B67"/>
    <w:rsid w:val="00EF6C14"/>
    <w:rsid w:val="00EF6C52"/>
    <w:rsid w:val="00EF6C87"/>
    <w:rsid w:val="00EF6F5B"/>
    <w:rsid w:val="00EF7533"/>
    <w:rsid w:val="00F00183"/>
    <w:rsid w:val="00F004D7"/>
    <w:rsid w:val="00F007C6"/>
    <w:rsid w:val="00F00E2F"/>
    <w:rsid w:val="00F00ED5"/>
    <w:rsid w:val="00F016C5"/>
    <w:rsid w:val="00F01784"/>
    <w:rsid w:val="00F0184A"/>
    <w:rsid w:val="00F02EE3"/>
    <w:rsid w:val="00F032F0"/>
    <w:rsid w:val="00F03711"/>
    <w:rsid w:val="00F04DA5"/>
    <w:rsid w:val="00F04E0D"/>
    <w:rsid w:val="00F04F12"/>
    <w:rsid w:val="00F05ED5"/>
    <w:rsid w:val="00F06279"/>
    <w:rsid w:val="00F0760A"/>
    <w:rsid w:val="00F078A4"/>
    <w:rsid w:val="00F07C27"/>
    <w:rsid w:val="00F07DCA"/>
    <w:rsid w:val="00F07DCD"/>
    <w:rsid w:val="00F10D03"/>
    <w:rsid w:val="00F11D18"/>
    <w:rsid w:val="00F12541"/>
    <w:rsid w:val="00F12C90"/>
    <w:rsid w:val="00F12E10"/>
    <w:rsid w:val="00F12FF9"/>
    <w:rsid w:val="00F137B0"/>
    <w:rsid w:val="00F14433"/>
    <w:rsid w:val="00F145F8"/>
    <w:rsid w:val="00F147E9"/>
    <w:rsid w:val="00F148CD"/>
    <w:rsid w:val="00F14B67"/>
    <w:rsid w:val="00F1524E"/>
    <w:rsid w:val="00F1678B"/>
    <w:rsid w:val="00F16894"/>
    <w:rsid w:val="00F17728"/>
    <w:rsid w:val="00F17771"/>
    <w:rsid w:val="00F1794D"/>
    <w:rsid w:val="00F17A2C"/>
    <w:rsid w:val="00F17A95"/>
    <w:rsid w:val="00F17F6D"/>
    <w:rsid w:val="00F20C11"/>
    <w:rsid w:val="00F2122C"/>
    <w:rsid w:val="00F21748"/>
    <w:rsid w:val="00F22053"/>
    <w:rsid w:val="00F22399"/>
    <w:rsid w:val="00F22F79"/>
    <w:rsid w:val="00F23002"/>
    <w:rsid w:val="00F23657"/>
    <w:rsid w:val="00F23B94"/>
    <w:rsid w:val="00F2403B"/>
    <w:rsid w:val="00F241CB"/>
    <w:rsid w:val="00F247AA"/>
    <w:rsid w:val="00F24966"/>
    <w:rsid w:val="00F25CB4"/>
    <w:rsid w:val="00F25E6A"/>
    <w:rsid w:val="00F26171"/>
    <w:rsid w:val="00F2662E"/>
    <w:rsid w:val="00F26886"/>
    <w:rsid w:val="00F26F61"/>
    <w:rsid w:val="00F278D2"/>
    <w:rsid w:val="00F30228"/>
    <w:rsid w:val="00F31517"/>
    <w:rsid w:val="00F31683"/>
    <w:rsid w:val="00F31C94"/>
    <w:rsid w:val="00F3208B"/>
    <w:rsid w:val="00F33376"/>
    <w:rsid w:val="00F33680"/>
    <w:rsid w:val="00F3377D"/>
    <w:rsid w:val="00F34841"/>
    <w:rsid w:val="00F3510B"/>
    <w:rsid w:val="00F357FC"/>
    <w:rsid w:val="00F35EBC"/>
    <w:rsid w:val="00F36135"/>
    <w:rsid w:val="00F36AAE"/>
    <w:rsid w:val="00F36C32"/>
    <w:rsid w:val="00F36C94"/>
    <w:rsid w:val="00F370A6"/>
    <w:rsid w:val="00F3761E"/>
    <w:rsid w:val="00F37A3B"/>
    <w:rsid w:val="00F37E96"/>
    <w:rsid w:val="00F37EB1"/>
    <w:rsid w:val="00F37FD2"/>
    <w:rsid w:val="00F400AE"/>
    <w:rsid w:val="00F40314"/>
    <w:rsid w:val="00F40554"/>
    <w:rsid w:val="00F41189"/>
    <w:rsid w:val="00F412D4"/>
    <w:rsid w:val="00F4176D"/>
    <w:rsid w:val="00F435C0"/>
    <w:rsid w:val="00F44056"/>
    <w:rsid w:val="00F4417C"/>
    <w:rsid w:val="00F442EB"/>
    <w:rsid w:val="00F44389"/>
    <w:rsid w:val="00F443D2"/>
    <w:rsid w:val="00F44F43"/>
    <w:rsid w:val="00F45842"/>
    <w:rsid w:val="00F45E02"/>
    <w:rsid w:val="00F470BD"/>
    <w:rsid w:val="00F4794F"/>
    <w:rsid w:val="00F47E06"/>
    <w:rsid w:val="00F5024A"/>
    <w:rsid w:val="00F502C0"/>
    <w:rsid w:val="00F5041B"/>
    <w:rsid w:val="00F508B4"/>
    <w:rsid w:val="00F50982"/>
    <w:rsid w:val="00F50BEB"/>
    <w:rsid w:val="00F51724"/>
    <w:rsid w:val="00F518FE"/>
    <w:rsid w:val="00F52665"/>
    <w:rsid w:val="00F52775"/>
    <w:rsid w:val="00F52B32"/>
    <w:rsid w:val="00F53627"/>
    <w:rsid w:val="00F53E07"/>
    <w:rsid w:val="00F54EB0"/>
    <w:rsid w:val="00F55359"/>
    <w:rsid w:val="00F56151"/>
    <w:rsid w:val="00F564D5"/>
    <w:rsid w:val="00F568EF"/>
    <w:rsid w:val="00F57F9E"/>
    <w:rsid w:val="00F60F8C"/>
    <w:rsid w:val="00F6170A"/>
    <w:rsid w:val="00F61875"/>
    <w:rsid w:val="00F622CF"/>
    <w:rsid w:val="00F6250E"/>
    <w:rsid w:val="00F62D41"/>
    <w:rsid w:val="00F63513"/>
    <w:rsid w:val="00F63930"/>
    <w:rsid w:val="00F640CD"/>
    <w:rsid w:val="00F641C3"/>
    <w:rsid w:val="00F645E4"/>
    <w:rsid w:val="00F64639"/>
    <w:rsid w:val="00F64758"/>
    <w:rsid w:val="00F64D2D"/>
    <w:rsid w:val="00F654CE"/>
    <w:rsid w:val="00F659BD"/>
    <w:rsid w:val="00F65ECA"/>
    <w:rsid w:val="00F6698B"/>
    <w:rsid w:val="00F66DD7"/>
    <w:rsid w:val="00F67BC7"/>
    <w:rsid w:val="00F71085"/>
    <w:rsid w:val="00F715F0"/>
    <w:rsid w:val="00F716EA"/>
    <w:rsid w:val="00F717E4"/>
    <w:rsid w:val="00F71829"/>
    <w:rsid w:val="00F72726"/>
    <w:rsid w:val="00F73C10"/>
    <w:rsid w:val="00F74227"/>
    <w:rsid w:val="00F742B2"/>
    <w:rsid w:val="00F74BD2"/>
    <w:rsid w:val="00F77D34"/>
    <w:rsid w:val="00F8079F"/>
    <w:rsid w:val="00F80C13"/>
    <w:rsid w:val="00F8176D"/>
    <w:rsid w:val="00F81F26"/>
    <w:rsid w:val="00F8214C"/>
    <w:rsid w:val="00F8252D"/>
    <w:rsid w:val="00F826E0"/>
    <w:rsid w:val="00F82921"/>
    <w:rsid w:val="00F838BA"/>
    <w:rsid w:val="00F838C9"/>
    <w:rsid w:val="00F8409B"/>
    <w:rsid w:val="00F84626"/>
    <w:rsid w:val="00F84690"/>
    <w:rsid w:val="00F84714"/>
    <w:rsid w:val="00F84890"/>
    <w:rsid w:val="00F84C4B"/>
    <w:rsid w:val="00F84DC1"/>
    <w:rsid w:val="00F84F3E"/>
    <w:rsid w:val="00F8503F"/>
    <w:rsid w:val="00F8527C"/>
    <w:rsid w:val="00F853EC"/>
    <w:rsid w:val="00F86AF6"/>
    <w:rsid w:val="00F87069"/>
    <w:rsid w:val="00F8719B"/>
    <w:rsid w:val="00F90544"/>
    <w:rsid w:val="00F90CEB"/>
    <w:rsid w:val="00F90E0B"/>
    <w:rsid w:val="00F916B2"/>
    <w:rsid w:val="00F9224D"/>
    <w:rsid w:val="00F935B0"/>
    <w:rsid w:val="00F939E8"/>
    <w:rsid w:val="00F93AA2"/>
    <w:rsid w:val="00F93BA7"/>
    <w:rsid w:val="00F942D5"/>
    <w:rsid w:val="00F943E4"/>
    <w:rsid w:val="00F945FD"/>
    <w:rsid w:val="00F94BA8"/>
    <w:rsid w:val="00F94F9A"/>
    <w:rsid w:val="00F95CC4"/>
    <w:rsid w:val="00F96B8F"/>
    <w:rsid w:val="00F970D8"/>
    <w:rsid w:val="00FA010A"/>
    <w:rsid w:val="00FA0356"/>
    <w:rsid w:val="00FA0605"/>
    <w:rsid w:val="00FA0ABC"/>
    <w:rsid w:val="00FA0F1E"/>
    <w:rsid w:val="00FA12F4"/>
    <w:rsid w:val="00FA1525"/>
    <w:rsid w:val="00FA154E"/>
    <w:rsid w:val="00FA1B92"/>
    <w:rsid w:val="00FA1ECA"/>
    <w:rsid w:val="00FA1FB9"/>
    <w:rsid w:val="00FA1FE4"/>
    <w:rsid w:val="00FA205B"/>
    <w:rsid w:val="00FA2203"/>
    <w:rsid w:val="00FA2FF1"/>
    <w:rsid w:val="00FA32B1"/>
    <w:rsid w:val="00FA43A1"/>
    <w:rsid w:val="00FA4912"/>
    <w:rsid w:val="00FA4E62"/>
    <w:rsid w:val="00FA5CEA"/>
    <w:rsid w:val="00FA5D16"/>
    <w:rsid w:val="00FA6193"/>
    <w:rsid w:val="00FA6B13"/>
    <w:rsid w:val="00FA6B9E"/>
    <w:rsid w:val="00FA6C7F"/>
    <w:rsid w:val="00FA6CDF"/>
    <w:rsid w:val="00FA6E36"/>
    <w:rsid w:val="00FA73DB"/>
    <w:rsid w:val="00FA76BD"/>
    <w:rsid w:val="00FA78D7"/>
    <w:rsid w:val="00FB0467"/>
    <w:rsid w:val="00FB0ECC"/>
    <w:rsid w:val="00FB0F95"/>
    <w:rsid w:val="00FB0FF2"/>
    <w:rsid w:val="00FB18BA"/>
    <w:rsid w:val="00FB18E5"/>
    <w:rsid w:val="00FB1A39"/>
    <w:rsid w:val="00FB1C23"/>
    <w:rsid w:val="00FB233C"/>
    <w:rsid w:val="00FB2549"/>
    <w:rsid w:val="00FB25C1"/>
    <w:rsid w:val="00FB2BCE"/>
    <w:rsid w:val="00FB3186"/>
    <w:rsid w:val="00FB31B4"/>
    <w:rsid w:val="00FB33D8"/>
    <w:rsid w:val="00FB3AA3"/>
    <w:rsid w:val="00FB4AC8"/>
    <w:rsid w:val="00FB4B40"/>
    <w:rsid w:val="00FB4F86"/>
    <w:rsid w:val="00FB4FC3"/>
    <w:rsid w:val="00FB5176"/>
    <w:rsid w:val="00FB517A"/>
    <w:rsid w:val="00FB51AE"/>
    <w:rsid w:val="00FB56F8"/>
    <w:rsid w:val="00FB5B38"/>
    <w:rsid w:val="00FB5C11"/>
    <w:rsid w:val="00FB6097"/>
    <w:rsid w:val="00FB63DB"/>
    <w:rsid w:val="00FB6694"/>
    <w:rsid w:val="00FB6833"/>
    <w:rsid w:val="00FB69A9"/>
    <w:rsid w:val="00FB764E"/>
    <w:rsid w:val="00FB7ACA"/>
    <w:rsid w:val="00FB7BEF"/>
    <w:rsid w:val="00FC0CC3"/>
    <w:rsid w:val="00FC112A"/>
    <w:rsid w:val="00FC124C"/>
    <w:rsid w:val="00FC1729"/>
    <w:rsid w:val="00FC17D3"/>
    <w:rsid w:val="00FC1C62"/>
    <w:rsid w:val="00FC23FE"/>
    <w:rsid w:val="00FC2546"/>
    <w:rsid w:val="00FC277A"/>
    <w:rsid w:val="00FC2C63"/>
    <w:rsid w:val="00FC3784"/>
    <w:rsid w:val="00FC3C65"/>
    <w:rsid w:val="00FC3D9C"/>
    <w:rsid w:val="00FC500A"/>
    <w:rsid w:val="00FC5BCF"/>
    <w:rsid w:val="00FC5D41"/>
    <w:rsid w:val="00FC5EDB"/>
    <w:rsid w:val="00FC5F1D"/>
    <w:rsid w:val="00FC6EE9"/>
    <w:rsid w:val="00FC70D0"/>
    <w:rsid w:val="00FC7DBB"/>
    <w:rsid w:val="00FD050F"/>
    <w:rsid w:val="00FD0B44"/>
    <w:rsid w:val="00FD0EEB"/>
    <w:rsid w:val="00FD1A32"/>
    <w:rsid w:val="00FD1DA3"/>
    <w:rsid w:val="00FD213F"/>
    <w:rsid w:val="00FD2B53"/>
    <w:rsid w:val="00FD302D"/>
    <w:rsid w:val="00FD315B"/>
    <w:rsid w:val="00FD34CB"/>
    <w:rsid w:val="00FD3FE9"/>
    <w:rsid w:val="00FD438B"/>
    <w:rsid w:val="00FD4717"/>
    <w:rsid w:val="00FD4802"/>
    <w:rsid w:val="00FD505E"/>
    <w:rsid w:val="00FD518B"/>
    <w:rsid w:val="00FD55A0"/>
    <w:rsid w:val="00FD58A8"/>
    <w:rsid w:val="00FD5C35"/>
    <w:rsid w:val="00FD6ECD"/>
    <w:rsid w:val="00FD72B6"/>
    <w:rsid w:val="00FD7ABE"/>
    <w:rsid w:val="00FD7C4D"/>
    <w:rsid w:val="00FD7DBF"/>
    <w:rsid w:val="00FE01AA"/>
    <w:rsid w:val="00FE0354"/>
    <w:rsid w:val="00FE0912"/>
    <w:rsid w:val="00FE0B08"/>
    <w:rsid w:val="00FE1279"/>
    <w:rsid w:val="00FE15C8"/>
    <w:rsid w:val="00FE1D90"/>
    <w:rsid w:val="00FE212A"/>
    <w:rsid w:val="00FE2734"/>
    <w:rsid w:val="00FE3A91"/>
    <w:rsid w:val="00FE3C43"/>
    <w:rsid w:val="00FE3FF1"/>
    <w:rsid w:val="00FE499A"/>
    <w:rsid w:val="00FE4BEE"/>
    <w:rsid w:val="00FE50BC"/>
    <w:rsid w:val="00FE5C8C"/>
    <w:rsid w:val="00FE5DB3"/>
    <w:rsid w:val="00FE5E52"/>
    <w:rsid w:val="00FE6869"/>
    <w:rsid w:val="00FE6E73"/>
    <w:rsid w:val="00FF0D84"/>
    <w:rsid w:val="00FF102F"/>
    <w:rsid w:val="00FF1112"/>
    <w:rsid w:val="00FF2099"/>
    <w:rsid w:val="00FF226C"/>
    <w:rsid w:val="00FF23DC"/>
    <w:rsid w:val="00FF2498"/>
    <w:rsid w:val="00FF27DD"/>
    <w:rsid w:val="00FF4427"/>
    <w:rsid w:val="00FF4A7E"/>
    <w:rsid w:val="00FF5639"/>
    <w:rsid w:val="00FF574B"/>
    <w:rsid w:val="00FF5870"/>
    <w:rsid w:val="00FF5897"/>
    <w:rsid w:val="00FF5E77"/>
    <w:rsid w:val="00FF68B0"/>
    <w:rsid w:val="00FF6955"/>
    <w:rsid w:val="00FF6F2C"/>
    <w:rsid w:val="031546F8"/>
    <w:rsid w:val="03CA2CD4"/>
    <w:rsid w:val="04F021E4"/>
    <w:rsid w:val="07E65880"/>
    <w:rsid w:val="07EC28B7"/>
    <w:rsid w:val="0AD16334"/>
    <w:rsid w:val="125D3300"/>
    <w:rsid w:val="16087B76"/>
    <w:rsid w:val="16F90CD7"/>
    <w:rsid w:val="183F215B"/>
    <w:rsid w:val="1AFF4838"/>
    <w:rsid w:val="1B362036"/>
    <w:rsid w:val="1CDD1D1D"/>
    <w:rsid w:val="1E304CF3"/>
    <w:rsid w:val="1FD46B10"/>
    <w:rsid w:val="21852DBE"/>
    <w:rsid w:val="23325A8B"/>
    <w:rsid w:val="26845715"/>
    <w:rsid w:val="26D26482"/>
    <w:rsid w:val="2C2B7713"/>
    <w:rsid w:val="2C4D48DD"/>
    <w:rsid w:val="306C0A28"/>
    <w:rsid w:val="3070260D"/>
    <w:rsid w:val="314C44AB"/>
    <w:rsid w:val="322A5868"/>
    <w:rsid w:val="36B47D81"/>
    <w:rsid w:val="36E0543C"/>
    <w:rsid w:val="38AF6054"/>
    <w:rsid w:val="3BE5131D"/>
    <w:rsid w:val="3C954EDA"/>
    <w:rsid w:val="3FBA4BAB"/>
    <w:rsid w:val="42E329F3"/>
    <w:rsid w:val="443F1949"/>
    <w:rsid w:val="448C5E3B"/>
    <w:rsid w:val="44D60BD8"/>
    <w:rsid w:val="4517577D"/>
    <w:rsid w:val="45574C5C"/>
    <w:rsid w:val="4683794D"/>
    <w:rsid w:val="47132153"/>
    <w:rsid w:val="4A575B30"/>
    <w:rsid w:val="4C911A4F"/>
    <w:rsid w:val="55733B54"/>
    <w:rsid w:val="55E05689"/>
    <w:rsid w:val="5B351D22"/>
    <w:rsid w:val="5B5043DF"/>
    <w:rsid w:val="60342DA6"/>
    <w:rsid w:val="60A519CB"/>
    <w:rsid w:val="66D403C8"/>
    <w:rsid w:val="6941482C"/>
    <w:rsid w:val="6A464C79"/>
    <w:rsid w:val="73A51A3F"/>
    <w:rsid w:val="74842B7E"/>
    <w:rsid w:val="790E6E96"/>
    <w:rsid w:val="799A0D10"/>
    <w:rsid w:val="7D6019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qFormat="1" w:unhideWhenUsed="0" w:uiPriority="0"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0"/>
    <w:qFormat/>
    <w:uiPriority w:val="0"/>
    <w:pPr>
      <w:keepNext/>
      <w:keepLines/>
      <w:spacing w:line="440" w:lineRule="exact"/>
      <w:outlineLvl w:val="2"/>
    </w:pPr>
    <w:rPr>
      <w:b/>
      <w:bCs/>
      <w:sz w:val="30"/>
      <w:szCs w:val="32"/>
    </w:rPr>
  </w:style>
  <w:style w:type="character" w:default="1" w:styleId="21">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33"/>
    <w:unhideWhenUsed/>
    <w:qFormat/>
    <w:uiPriority w:val="99"/>
    <w:rPr>
      <w:b/>
      <w:bCs/>
    </w:rPr>
  </w:style>
  <w:style w:type="paragraph" w:styleId="6">
    <w:name w:val="annotation text"/>
    <w:basedOn w:val="1"/>
    <w:link w:val="31"/>
    <w:unhideWhenUsed/>
    <w:qFormat/>
    <w:uiPriority w:val="99"/>
    <w:pPr>
      <w:jc w:val="left"/>
    </w:pPr>
    <w:rPr>
      <w:rFonts w:asciiTheme="minorHAnsi" w:hAnsiTheme="minorHAnsi" w:eastAsiaTheme="minorEastAsia" w:cstheme="minorBidi"/>
      <w:szCs w:val="22"/>
    </w:rPr>
  </w:style>
  <w:style w:type="paragraph" w:styleId="7">
    <w:name w:val="Document Map"/>
    <w:basedOn w:val="1"/>
    <w:link w:val="43"/>
    <w:qFormat/>
    <w:uiPriority w:val="0"/>
    <w:pPr>
      <w:shd w:val="clear" w:color="auto" w:fill="000080"/>
    </w:pPr>
  </w:style>
  <w:style w:type="paragraph" w:styleId="8">
    <w:name w:val="Body Text"/>
    <w:basedOn w:val="1"/>
    <w:link w:val="41"/>
    <w:qFormat/>
    <w:uiPriority w:val="0"/>
    <w:rPr>
      <w:rFonts w:ascii="宋体" w:hAnsi="宋体"/>
      <w:i/>
      <w:iCs/>
      <w:szCs w:val="21"/>
    </w:rPr>
  </w:style>
  <w:style w:type="paragraph" w:styleId="9">
    <w:name w:val="Body Text Indent"/>
    <w:basedOn w:val="1"/>
    <w:link w:val="37"/>
    <w:qFormat/>
    <w:uiPriority w:val="0"/>
    <w:pPr>
      <w:spacing w:after="120"/>
      <w:ind w:left="420" w:leftChars="200"/>
    </w:pPr>
    <w:rPr>
      <w:rFonts w:asciiTheme="minorHAnsi" w:hAnsiTheme="minorHAnsi" w:eastAsiaTheme="minorEastAsia" w:cstheme="minorBidi"/>
      <w:szCs w:val="24"/>
    </w:rPr>
  </w:style>
  <w:style w:type="paragraph" w:styleId="10">
    <w:name w:val="toc 3"/>
    <w:basedOn w:val="1"/>
    <w:next w:val="1"/>
    <w:qFormat/>
    <w:uiPriority w:val="39"/>
    <w:pPr>
      <w:spacing w:line="460" w:lineRule="exact"/>
    </w:pPr>
    <w:rPr>
      <w:sz w:val="24"/>
    </w:rPr>
  </w:style>
  <w:style w:type="paragraph" w:styleId="11">
    <w:name w:val="Plain Text"/>
    <w:basedOn w:val="1"/>
    <w:link w:val="32"/>
    <w:qFormat/>
    <w:uiPriority w:val="99"/>
    <w:rPr>
      <w:rFonts w:ascii="宋体" w:hAnsi="Courier New" w:eastAsiaTheme="minorEastAsia" w:cstheme="minorBidi"/>
      <w:szCs w:val="22"/>
    </w:rPr>
  </w:style>
  <w:style w:type="paragraph" w:styleId="12">
    <w:name w:val="Date"/>
    <w:basedOn w:val="1"/>
    <w:next w:val="1"/>
    <w:link w:val="48"/>
    <w:qFormat/>
    <w:uiPriority w:val="0"/>
    <w:pPr>
      <w:ind w:left="100" w:leftChars="2500"/>
    </w:pPr>
  </w:style>
  <w:style w:type="paragraph" w:styleId="13">
    <w:name w:val="Balloon Text"/>
    <w:basedOn w:val="1"/>
    <w:link w:val="49"/>
    <w:qFormat/>
    <w:uiPriority w:val="0"/>
    <w:rPr>
      <w:sz w:val="18"/>
      <w:szCs w:val="18"/>
    </w:rPr>
  </w:style>
  <w:style w:type="paragraph" w:styleId="14">
    <w:name w:val="footer"/>
    <w:basedOn w:val="1"/>
    <w:link w:val="36"/>
    <w:qFormat/>
    <w:uiPriority w:val="99"/>
    <w:pPr>
      <w:tabs>
        <w:tab w:val="center" w:pos="4153"/>
        <w:tab w:val="right" w:pos="8306"/>
      </w:tabs>
      <w:snapToGrid w:val="0"/>
      <w:jc w:val="left"/>
    </w:pPr>
    <w:rPr>
      <w:rFonts w:asciiTheme="minorHAnsi" w:hAnsiTheme="minorHAnsi" w:eastAsiaTheme="minorEastAsia" w:cstheme="minorBidi"/>
      <w:sz w:val="18"/>
      <w:szCs w:val="22"/>
    </w:rPr>
  </w:style>
  <w:style w:type="paragraph" w:styleId="15">
    <w:name w:val="header"/>
    <w:basedOn w:val="1"/>
    <w:link w:val="34"/>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6">
    <w:name w:val="toc 1"/>
    <w:basedOn w:val="1"/>
    <w:next w:val="1"/>
    <w:qFormat/>
    <w:uiPriority w:val="39"/>
    <w:pPr>
      <w:spacing w:line="400" w:lineRule="exact"/>
    </w:pPr>
    <w:rPr>
      <w:sz w:val="24"/>
    </w:rPr>
  </w:style>
  <w:style w:type="paragraph" w:styleId="17">
    <w:name w:val="toc 6"/>
    <w:basedOn w:val="1"/>
    <w:next w:val="1"/>
    <w:semiHidden/>
    <w:qFormat/>
    <w:uiPriority w:val="0"/>
    <w:pPr>
      <w:ind w:left="2100" w:leftChars="1000"/>
    </w:pPr>
    <w:rPr>
      <w:szCs w:val="24"/>
    </w:rPr>
  </w:style>
  <w:style w:type="paragraph" w:styleId="18">
    <w:name w:val="toc 2"/>
    <w:basedOn w:val="1"/>
    <w:next w:val="1"/>
    <w:qFormat/>
    <w:uiPriority w:val="39"/>
    <w:pPr>
      <w:tabs>
        <w:tab w:val="right" w:leader="dot" w:pos="9060"/>
      </w:tabs>
      <w:spacing w:line="460" w:lineRule="exact"/>
    </w:pPr>
    <w:rPr>
      <w:color w:val="7030A0"/>
      <w:sz w:val="24"/>
      <w:szCs w:val="21"/>
    </w:rPr>
  </w:style>
  <w:style w:type="paragraph" w:styleId="19">
    <w:name w:val="Body Text 2"/>
    <w:basedOn w:val="1"/>
    <w:link w:val="38"/>
    <w:qFormat/>
    <w:uiPriority w:val="0"/>
    <w:pPr>
      <w:spacing w:after="120" w:line="480" w:lineRule="auto"/>
    </w:pPr>
    <w:rPr>
      <w:rFonts w:asciiTheme="minorHAnsi" w:hAnsiTheme="minorHAnsi" w:eastAsiaTheme="minorEastAsia" w:cstheme="minorBidi"/>
      <w:szCs w:val="22"/>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22">
    <w:name w:val="Strong"/>
    <w:qFormat/>
    <w:uiPriority w:val="22"/>
    <w:rPr>
      <w:b/>
      <w:bCs/>
    </w:rPr>
  </w:style>
  <w:style w:type="character" w:styleId="23">
    <w:name w:val="page number"/>
    <w:basedOn w:val="21"/>
    <w:qFormat/>
    <w:uiPriority w:val="0"/>
  </w:style>
  <w:style w:type="character" w:styleId="24">
    <w:name w:val="Hyperlink"/>
    <w:qFormat/>
    <w:uiPriority w:val="99"/>
    <w:rPr>
      <w:color w:val="0000FF"/>
      <w:u w:val="single"/>
    </w:rPr>
  </w:style>
  <w:style w:type="character" w:styleId="25">
    <w:name w:val="annotation reference"/>
    <w:unhideWhenUsed/>
    <w:qFormat/>
    <w:uiPriority w:val="99"/>
    <w:rPr>
      <w:sz w:val="21"/>
      <w:szCs w:val="21"/>
    </w:rPr>
  </w:style>
  <w:style w:type="table" w:styleId="27">
    <w:name w:val="Table Grid"/>
    <w:basedOn w:val="2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标题 1 字符"/>
    <w:basedOn w:val="21"/>
    <w:link w:val="2"/>
    <w:qFormat/>
    <w:uiPriority w:val="0"/>
    <w:rPr>
      <w:rFonts w:ascii="Times New Roman" w:hAnsi="Times New Roman" w:eastAsia="宋体" w:cs="Times New Roman"/>
      <w:b/>
      <w:bCs/>
      <w:kern w:val="44"/>
      <w:sz w:val="44"/>
      <w:szCs w:val="44"/>
    </w:rPr>
  </w:style>
  <w:style w:type="character" w:customStyle="1" w:styleId="29">
    <w:name w:val="标题 2 字符"/>
    <w:basedOn w:val="21"/>
    <w:link w:val="3"/>
    <w:qFormat/>
    <w:uiPriority w:val="0"/>
    <w:rPr>
      <w:rFonts w:ascii="Arial" w:hAnsi="Arial" w:eastAsia="黑体" w:cs="Times New Roman"/>
      <w:b/>
      <w:bCs/>
      <w:sz w:val="32"/>
      <w:szCs w:val="32"/>
    </w:rPr>
  </w:style>
  <w:style w:type="character" w:customStyle="1" w:styleId="30">
    <w:name w:val="标题 3 字符"/>
    <w:basedOn w:val="21"/>
    <w:link w:val="4"/>
    <w:qFormat/>
    <w:uiPriority w:val="0"/>
    <w:rPr>
      <w:rFonts w:ascii="Times New Roman" w:hAnsi="Times New Roman" w:eastAsia="宋体" w:cs="Times New Roman"/>
      <w:b/>
      <w:bCs/>
      <w:sz w:val="30"/>
      <w:szCs w:val="32"/>
    </w:rPr>
  </w:style>
  <w:style w:type="character" w:customStyle="1" w:styleId="31">
    <w:name w:val="批注文字 字符"/>
    <w:link w:val="6"/>
    <w:qFormat/>
    <w:uiPriority w:val="99"/>
  </w:style>
  <w:style w:type="character" w:customStyle="1" w:styleId="32">
    <w:name w:val="纯文本 字符"/>
    <w:link w:val="11"/>
    <w:qFormat/>
    <w:uiPriority w:val="0"/>
    <w:rPr>
      <w:rFonts w:ascii="宋体" w:hAnsi="Courier New"/>
    </w:rPr>
  </w:style>
  <w:style w:type="character" w:customStyle="1" w:styleId="33">
    <w:name w:val="批注主题 字符"/>
    <w:link w:val="5"/>
    <w:qFormat/>
    <w:uiPriority w:val="99"/>
    <w:rPr>
      <w:b/>
      <w:bCs/>
    </w:rPr>
  </w:style>
  <w:style w:type="character" w:customStyle="1" w:styleId="34">
    <w:name w:val="页眉 字符"/>
    <w:link w:val="15"/>
    <w:qFormat/>
    <w:uiPriority w:val="99"/>
    <w:rPr>
      <w:sz w:val="18"/>
      <w:szCs w:val="18"/>
    </w:rPr>
  </w:style>
  <w:style w:type="character" w:customStyle="1" w:styleId="35">
    <w:name w:val="clabel1"/>
    <w:qFormat/>
    <w:uiPriority w:val="0"/>
    <w:rPr>
      <w:color w:val="FF0000"/>
    </w:rPr>
  </w:style>
  <w:style w:type="character" w:customStyle="1" w:styleId="36">
    <w:name w:val="页脚 字符"/>
    <w:link w:val="14"/>
    <w:qFormat/>
    <w:uiPriority w:val="99"/>
    <w:rPr>
      <w:sz w:val="18"/>
    </w:rPr>
  </w:style>
  <w:style w:type="character" w:customStyle="1" w:styleId="37">
    <w:name w:val="正文文本缩进 字符"/>
    <w:link w:val="9"/>
    <w:qFormat/>
    <w:uiPriority w:val="0"/>
    <w:rPr>
      <w:szCs w:val="24"/>
    </w:rPr>
  </w:style>
  <w:style w:type="character" w:customStyle="1" w:styleId="38">
    <w:name w:val="正文文本 2 字符"/>
    <w:link w:val="19"/>
    <w:qFormat/>
    <w:uiPriority w:val="0"/>
  </w:style>
  <w:style w:type="character" w:customStyle="1" w:styleId="39">
    <w:name w:val="纯文本 Char"/>
    <w:qFormat/>
    <w:uiPriority w:val="99"/>
    <w:rPr>
      <w:rFonts w:ascii="宋体" w:hAnsi="Courier New" w:cs="Courier New"/>
      <w:kern w:val="2"/>
      <w:sz w:val="21"/>
      <w:szCs w:val="21"/>
    </w:rPr>
  </w:style>
  <w:style w:type="character" w:customStyle="1" w:styleId="40">
    <w:name w:val="正文文本缩进 Char1"/>
    <w:basedOn w:val="21"/>
    <w:semiHidden/>
    <w:qFormat/>
    <w:uiPriority w:val="99"/>
    <w:rPr>
      <w:rFonts w:ascii="Times New Roman" w:hAnsi="Times New Roman" w:eastAsia="宋体" w:cs="Times New Roman"/>
      <w:szCs w:val="20"/>
    </w:rPr>
  </w:style>
  <w:style w:type="character" w:customStyle="1" w:styleId="41">
    <w:name w:val="正文文本 字符"/>
    <w:basedOn w:val="21"/>
    <w:link w:val="8"/>
    <w:qFormat/>
    <w:uiPriority w:val="0"/>
    <w:rPr>
      <w:rFonts w:ascii="宋体" w:hAnsi="宋体" w:eastAsia="宋体" w:cs="Times New Roman"/>
      <w:i/>
      <w:iCs/>
      <w:szCs w:val="21"/>
    </w:rPr>
  </w:style>
  <w:style w:type="character" w:customStyle="1" w:styleId="42">
    <w:name w:val="批注文字 Char1"/>
    <w:basedOn w:val="21"/>
    <w:semiHidden/>
    <w:qFormat/>
    <w:uiPriority w:val="99"/>
    <w:rPr>
      <w:rFonts w:ascii="Times New Roman" w:hAnsi="Times New Roman" w:eastAsia="宋体" w:cs="Times New Roman"/>
      <w:szCs w:val="20"/>
    </w:rPr>
  </w:style>
  <w:style w:type="character" w:customStyle="1" w:styleId="43">
    <w:name w:val="文档结构图 字符"/>
    <w:basedOn w:val="21"/>
    <w:link w:val="7"/>
    <w:qFormat/>
    <w:uiPriority w:val="0"/>
    <w:rPr>
      <w:rFonts w:ascii="Times New Roman" w:hAnsi="Times New Roman" w:eastAsia="宋体" w:cs="Times New Roman"/>
      <w:szCs w:val="20"/>
      <w:shd w:val="clear" w:color="auto" w:fill="000080"/>
    </w:rPr>
  </w:style>
  <w:style w:type="character" w:customStyle="1" w:styleId="44">
    <w:name w:val="页脚 Char1"/>
    <w:basedOn w:val="21"/>
    <w:semiHidden/>
    <w:qFormat/>
    <w:uiPriority w:val="99"/>
    <w:rPr>
      <w:rFonts w:ascii="Times New Roman" w:hAnsi="Times New Roman" w:eastAsia="宋体" w:cs="Times New Roman"/>
      <w:sz w:val="18"/>
      <w:szCs w:val="18"/>
    </w:rPr>
  </w:style>
  <w:style w:type="character" w:customStyle="1" w:styleId="45">
    <w:name w:val="纯文本 Char2"/>
    <w:basedOn w:val="21"/>
    <w:semiHidden/>
    <w:qFormat/>
    <w:uiPriority w:val="99"/>
    <w:rPr>
      <w:rFonts w:ascii="宋体" w:hAnsi="Courier New" w:eastAsia="宋体" w:cs="Courier New"/>
      <w:szCs w:val="21"/>
    </w:rPr>
  </w:style>
  <w:style w:type="character" w:customStyle="1" w:styleId="46">
    <w:name w:val="批注主题 Char1"/>
    <w:basedOn w:val="42"/>
    <w:semiHidden/>
    <w:qFormat/>
    <w:uiPriority w:val="99"/>
    <w:rPr>
      <w:rFonts w:ascii="Times New Roman" w:hAnsi="Times New Roman" w:eastAsia="宋体" w:cs="Times New Roman"/>
      <w:b/>
      <w:bCs/>
      <w:szCs w:val="20"/>
    </w:rPr>
  </w:style>
  <w:style w:type="character" w:customStyle="1" w:styleId="47">
    <w:name w:val="正文文本 2 Char1"/>
    <w:basedOn w:val="21"/>
    <w:semiHidden/>
    <w:qFormat/>
    <w:uiPriority w:val="99"/>
    <w:rPr>
      <w:rFonts w:ascii="Times New Roman" w:hAnsi="Times New Roman" w:eastAsia="宋体" w:cs="Times New Roman"/>
      <w:szCs w:val="20"/>
    </w:rPr>
  </w:style>
  <w:style w:type="character" w:customStyle="1" w:styleId="48">
    <w:name w:val="日期 字符"/>
    <w:basedOn w:val="21"/>
    <w:link w:val="12"/>
    <w:qFormat/>
    <w:uiPriority w:val="0"/>
    <w:rPr>
      <w:rFonts w:ascii="Times New Roman" w:hAnsi="Times New Roman" w:eastAsia="宋体" w:cs="Times New Roman"/>
      <w:szCs w:val="20"/>
    </w:rPr>
  </w:style>
  <w:style w:type="character" w:customStyle="1" w:styleId="49">
    <w:name w:val="批注框文本 字符"/>
    <w:basedOn w:val="21"/>
    <w:link w:val="13"/>
    <w:qFormat/>
    <w:uiPriority w:val="0"/>
    <w:rPr>
      <w:rFonts w:ascii="Times New Roman" w:hAnsi="Times New Roman" w:eastAsia="宋体" w:cs="Times New Roman"/>
      <w:sz w:val="18"/>
      <w:szCs w:val="18"/>
    </w:rPr>
  </w:style>
  <w:style w:type="character" w:customStyle="1" w:styleId="50">
    <w:name w:val="页眉 Char1"/>
    <w:basedOn w:val="21"/>
    <w:semiHidden/>
    <w:qFormat/>
    <w:uiPriority w:val="99"/>
    <w:rPr>
      <w:rFonts w:ascii="Times New Roman" w:hAnsi="Times New Roman" w:eastAsia="宋体" w:cs="Times New Roman"/>
      <w:sz w:val="18"/>
      <w:szCs w:val="18"/>
    </w:rPr>
  </w:style>
  <w:style w:type="paragraph" w:customStyle="1" w:styleId="51">
    <w:name w:val="列出段落2"/>
    <w:basedOn w:val="1"/>
    <w:qFormat/>
    <w:uiPriority w:val="0"/>
    <w:pPr>
      <w:ind w:firstLine="420" w:firstLineChars="200"/>
    </w:pPr>
    <w:rPr>
      <w:rFonts w:ascii="Calibri" w:hAnsi="Calibri" w:cs="Calibri"/>
      <w:szCs w:val="21"/>
    </w:rPr>
  </w:style>
  <w:style w:type="paragraph" w:customStyle="1" w:styleId="52">
    <w:name w:val="Char2 Char Char Char"/>
    <w:basedOn w:val="1"/>
    <w:qFormat/>
    <w:uiPriority w:val="0"/>
    <w:pPr>
      <w:widowControl/>
      <w:spacing w:after="160" w:line="240" w:lineRule="exact"/>
      <w:jc w:val="left"/>
    </w:pPr>
    <w:rPr>
      <w:rFonts w:ascii="Verdana" w:hAnsi="Verdana"/>
      <w:kern w:val="0"/>
      <w:sz w:val="20"/>
      <w:lang w:eastAsia="en-US"/>
    </w:rPr>
  </w:style>
  <w:style w:type="paragraph" w:customStyle="1" w:styleId="53">
    <w:name w:val="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54">
    <w:name w:val="修订1"/>
    <w:semiHidden/>
    <w:qFormat/>
    <w:uiPriority w:val="99"/>
    <w:rPr>
      <w:rFonts w:ascii="Times New Roman" w:hAnsi="Times New Roman" w:eastAsia="宋体" w:cs="Times New Roman"/>
      <w:kern w:val="2"/>
      <w:sz w:val="21"/>
      <w:lang w:val="en-US" w:eastAsia="zh-CN" w:bidi="ar-SA"/>
    </w:rPr>
  </w:style>
  <w:style w:type="paragraph" w:customStyle="1" w:styleId="55">
    <w:name w:val="表文"/>
    <w:basedOn w:val="1"/>
    <w:qFormat/>
    <w:uiPriority w:val="0"/>
    <w:pPr>
      <w:topLinePunct/>
    </w:pPr>
    <w:rPr>
      <w:kern w:val="0"/>
      <w:sz w:val="18"/>
      <w:szCs w:val="18"/>
    </w:rPr>
  </w:style>
  <w:style w:type="paragraph" w:customStyle="1" w:styleId="56">
    <w:name w:val="Char"/>
    <w:basedOn w:val="1"/>
    <w:qFormat/>
    <w:uiPriority w:val="0"/>
    <w:pPr>
      <w:widowControl/>
      <w:spacing w:after="160" w:line="240" w:lineRule="exact"/>
      <w:jc w:val="left"/>
    </w:pPr>
    <w:rPr>
      <w:rFonts w:ascii="Verdana" w:hAnsi="Verdana"/>
      <w:kern w:val="0"/>
      <w:sz w:val="20"/>
      <w:lang w:eastAsia="en-US"/>
    </w:rPr>
  </w:style>
  <w:style w:type="paragraph" w:customStyle="1" w:styleId="57">
    <w:name w:val="默认段落字体 Para Char Char Char Char Char Char Char"/>
    <w:basedOn w:val="1"/>
    <w:qFormat/>
    <w:uiPriority w:val="0"/>
    <w:rPr>
      <w:rFonts w:ascii="Tahoma" w:hAnsi="Tahoma"/>
      <w:sz w:val="24"/>
    </w:rPr>
  </w:style>
  <w:style w:type="paragraph" w:styleId="58">
    <w:name w:val="List Paragraph"/>
    <w:basedOn w:val="1"/>
    <w:qFormat/>
    <w:uiPriority w:val="34"/>
    <w:pPr>
      <w:ind w:firstLine="420" w:firstLineChars="200"/>
    </w:pPr>
    <w:rPr>
      <w:rFonts w:ascii="Calibri" w:hAnsi="Calibri"/>
      <w:szCs w:val="22"/>
    </w:rPr>
  </w:style>
  <w:style w:type="paragraph" w:customStyle="1" w:styleId="59">
    <w:name w:val="TOC 标题1"/>
    <w:basedOn w:val="2"/>
    <w:next w:val="1"/>
    <w:qFormat/>
    <w:uiPriority w:val="39"/>
    <w:pPr>
      <w:widowControl/>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6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1">
    <w:name w:val="正文（生产细则）"/>
    <w:basedOn w:val="1"/>
    <w:qFormat/>
    <w:uiPriority w:val="0"/>
    <w:pPr>
      <w:adjustRightInd w:val="0"/>
      <w:snapToGrid w:val="0"/>
      <w:spacing w:line="300" w:lineRule="auto"/>
      <w:ind w:firstLine="200" w:firstLineChars="200"/>
    </w:pPr>
    <w:rPr>
      <w:rFonts w:eastAsia="仿宋_GB2312"/>
      <w:color w:val="000000"/>
      <w:sz w:val="24"/>
      <w:szCs w:val="24"/>
    </w:rPr>
  </w:style>
  <w:style w:type="paragraph" w:customStyle="1" w:styleId="62">
    <w:name w:val="样式 标题 1 +"/>
    <w:basedOn w:val="2"/>
    <w:qFormat/>
    <w:uiPriority w:val="0"/>
    <w:pPr>
      <w:spacing w:before="0" w:after="0" w:line="440" w:lineRule="exact"/>
      <w:ind w:firstLine="420" w:firstLineChars="200"/>
    </w:pPr>
    <w:rPr>
      <w:rFonts w:eastAsia="黑体"/>
      <w:b w:val="0"/>
      <w:kern w:val="0"/>
      <w:sz w:val="21"/>
    </w:rPr>
  </w:style>
  <w:style w:type="paragraph" w:customStyle="1" w:styleId="63">
    <w:name w:val="列出段落1"/>
    <w:basedOn w:val="1"/>
    <w:qFormat/>
    <w:uiPriority w:val="0"/>
    <w:pPr>
      <w:ind w:firstLine="420" w:firstLineChars="200"/>
    </w:pPr>
    <w:rPr>
      <w:rFonts w:ascii="Calibri" w:hAnsi="Calibri" w:cs="Calibri"/>
      <w:szCs w:val="21"/>
    </w:rPr>
  </w:style>
  <w:style w:type="paragraph" w:customStyle="1" w:styleId="64">
    <w:name w:val="列出段落11"/>
    <w:basedOn w:val="1"/>
    <w:qFormat/>
    <w:uiPriority w:val="0"/>
    <w:pPr>
      <w:ind w:firstLine="420" w:firstLineChars="200"/>
    </w:pPr>
    <w:rPr>
      <w:rFonts w:ascii="Calibri" w:hAnsi="Calibri" w:cs="Calibri"/>
      <w:szCs w:val="21"/>
    </w:rPr>
  </w:style>
  <w:style w:type="paragraph" w:customStyle="1" w:styleId="65">
    <w:name w:val="样式 标题 2 +"/>
    <w:basedOn w:val="3"/>
    <w:qFormat/>
    <w:uiPriority w:val="0"/>
    <w:pPr>
      <w:spacing w:before="0" w:after="0" w:line="440" w:lineRule="exact"/>
      <w:ind w:firstLine="422" w:firstLineChars="200"/>
    </w:pPr>
    <w:rPr>
      <w:rFonts w:ascii="宋体" w:hAnsi="宋体" w:eastAsia="宋体"/>
      <w:bCs w:val="0"/>
      <w:sz w:val="21"/>
      <w:szCs w:val="20"/>
    </w:rPr>
  </w:style>
  <w:style w:type="paragraph" w:customStyle="1" w:styleId="66">
    <w:name w:val="纯文本1"/>
    <w:basedOn w:val="1"/>
    <w:qFormat/>
    <w:uiPriority w:val="0"/>
    <w:pPr>
      <w:adjustRightInd w:val="0"/>
      <w:textAlignment w:val="baseline"/>
    </w:pPr>
    <w:rPr>
      <w:rFonts w:ascii="宋体" w:hAnsi="Courier New"/>
    </w:rPr>
  </w:style>
  <w:style w:type="paragraph" w:customStyle="1" w:styleId="67">
    <w:name w:val="reader-word-layer reader-word-s1-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8">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69">
    <w:name w:val="修订2"/>
    <w:hidden/>
    <w:semiHidden/>
    <w:qFormat/>
    <w:uiPriority w:val="99"/>
    <w:rPr>
      <w:rFonts w:ascii="Times New Roman" w:hAnsi="Times New Roman" w:eastAsia="宋体" w:cs="Times New Roman"/>
      <w:kern w:val="2"/>
      <w:sz w:val="21"/>
      <w:lang w:val="en-US" w:eastAsia="zh-CN" w:bidi="ar-SA"/>
    </w:rPr>
  </w:style>
  <w:style w:type="paragraph" w:customStyle="1" w:styleId="70">
    <w:name w:val="列表段落1"/>
    <w:basedOn w:val="1"/>
    <w:qFormat/>
    <w:uiPriority w:val="0"/>
    <w:pPr>
      <w:ind w:firstLine="420" w:firstLineChars="200"/>
    </w:pPr>
    <w:rPr>
      <w:rFonts w:ascii="Calibri" w:hAnsi="Calibri" w:cs="Calibri"/>
      <w:szCs w:val="21"/>
    </w:rPr>
  </w:style>
  <w:style w:type="paragraph" w:customStyle="1" w:styleId="71">
    <w:name w:val="List Paragraph1"/>
    <w:basedOn w:val="1"/>
    <w:qFormat/>
    <w:uiPriority w:val="0"/>
    <w:pPr>
      <w:ind w:firstLine="420" w:firstLineChars="200"/>
    </w:pPr>
    <w:rPr>
      <w:rFonts w:ascii="Calibri" w:hAnsi="Calibri" w:cs="Calibri"/>
      <w:szCs w:val="21"/>
    </w:rPr>
  </w:style>
  <w:style w:type="paragraph" w:customStyle="1" w:styleId="72">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73">
    <w:name w:val="xl25"/>
    <w:basedOn w:val="1"/>
    <w:next w:val="1"/>
    <w:qFormat/>
    <w:uiPriority w:val="0"/>
    <w:pPr>
      <w:widowControl/>
      <w:spacing w:before="280" w:after="280"/>
    </w:pPr>
    <w:rPr>
      <w:rFonts w:ascii="宋体" w:hAnsi="Calibri"/>
      <w:color w:val="000000"/>
      <w:kern w:val="0"/>
      <w:sz w:val="24"/>
    </w:rPr>
  </w:style>
  <w:style w:type="paragraph" w:customStyle="1" w:styleId="74">
    <w:name w:val="列表段落2"/>
    <w:basedOn w:val="1"/>
    <w:uiPriority w:val="99"/>
    <w:pPr>
      <w:ind w:firstLine="420" w:firstLineChars="200"/>
    </w:pPr>
    <w:rPr>
      <w:rFonts w:ascii="Calibri" w:hAnsi="Calibri" w:cs="Calibri"/>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AF287F-CD04-456D-9768-9DA7551FEEB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940</Words>
  <Characters>5358</Characters>
  <Lines>44</Lines>
  <Paragraphs>12</Paragraphs>
  <TotalTime>0</TotalTime>
  <ScaleCrop>false</ScaleCrop>
  <LinksUpToDate>false</LinksUpToDate>
  <CharactersWithSpaces>6286</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2021-02-23T07:53:00Z</dcterms:created>
  <dc:creator>刘冬</dc:creator>
  <cp:lastModifiedBy>hp</cp:lastModifiedBy>
  <cp:lastPrinted>2021-02-23T01:45:00Z</cp:lastPrinted>
  <dcterms:modified xsi:type="dcterms:W3CDTF">2021-03-30T02:26:39Z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