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32"/>
          <w:szCs w:val="32"/>
          <w:bdr w:val="none" w:color="auto" w:sz="0" w:space="0"/>
          <w:shd w:val="clear" w:fill="FFFFFF"/>
        </w:rPr>
        <w:t>专项清理整治工作情况统计表</w:t>
      </w:r>
    </w:p>
    <w:tbl>
      <w:tblPr>
        <w:tblW w:w="133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6355"/>
        <w:gridCol w:w="1510"/>
        <w:gridCol w:w="1667"/>
        <w:gridCol w:w="1653"/>
        <w:gridCol w:w="1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7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序列</w:t>
            </w:r>
          </w:p>
        </w:tc>
        <w:tc>
          <w:tcPr>
            <w:tcW w:w="63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工作举措</w:t>
            </w:r>
          </w:p>
        </w:tc>
        <w:tc>
          <w:tcPr>
            <w:tcW w:w="48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工作成果</w:t>
            </w:r>
          </w:p>
        </w:tc>
        <w:tc>
          <w:tcPr>
            <w:tcW w:w="14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 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7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4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开展自查协会商会数（个）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通过自查纠正乱收费问题数（个）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抽查协会商会数（个）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规范会费收取标准和程序的协会商会数（个）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调整和规范经营服务性收费项目数（个）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降低偏高收费项目数（个）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查处存在乱收费问题协会商会数（个）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查处乱收费金额（万元）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通过减免和降低收费减轻企业负担金额（万元）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对收费信息进行公示的协会商会数（个）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设立电话、邮箱、微信小程序等举报平台数（个）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围绕收费长效监管机制出台政策文件数（个）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42990"/>
    <w:rsid w:val="613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2021-06-16T02:54:00Z</dcterms:created>
  <dc:creator>Whale Fall</dc:creator>
  <cp:lastModifiedBy>Whale Fall</cp:lastModifiedBy>
  <dcterms:modified xsi:type="dcterms:W3CDTF">2021-06-16T02:54:52Z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117981A74AE84207A47A4B66503C3457</vt:lpwstr>
  </property>
</Properties>
</file>