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5"/>
        <w:framePr w:wrap="around"/>
      </w:pPr>
      <w:r>
        <w:rPr>
          <w:rFonts w:ascii="Times New Roman"/>
        </w:rPr>
        <w:t>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03.120.20</w:t>
      </w:r>
      <w:r>
        <w:fldChar w:fldCharType="end"/>
      </w:r>
      <w:bookmarkEnd w:id="0"/>
    </w:p>
    <w:p>
      <w:pPr>
        <w:pStyle w:val="135"/>
        <w:framePr w:wrap="around"/>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t>A 00</w:t>
      </w:r>
      <w:r>
        <w:fldChar w:fldCharType="end"/>
      </w:r>
      <w:bookmarkEnd w:id="1"/>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135"/>
              <w:framePr w:wrap="around"/>
            </w:pPr>
            <w:r>
              <mc:AlternateContent>
                <mc:Choice Requires="wps">
                  <w:drawing>
                    <wp:anchor distT="0" distB="0" distL="114300" distR="114300" simplePos="0" relativeHeight="251678720"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0"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bodyPr wrap="square" anchor="t" upright="1"/>
                          </wps:wsp>
                        </a:graphicData>
                      </a:graphic>
                    </wp:anchor>
                  </w:drawing>
                </mc:Choice>
                <mc:Fallback>
                  <w:pict>
                    <v:rect id="BAH" o:spid="_x0000_s1026" o:spt="1" style="position:absolute;left:0pt;margin-left:-5.25pt;margin-top:0pt;height:15.6pt;width:68.25pt;z-index:-25163776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iuL+zVAAAABwEAAA8AAAAAAAAAAQAgAAAAIgAAAGRycy9kb3ducmV2LnhtbFBLAQIUABQA&#10;AAAIAIdO4kDOpyKDugEAAIEDAAAOAAAAAAAAAAEAIAAAACQBAABkcnMvZTJvRG9jLnhtbFBLBQYA&#10;AAAABgAGAFkBAABQBQAAAAA=&#10;">
                      <v:fill on="t" focussize="0,0"/>
                      <v:stroke on="f"/>
                      <v:imagedata o:title=""/>
                      <o:lock v:ext="edit" aspectratio="f"/>
                    </v:rect>
                  </w:pict>
                </mc:Fallback>
              </mc:AlternateContent>
            </w:r>
          </w:p>
        </w:tc>
      </w:tr>
    </w:tbl>
    <w:p>
      <w:pPr>
        <w:pStyle w:val="121"/>
        <w:framePr w:wrap="around"/>
      </w:pPr>
      <w:r>
        <w:t>DB</w:t>
      </w:r>
      <w:bookmarkStart w:id="2" w:name="c3"/>
      <w:r>
        <w:fldChar w:fldCharType="begin">
          <w:ffData>
            <w:name w:val="c3"/>
            <w:enabled/>
            <w:calcOnExit w:val="0"/>
            <w:entryMacro w:val="ShowHelp16"/>
            <w:textInput>
              <w:maxLength w:val="2"/>
            </w:textInput>
          </w:ffData>
        </w:fldChar>
      </w:r>
      <w:r>
        <w:instrText xml:space="preserve"> FORMTEXT </w:instrText>
      </w:r>
      <w:r>
        <w:fldChar w:fldCharType="separate"/>
      </w:r>
      <w:r>
        <w:t>32</w:t>
      </w:r>
      <w:r>
        <w:fldChar w:fldCharType="end"/>
      </w:r>
      <w:bookmarkEnd w:id="2"/>
    </w:p>
    <w:p>
      <w:pPr>
        <w:pStyle w:val="122"/>
        <w:framePr w:wrap="around"/>
      </w:pPr>
      <w:bookmarkStart w:id="3" w:name="c4"/>
      <w:r>
        <w:fldChar w:fldCharType="begin">
          <w:ffData>
            <w:name w:val="c4"/>
            <w:enabled/>
            <w:calcOnExit w:val="0"/>
            <w:entryMacro w:val="showhelp12"/>
            <w:textInput/>
          </w:ffData>
        </w:fldChar>
      </w:r>
      <w:r>
        <w:instrText xml:space="preserve"> FORMTEXT </w:instrText>
      </w:r>
      <w:r>
        <w:fldChar w:fldCharType="separate"/>
      </w:r>
      <w:r>
        <w:rPr>
          <w:rFonts w:hint="eastAsia"/>
        </w:rPr>
        <w:t>江苏省</w:t>
      </w:r>
      <w:r>
        <w:fldChar w:fldCharType="end"/>
      </w:r>
      <w:bookmarkEnd w:id="3"/>
      <w:r>
        <w:rPr>
          <w:rFonts w:hint="eastAsia"/>
        </w:rPr>
        <w:t>地方标准</w:t>
      </w:r>
    </w:p>
    <w:p>
      <w:pPr>
        <w:pStyle w:val="59"/>
        <w:framePr w:wrap="around"/>
        <w:wordWrap w:val="0"/>
        <w:rPr>
          <w:rFonts w:hAnsi="黑体"/>
        </w:rPr>
      </w:pPr>
      <w:r>
        <w:rPr>
          <w:rFonts w:ascii="Times New Roman"/>
        </w:rPr>
        <w:t xml:space="preserve">DB </w:t>
      </w:r>
      <w:bookmarkStart w:id="4"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fldChar w:fldCharType="separate"/>
      </w:r>
      <w:r>
        <w:rPr>
          <w:rFonts w:hAnsi="黑体"/>
        </w:rPr>
        <w:t>32</w:t>
      </w:r>
      <w:r>
        <w:rPr>
          <w:rFonts w:hAnsi="黑体"/>
        </w:rPr>
        <w:fldChar w:fldCharType="end"/>
      </w:r>
      <w:bookmarkEnd w:id="4"/>
      <w:r>
        <w:rPr>
          <w:rFonts w:hAnsi="黑体"/>
        </w:rPr>
        <w:t>/</w:t>
      </w:r>
      <w:bookmarkStart w:id="5"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T XXXX</w:t>
      </w:r>
      <w:r>
        <w:rPr>
          <w:rFonts w:hAnsi="黑体"/>
        </w:rPr>
        <w:fldChar w:fldCharType="end"/>
      </w:r>
      <w:bookmarkEnd w:id="5"/>
      <w:r>
        <w:rPr>
          <w:rFonts w:hAnsi="黑体"/>
        </w:rPr>
        <w:t>—202</w:t>
      </w:r>
      <w:r>
        <w:rPr>
          <w:rFonts w:hint="eastAsia" w:hAnsi="黑体"/>
        </w:rPr>
        <w:t>1</w:t>
      </w: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88"/>
              <w:framePr w:wrap="around"/>
            </w:pPr>
            <w:bookmarkStart w:id="6" w:name="DT"/>
            <w:r>
              <mc:AlternateContent>
                <mc:Choice Requires="wps">
                  <w:drawing>
                    <wp:anchor distT="0" distB="0" distL="114300" distR="114300" simplePos="0" relativeHeight="25167564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9"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wrap="square" anchor="t" upright="1"/>
                          </wps:wsp>
                        </a:graphicData>
                      </a:graphic>
                    </wp:anchor>
                  </w:drawing>
                </mc:Choice>
                <mc:Fallback>
                  <w:pict>
                    <v:rect id="DT" o:spid="_x0000_s1026" o:spt="1" style="position:absolute;left:0pt;margin-left:372.8pt;margin-top:2.7pt;height:18pt;width:90pt;z-index:-25164083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HmDyy9YAAAAIAQAADwAAAAAAAAABACAAAAAiAAAAZHJzL2Rvd25yZXYueG1sUEsBAhQAFAAAAAgA&#10;h07iQLGYlMC1AQAAgAMAAA4AAAAAAAAAAQAgAAAAJQEAAGRycy9lMm9Eb2MueG1sUEsFBgAAAAAG&#10;AAYAWQEAAEwFAAAAAA==&#10;">
                      <v:fill on="t" focussize="0,0"/>
                      <v:stroke on="f"/>
                      <v:imagedata o:title=""/>
                      <o:lock v:ext="edit" aspectratio="f"/>
                    </v:rect>
                  </w:pict>
                </mc:Fallback>
              </mc:AlternateContent>
            </w:r>
            <w:bookmarkEnd w:id="6"/>
            <w:r>
              <w:t xml:space="preserve"> </w:t>
            </w:r>
          </w:p>
        </w:tc>
      </w:tr>
    </w:tbl>
    <w:p>
      <w:pPr>
        <w:pStyle w:val="59"/>
        <w:framePr w:wrap="around"/>
        <w:rPr>
          <w:rFonts w:hAnsi="黑体"/>
        </w:rPr>
      </w:pPr>
    </w:p>
    <w:p>
      <w:pPr>
        <w:pStyle w:val="59"/>
        <w:framePr w:wrap="around"/>
        <w:rPr>
          <w:rFonts w:hAnsi="黑体"/>
        </w:rPr>
      </w:pPr>
    </w:p>
    <w:p>
      <w:pPr>
        <w:pStyle w:val="90"/>
        <w:framePr w:wrap="around"/>
      </w:pPr>
      <w:r>
        <w:rPr>
          <w:rFonts w:hint="eastAsia"/>
        </w:rPr>
        <w:t>城镇道路沥青路面就地热再生施工及验收标准</w:t>
      </w:r>
    </w:p>
    <w:p>
      <w:pPr>
        <w:pStyle w:val="91"/>
        <w:framePr w:wrap="around"/>
      </w:pPr>
      <w:r>
        <w:t>Standards for construction and acceptance of urban road asphalt pavement hot-in-place recycling</w:t>
      </w:r>
    </w:p>
    <w:p>
      <w:pPr>
        <w:pStyle w:val="92"/>
        <w:framePr w:wrap="around"/>
      </w:pP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93"/>
              <w:framePr w:wrap="around"/>
            </w:pPr>
            <w:r>
              <mc:AlternateContent>
                <mc:Choice Requires="wps">
                  <w:drawing>
                    <wp:anchor distT="0" distB="0" distL="114300" distR="114300" simplePos="0" relativeHeight="251677696"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7"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wrap="square" anchor="t" upright="1"/>
                          </wps:wsp>
                        </a:graphicData>
                      </a:graphic>
                    </wp:anchor>
                  </w:drawing>
                </mc:Choice>
                <mc:Fallback>
                  <w:pict>
                    <v:rect id="RQ" o:spid="_x0000_s1026" o:spt="1" style="position:absolute;left:0pt;margin-left:173.3pt;margin-top:45.15pt;height:20pt;width:150pt;z-index:-25163878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F&#10;ia6S1QAAAAoBAAAPAAAAAAAAAAEAIAAAACIAAABkcnMvZG93bnJldi54bWxQSwECFAAUAAAACACH&#10;TuJAtsrEvbUBAACAAwAADgAAAAAAAAABACAAAAAkAQAAZHJzL2Uyb0RvYy54bWxQSwUGAAAAAAYA&#10;BgBZAQAASwUAAAAA&#10;">
                      <v:fill on="t" focussize="0,0"/>
                      <v:stroke on="f"/>
                      <v:imagedata o:title=""/>
                      <o:lock v:ext="edit" aspectratio="f"/>
                      <w10:anchorlock/>
                    </v:rect>
                  </w:pict>
                </mc:Fallback>
              </mc:AlternateContent>
            </w:r>
            <w:r>
              <mc:AlternateContent>
                <mc:Choice Requires="wps">
                  <w:drawing>
                    <wp:anchor distT="0" distB="0" distL="114300" distR="114300" simplePos="0" relativeHeight="251676672"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6"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bodyPr wrap="square" anchor="t" upright="1"/>
                          </wps:wsp>
                        </a:graphicData>
                      </a:graphic>
                    </wp:anchor>
                  </w:drawing>
                </mc:Choice>
                <mc:Fallback>
                  <w:pict>
                    <v:rect id="LB" o:spid="_x0000_s1026" o:spt="1" style="position:absolute;left:0pt;margin-left:193.3pt;margin-top:20.15pt;height:24pt;width:100pt;z-index:-25163980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A+GL5dYAAAAJAQAADwAAAAAAAAABACAAAAAiAAAAZHJzL2Rvd25yZXYueG1sUEsBAhQAFAAAAAgA&#10;h07iQDHtFlu1AQAAgAMAAA4AAAAAAAAAAQAgAAAAJQEAAGRycy9lMm9Eb2MueG1sUEsFBgAAAAAG&#10;AAYAWQEAAEwFAAAAAA==&#10;">
                      <v:fill on="t" focussize="0,0"/>
                      <v:stroke on="f"/>
                      <v:imagedata o:title=""/>
                      <o:lock v:ext="edit" aspectratio="f"/>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94"/>
              <w:framePr w:wrap="around"/>
              <w:rPr>
                <w:rFonts w:hint="eastAsia" w:eastAsia="宋体"/>
                <w:lang w:eastAsia="zh-CN"/>
              </w:rPr>
            </w:pPr>
            <w:bookmarkStart w:id="185" w:name="_GoBack"/>
            <w:r>
              <w:rPr>
                <w:rFonts w:hint="eastAsia"/>
                <w:sz w:val="24"/>
                <w:szCs w:val="24"/>
                <w:lang w:eastAsia="zh-CN"/>
              </w:rPr>
              <w:t>（</w:t>
            </w:r>
            <w:r>
              <w:rPr>
                <w:rFonts w:hint="eastAsia"/>
                <w:sz w:val="24"/>
                <w:szCs w:val="24"/>
                <w:lang w:val="en-US" w:eastAsia="zh-CN"/>
              </w:rPr>
              <w:t>报批稿</w:t>
            </w:r>
            <w:r>
              <w:rPr>
                <w:rFonts w:hint="eastAsia"/>
                <w:sz w:val="24"/>
                <w:szCs w:val="24"/>
                <w:lang w:eastAsia="zh-CN"/>
              </w:rPr>
              <w:t>）</w:t>
            </w:r>
            <w:bookmarkEnd w:id="185"/>
          </w:p>
        </w:tc>
      </w:tr>
    </w:tbl>
    <w:p>
      <w:pPr>
        <w:pStyle w:val="142"/>
        <w:framePr w:wrap="around" w:hAnchor="page" w:x="1213" w:y="14161"/>
      </w:pPr>
      <w:r>
        <w:rPr>
          <w:rFonts w:hint="eastAsia" w:ascii="黑体"/>
        </w:rPr>
        <w:t>2021</w:t>
      </w:r>
      <w:r>
        <w:rPr>
          <w:rFonts w:ascii="黑体"/>
        </w:rPr>
        <w:t>-</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r>
        <mc:AlternateContent>
          <mc:Choice Requires="wps">
            <w:drawing>
              <wp:anchor distT="0" distB="0" distL="114300" distR="114300" simplePos="0" relativeHeight="251673600" behindDoc="0" locked="1" layoutInCell="1" allowOverlap="1">
                <wp:simplePos x="0" y="0"/>
                <wp:positionH relativeFrom="column">
                  <wp:posOffset>-244475</wp:posOffset>
                </wp:positionH>
                <wp:positionV relativeFrom="page">
                  <wp:posOffset>9363710</wp:posOffset>
                </wp:positionV>
                <wp:extent cx="6120130" cy="0"/>
                <wp:effectExtent l="0" t="0" r="13970" b="1905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10" o:spid="_x0000_s1026" o:spt="20" style="position:absolute;left:0pt;margin-left:-19.25pt;margin-top:737.3pt;height:0pt;width:481.9pt;mso-position-vertical-relative:page;z-index:251673600;mso-width-relative:page;mso-height-relative:page;" filled="f" stroked="t" coordsize="21600,21600" o:gfxdata="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dVMezZAAAA&#10;DQEAAA8AAAAAAAAAAQAgAAAAIgAAAGRycy9kb3ducmV2LnhtbFBLAQIUABQAAAAIAIdO4kCYvGVF&#10;4wEAAN4DAAAOAAAAAAAAAAEAIAAAACgBAABkcnMvZTJvRG9jLnhtbFBLBQYAAAAABgAGAFkBAAB9&#10;BQAAAAA=&#10;">
                <v:fill on="f" focussize="0,0"/>
                <v:stroke color="#000000" joinstyle="round"/>
                <v:imagedata o:title=""/>
                <o:lock v:ext="edit" aspectratio="f"/>
                <w10:anchorlock/>
              </v:line>
            </w:pict>
          </mc:Fallback>
        </mc:AlternateContent>
      </w:r>
    </w:p>
    <w:p>
      <w:pPr>
        <w:pStyle w:val="143"/>
        <w:framePr w:wrap="around" w:hAnchor="page" w:x="6385" w:y="14173"/>
      </w:pPr>
      <w:r>
        <w:rPr>
          <w:rFonts w:hint="eastAsia" w:ascii="黑体"/>
        </w:rPr>
        <w:t>2021</w:t>
      </w:r>
      <w:r>
        <w:rPr>
          <w:rFonts w:ascii="黑体"/>
        </w:rPr>
        <w:t>-</w:t>
      </w:r>
      <w:bookmarkStart w:id="8"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ascii="黑体"/>
        </w:rPr>
        <w:t>-</w:t>
      </w:r>
      <w:bookmarkStart w:id="9"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实施</w:t>
      </w:r>
    </w:p>
    <w:p>
      <w:pPr>
        <w:pStyle w:val="123"/>
        <w:framePr w:wrap="around"/>
      </w:pPr>
      <w:bookmarkStart w:id="10" w:name="fm"/>
      <w:r>
        <w:fldChar w:fldCharType="begin">
          <w:ffData>
            <w:name w:val="fm"/>
            <w:enabled/>
            <w:calcOnExit w:val="0"/>
            <w:textInput/>
          </w:ffData>
        </w:fldChar>
      </w:r>
      <w:r>
        <w:instrText xml:space="preserve"> FORMTEXT </w:instrText>
      </w:r>
      <w:r>
        <w:fldChar w:fldCharType="separate"/>
      </w:r>
      <w:r>
        <w:rPr>
          <w:rFonts w:hint="eastAsia"/>
        </w:rPr>
        <w:t>江苏省市场监督管理局</w:t>
      </w:r>
      <w:r>
        <w:fldChar w:fldCharType="end"/>
      </w:r>
      <w:bookmarkEnd w:id="10"/>
      <w:r>
        <w:rPr>
          <w:rFonts w:hint="eastAsia" w:ascii="MS Mincho" w:hAnsi="MS Mincho" w:eastAsia="MS Mincho" w:cs="MS Mincho"/>
        </w:rPr>
        <w:t>   </w:t>
      </w:r>
      <w:r>
        <w:rPr>
          <w:rStyle w:val="85"/>
          <w:rFonts w:hint="eastAsia"/>
          <w:szCs w:val="28"/>
        </w:rPr>
        <w:t>发布</w:t>
      </w:r>
    </w:p>
    <w:p>
      <w:pPr>
        <w:pStyle w:val="25"/>
        <w:sectPr>
          <w:headerReference r:id="rId3" w:type="even"/>
          <w:footerReference r:id="rId4" w:type="even"/>
          <w:pgSz w:w="11906" w:h="16838"/>
          <w:pgMar w:top="567" w:right="1134" w:bottom="1134" w:left="1417" w:header="0" w:footer="0" w:gutter="0"/>
          <w:pgNumType w:start="1"/>
          <w:cols w:space="425" w:num="1"/>
          <w:docGrid w:type="lines" w:linePitch="312" w:charSpace="0"/>
        </w:sectPr>
      </w:pPr>
      <w:r>
        <mc:AlternateContent>
          <mc:Choice Requires="wps">
            <w:drawing>
              <wp:anchor distT="0" distB="0" distL="114300" distR="114300" simplePos="0" relativeHeight="251674624" behindDoc="0" locked="0" layoutInCell="1" allowOverlap="1">
                <wp:simplePos x="0" y="0"/>
                <wp:positionH relativeFrom="column">
                  <wp:posOffset>-635</wp:posOffset>
                </wp:positionH>
                <wp:positionV relativeFrom="paragraph">
                  <wp:posOffset>2338705</wp:posOffset>
                </wp:positionV>
                <wp:extent cx="6120130" cy="0"/>
                <wp:effectExtent l="0" t="0" r="13970" b="19050"/>
                <wp:wrapNone/>
                <wp:docPr id="3"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11" o:spid="_x0000_s1026" o:spt="20" style="position:absolute;left:0pt;margin-left:-0.05pt;margin-top:184.15pt;height:0pt;width:481.9pt;z-index:251674624;mso-width-relative:page;mso-height-relative:page;" filled="f" stroked="t" coordsize="21600,21600" o:gfxdata="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kTT8dtcAAAAJ&#10;AQAADwAAAAAAAAABACAAAAAiAAAAZHJzL2Rvd25yZXYueG1sUEsBAhQAFAAAAAgAh07iQFdLnNDk&#10;AQAA3gMAAA4AAAAAAAAAAQAgAAAAJgEAAGRycy9lMm9Eb2MueG1sUEsFBgAAAAAGAAYAWQEAAHwF&#10;AAAAAA==&#10;">
                <v:fill on="f" focussize="0,0"/>
                <v:stroke color="#000000" joinstyle="round"/>
                <v:imagedata o:title=""/>
                <o:lock v:ext="edit" aspectratio="f"/>
              </v:line>
            </w:pict>
          </mc:Fallback>
        </mc:AlternateContent>
      </w:r>
    </w:p>
    <w:p>
      <w:pPr>
        <w:pStyle w:val="62"/>
      </w:pPr>
      <w:bookmarkStart w:id="11" w:name="PRTVIEWTCS"/>
      <w:bookmarkEnd w:id="11"/>
      <w:bookmarkStart w:id="12" w:name="_Toc533425483"/>
      <w:bookmarkStart w:id="13" w:name="_Toc504140230"/>
      <w:bookmarkStart w:id="14" w:name="_Toc532892963"/>
      <w:bookmarkStart w:id="15" w:name="_Toc521407175"/>
      <w:bookmarkStart w:id="16" w:name="_Toc532913491"/>
      <w:bookmarkStart w:id="17" w:name="_Toc491787422"/>
      <w:bookmarkStart w:id="18" w:name="_Toc532914493"/>
      <w:bookmarkStart w:id="19" w:name="_Toc504133277"/>
      <w:bookmarkStart w:id="20" w:name="_Toc488245913"/>
      <w:bookmarkStart w:id="21" w:name="_Toc492023786"/>
      <w:bookmarkStart w:id="22" w:name="_Toc533413423"/>
      <w:bookmarkStart w:id="23" w:name="_Toc521419294"/>
      <w:bookmarkStart w:id="24" w:name="_Toc521407144"/>
      <w:bookmarkStart w:id="25" w:name="_Toc7377570"/>
      <w:bookmarkStart w:id="26" w:name="_Toc521421773"/>
      <w:bookmarkStart w:id="27" w:name="_Toc488245931"/>
      <w:bookmarkStart w:id="28" w:name="_Toc504143591"/>
      <w:bookmarkStart w:id="29" w:name="_Toc7377001"/>
      <w:bookmarkStart w:id="30" w:name="_Toc521488067"/>
      <w:bookmarkStart w:id="31" w:name="_Toc521407202"/>
      <w:bookmarkStart w:id="32" w:name="_Toc532892934"/>
      <w:bookmarkStart w:id="33" w:name="_Toc7377551"/>
      <w:bookmarkStart w:id="34" w:name="_Toc533777092"/>
      <w:bookmarkStart w:id="35" w:name="_Toc488245885"/>
      <w:bookmarkStart w:id="36" w:name="_Toc7188472"/>
      <w:bookmarkStart w:id="37" w:name="_Toc533758266"/>
      <w:bookmarkStart w:id="38" w:name="_Toc488157674"/>
      <w:r>
        <w:rPr>
          <w:rFonts w:hint="eastAsia"/>
        </w:rPr>
        <w:t>目</w:t>
      </w:r>
      <w:bookmarkStart w:id="39" w:name="BKML"/>
      <w:r>
        <w:rPr>
          <w:rFonts w:hint="eastAsia" w:ascii="MS Mincho" w:hAnsi="MS Mincho" w:eastAsia="MS Mincho" w:cs="MS Mincho"/>
        </w:rPr>
        <w:t>  </w:t>
      </w:r>
      <w:r>
        <w:rPr>
          <w:rFonts w:hint="eastAsia"/>
        </w:rPr>
        <w:t>次</w:t>
      </w:r>
      <w:bookmarkEnd w:id="39"/>
    </w:p>
    <w:p>
      <w:pPr>
        <w:pStyle w:val="21"/>
        <w:spacing w:before="78" w:after="78"/>
        <w:rPr>
          <w:rFonts w:ascii="Calibri" w:hAnsi="Calibri"/>
          <w:szCs w:val="22"/>
        </w:rPr>
      </w:pPr>
      <w:r>
        <w:fldChar w:fldCharType="begin" w:fldLock="1"/>
      </w:r>
      <w:r>
        <w:instrText xml:space="preserve">TOC \h \z \t"</w:instrText>
      </w:r>
      <w:r>
        <w:rPr>
          <w:rFonts w:hint="eastAsia"/>
        </w:rPr>
        <w:instrText xml:space="preserve">前言、引言标题</w:instrText>
      </w:r>
      <w:r>
        <w:instrText xml:space="preserve">,1,</w:instrText>
      </w:r>
      <w:r>
        <w:rPr>
          <w:rFonts w:hint="eastAsia"/>
        </w:rPr>
        <w:instrText xml:space="preserve">参考文献、索引标题</w:instrText>
      </w:r>
      <w:r>
        <w:instrText xml:space="preserve">,1,</w:instrText>
      </w:r>
      <w:r>
        <w:rPr>
          <w:rFonts w:hint="eastAsia"/>
        </w:rPr>
        <w:instrText xml:space="preserve">章标题</w:instrText>
      </w:r>
      <w:r>
        <w:instrText xml:space="preserve">,1,</w:instrText>
      </w:r>
      <w:r>
        <w:rPr>
          <w:rFonts w:hint="eastAsia"/>
        </w:rPr>
        <w:instrText xml:space="preserve">参考文献</w:instrText>
      </w:r>
      <w:r>
        <w:instrText xml:space="preserve">,1,</w:instrText>
      </w:r>
      <w:r>
        <w:rPr>
          <w:rFonts w:hint="eastAsia"/>
        </w:rPr>
        <w:instrText xml:space="preserve">附录标识</w:instrText>
      </w:r>
      <w:r>
        <w:instrText xml:space="preserve">,1" \* MERGEFORMAT</w:instrText>
      </w:r>
      <w:r>
        <w:fldChar w:fldCharType="separate"/>
      </w:r>
      <w:r>
        <w:fldChar w:fldCharType="begin"/>
      </w:r>
      <w:r>
        <w:instrText xml:space="preserve"> HYPERLINK \l "_Toc7377845" </w:instrText>
      </w:r>
      <w:r>
        <w:fldChar w:fldCharType="separate"/>
      </w:r>
      <w:r>
        <w:rPr>
          <w:rStyle w:val="41"/>
          <w:rFonts w:hint="eastAsia"/>
        </w:rPr>
        <w:t>前言</w:t>
      </w:r>
      <w:r>
        <w:tab/>
      </w:r>
      <w:r>
        <w:fldChar w:fldCharType="begin" w:fldLock="1"/>
      </w:r>
      <w:r>
        <w:instrText xml:space="preserve"> PAGEREF _Toc7377845 \h </w:instrText>
      </w:r>
      <w:r>
        <w:fldChar w:fldCharType="separate"/>
      </w:r>
      <w:r>
        <w:t>II</w:t>
      </w:r>
      <w:r>
        <w:fldChar w:fldCharType="end"/>
      </w:r>
      <w:r>
        <w:fldChar w:fldCharType="end"/>
      </w:r>
    </w:p>
    <w:p>
      <w:pPr>
        <w:pStyle w:val="21"/>
        <w:spacing w:before="78" w:after="78"/>
        <w:rPr>
          <w:rFonts w:ascii="Calibri" w:hAnsi="Calibri"/>
          <w:szCs w:val="22"/>
        </w:rPr>
      </w:pPr>
      <w:r>
        <w:fldChar w:fldCharType="begin"/>
      </w:r>
      <w:r>
        <w:instrText xml:space="preserve"> HYPERLINK \l "_Toc7377846" </w:instrText>
      </w:r>
      <w:r>
        <w:fldChar w:fldCharType="separate"/>
      </w:r>
      <w:r>
        <w:rPr>
          <w:rStyle w:val="41"/>
        </w:rPr>
        <w:t>1</w:t>
      </w:r>
      <w:r>
        <w:rPr>
          <w:rStyle w:val="41"/>
          <w:rFonts w:hint="eastAsia"/>
        </w:rPr>
        <w:t>　范围</w:t>
      </w:r>
      <w:r>
        <w:tab/>
      </w:r>
      <w:r>
        <w:fldChar w:fldCharType="begin" w:fldLock="1"/>
      </w:r>
      <w:r>
        <w:instrText xml:space="preserve"> PAGEREF _Toc7377846 \h </w:instrText>
      </w:r>
      <w:r>
        <w:fldChar w:fldCharType="separate"/>
      </w:r>
      <w:r>
        <w:t>1</w:t>
      </w:r>
      <w:r>
        <w:fldChar w:fldCharType="end"/>
      </w:r>
      <w:r>
        <w:fldChar w:fldCharType="end"/>
      </w:r>
    </w:p>
    <w:p>
      <w:pPr>
        <w:pStyle w:val="21"/>
        <w:spacing w:before="78" w:after="78"/>
        <w:rPr>
          <w:rFonts w:ascii="Calibri" w:hAnsi="Calibri"/>
          <w:szCs w:val="22"/>
        </w:rPr>
      </w:pPr>
      <w:r>
        <w:fldChar w:fldCharType="begin"/>
      </w:r>
      <w:r>
        <w:instrText xml:space="preserve"> HYPERLINK \l "_Toc7377847" </w:instrText>
      </w:r>
      <w:r>
        <w:fldChar w:fldCharType="separate"/>
      </w:r>
      <w:r>
        <w:rPr>
          <w:rStyle w:val="41"/>
        </w:rPr>
        <w:t>2</w:t>
      </w:r>
      <w:r>
        <w:rPr>
          <w:rStyle w:val="41"/>
          <w:rFonts w:hint="eastAsia"/>
        </w:rPr>
        <w:t>　规范性引用文件</w:t>
      </w:r>
      <w:r>
        <w:tab/>
      </w:r>
      <w:r>
        <w:fldChar w:fldCharType="begin" w:fldLock="1"/>
      </w:r>
      <w:r>
        <w:instrText xml:space="preserve"> PAGEREF _Toc7377847 \h </w:instrText>
      </w:r>
      <w:r>
        <w:fldChar w:fldCharType="separate"/>
      </w:r>
      <w:r>
        <w:t>1</w:t>
      </w:r>
      <w:r>
        <w:fldChar w:fldCharType="end"/>
      </w:r>
      <w:r>
        <w:fldChar w:fldCharType="end"/>
      </w:r>
    </w:p>
    <w:p>
      <w:pPr>
        <w:pStyle w:val="21"/>
        <w:spacing w:before="78" w:after="78"/>
        <w:rPr>
          <w:rFonts w:ascii="Calibri" w:hAnsi="Calibri"/>
          <w:szCs w:val="22"/>
        </w:rPr>
      </w:pPr>
      <w:r>
        <w:fldChar w:fldCharType="begin"/>
      </w:r>
      <w:r>
        <w:instrText xml:space="preserve"> HYPERLINK \l "_Toc7377848" </w:instrText>
      </w:r>
      <w:r>
        <w:fldChar w:fldCharType="separate"/>
      </w:r>
      <w:r>
        <w:rPr>
          <w:rStyle w:val="41"/>
        </w:rPr>
        <w:t>3</w:t>
      </w:r>
      <w:r>
        <w:rPr>
          <w:rStyle w:val="41"/>
          <w:rFonts w:hint="eastAsia"/>
        </w:rPr>
        <w:t>　术语和定义</w:t>
      </w:r>
      <w:r>
        <w:tab/>
      </w:r>
      <w:r>
        <w:fldChar w:fldCharType="begin" w:fldLock="1"/>
      </w:r>
      <w:r>
        <w:instrText xml:space="preserve"> PAGEREF _Toc7377848 \h </w:instrText>
      </w:r>
      <w:r>
        <w:fldChar w:fldCharType="separate"/>
      </w:r>
      <w:r>
        <w:t>1</w:t>
      </w:r>
      <w:r>
        <w:fldChar w:fldCharType="end"/>
      </w:r>
      <w:r>
        <w:fldChar w:fldCharType="end"/>
      </w:r>
    </w:p>
    <w:p>
      <w:pPr>
        <w:pStyle w:val="21"/>
        <w:spacing w:before="78" w:after="78"/>
        <w:rPr>
          <w:rFonts w:ascii="Calibri" w:hAnsi="Calibri"/>
          <w:szCs w:val="22"/>
        </w:rPr>
      </w:pPr>
      <w:r>
        <w:fldChar w:fldCharType="begin"/>
      </w:r>
      <w:r>
        <w:instrText xml:space="preserve"> HYPERLINK \l "_Toc7377849" </w:instrText>
      </w:r>
      <w:r>
        <w:fldChar w:fldCharType="separate"/>
      </w:r>
      <w:r>
        <w:rPr>
          <w:rStyle w:val="41"/>
        </w:rPr>
        <w:t>4</w:t>
      </w:r>
      <w:r>
        <w:rPr>
          <w:rStyle w:val="41"/>
          <w:rFonts w:hint="eastAsia"/>
        </w:rPr>
        <w:t>　基本规定</w:t>
      </w:r>
      <w:r>
        <w:tab/>
      </w:r>
      <w:r>
        <w:rPr>
          <w:rFonts w:hint="eastAsia"/>
        </w:rPr>
        <w:t>2</w:t>
      </w:r>
      <w:r>
        <w:rPr>
          <w:rFonts w:hint="eastAsia"/>
        </w:rPr>
        <w:fldChar w:fldCharType="end"/>
      </w:r>
    </w:p>
    <w:p>
      <w:pPr>
        <w:pStyle w:val="21"/>
        <w:spacing w:before="78" w:after="78"/>
        <w:rPr>
          <w:rFonts w:ascii="Calibri" w:hAnsi="Calibri"/>
          <w:szCs w:val="22"/>
        </w:rPr>
      </w:pPr>
      <w:r>
        <w:fldChar w:fldCharType="begin"/>
      </w:r>
      <w:r>
        <w:instrText xml:space="preserve"> HYPERLINK \l "_Toc7377850" </w:instrText>
      </w:r>
      <w:r>
        <w:fldChar w:fldCharType="separate"/>
      </w:r>
      <w:r>
        <w:rPr>
          <w:rStyle w:val="41"/>
        </w:rPr>
        <w:t>5</w:t>
      </w:r>
      <w:r>
        <w:rPr>
          <w:rStyle w:val="41"/>
          <w:rFonts w:hint="eastAsia"/>
        </w:rPr>
        <w:t>　材料要求</w:t>
      </w:r>
      <w:r>
        <w:tab/>
      </w:r>
      <w:r>
        <w:rPr>
          <w:rFonts w:hint="eastAsia"/>
        </w:rPr>
        <w:t>3</w:t>
      </w:r>
      <w:r>
        <w:rPr>
          <w:rFonts w:hint="eastAsia"/>
        </w:rPr>
        <w:fldChar w:fldCharType="end"/>
      </w:r>
    </w:p>
    <w:p>
      <w:pPr>
        <w:pStyle w:val="21"/>
        <w:spacing w:before="78" w:after="78"/>
        <w:rPr>
          <w:rFonts w:ascii="Calibri" w:hAnsi="Calibri"/>
          <w:szCs w:val="22"/>
        </w:rPr>
      </w:pPr>
      <w:r>
        <w:fldChar w:fldCharType="begin"/>
      </w:r>
      <w:r>
        <w:instrText xml:space="preserve"> HYPERLINK \l "_Toc7377851" </w:instrText>
      </w:r>
      <w:r>
        <w:fldChar w:fldCharType="separate"/>
      </w:r>
      <w:r>
        <w:rPr>
          <w:rStyle w:val="41"/>
        </w:rPr>
        <w:t>6</w:t>
      </w:r>
      <w:r>
        <w:rPr>
          <w:rStyle w:val="41"/>
          <w:rFonts w:hint="eastAsia"/>
        </w:rPr>
        <w:t>　原路面状况评估</w:t>
      </w:r>
      <w:r>
        <w:tab/>
      </w:r>
      <w:r>
        <w:rPr>
          <w:rFonts w:hint="eastAsia"/>
        </w:rPr>
        <w:t>4</w:t>
      </w:r>
      <w:r>
        <w:rPr>
          <w:rFonts w:hint="eastAsia"/>
        </w:rPr>
        <w:fldChar w:fldCharType="end"/>
      </w:r>
    </w:p>
    <w:p>
      <w:pPr>
        <w:pStyle w:val="21"/>
        <w:spacing w:before="78" w:after="78"/>
        <w:rPr>
          <w:rStyle w:val="41"/>
        </w:rPr>
      </w:pPr>
      <w:r>
        <w:fldChar w:fldCharType="begin"/>
      </w:r>
      <w:r>
        <w:instrText xml:space="preserve"> HYPERLINK \l "_Toc7377852" </w:instrText>
      </w:r>
      <w:r>
        <w:fldChar w:fldCharType="separate"/>
      </w:r>
      <w:r>
        <w:rPr>
          <w:rStyle w:val="41"/>
        </w:rPr>
        <w:t>7</w:t>
      </w:r>
      <w:r>
        <w:rPr>
          <w:rStyle w:val="41"/>
          <w:rFonts w:hint="eastAsia"/>
        </w:rPr>
        <w:t>　就地热再生施工</w:t>
      </w:r>
      <w:r>
        <w:tab/>
      </w:r>
      <w:r>
        <w:rPr>
          <w:rFonts w:hint="eastAsia"/>
        </w:rPr>
        <w:t>6</w:t>
      </w:r>
      <w:r>
        <w:rPr>
          <w:rFonts w:hint="eastAsia"/>
        </w:rPr>
        <w:fldChar w:fldCharType="end"/>
      </w:r>
    </w:p>
    <w:p>
      <w:pPr>
        <w:pStyle w:val="21"/>
        <w:spacing w:before="78" w:after="78"/>
        <w:rPr>
          <w:color w:val="0000FF"/>
          <w:u w:val="single"/>
        </w:rPr>
      </w:pPr>
      <w:r>
        <w:t>8</w:t>
      </w:r>
      <w:r>
        <w:rPr>
          <w:rFonts w:hint="eastAsia"/>
        </w:rPr>
        <w:t>　验收</w:t>
      </w:r>
      <w:r>
        <w:tab/>
      </w:r>
      <w:r>
        <w:rPr>
          <w:rFonts w:hint="eastAsia"/>
        </w:rPr>
        <w:t>11</w:t>
      </w:r>
    </w:p>
    <w:p>
      <w:pPr>
        <w:pStyle w:val="21"/>
        <w:spacing w:before="78" w:after="78"/>
      </w:pPr>
      <w:r>
        <w:fldChar w:fldCharType="begin"/>
      </w:r>
      <w:r>
        <w:instrText xml:space="preserve"> HYPERLINK \l "_Toc7377853" </w:instrText>
      </w:r>
      <w:r>
        <w:fldChar w:fldCharType="separate"/>
      </w:r>
      <w:r>
        <w:rPr>
          <w:rStyle w:val="41"/>
          <w:rFonts w:hint="eastAsia"/>
        </w:rPr>
        <w:t>附录</w:t>
      </w:r>
      <w:r>
        <w:rPr>
          <w:rStyle w:val="41"/>
        </w:rPr>
        <w:t>A</w:t>
      </w:r>
      <w:r>
        <w:rPr>
          <w:rStyle w:val="41"/>
          <w:rFonts w:hint="eastAsia"/>
        </w:rPr>
        <w:t>（资料性附录）　就地热再生混合料配合比设计</w:t>
      </w:r>
      <w:r>
        <w:tab/>
      </w:r>
      <w:r>
        <w:rPr>
          <w:rFonts w:hint="eastAsia"/>
        </w:rPr>
        <w:t>14</w:t>
      </w:r>
      <w:r>
        <w:rPr>
          <w:rFonts w:hint="eastAsia"/>
        </w:rPr>
        <w:fldChar w:fldCharType="end"/>
      </w:r>
    </w:p>
    <w:p>
      <w:pPr>
        <w:pStyle w:val="21"/>
        <w:spacing w:before="78" w:after="78"/>
      </w:pPr>
      <w:r>
        <w:fldChar w:fldCharType="begin"/>
      </w:r>
      <w:r>
        <w:instrText xml:space="preserve"> HYPERLINK \l "_Toc7377853" </w:instrText>
      </w:r>
      <w:r>
        <w:fldChar w:fldCharType="separate"/>
      </w:r>
      <w:r>
        <w:rPr>
          <w:rStyle w:val="41"/>
          <w:rFonts w:hint="eastAsia"/>
        </w:rPr>
        <w:t>附录B（资料性附录）　分项、子分部工程检验记录表</w:t>
      </w:r>
      <w:r>
        <w:tab/>
      </w:r>
      <w:r>
        <w:rPr>
          <w:rFonts w:hint="eastAsia"/>
        </w:rPr>
        <w:t>17</w:t>
      </w:r>
      <w:r>
        <w:rPr>
          <w:rFonts w:hint="eastAsia"/>
        </w:rPr>
        <w:fldChar w:fldCharType="end"/>
      </w:r>
    </w:p>
    <w:p>
      <w:pPr>
        <w:pStyle w:val="25"/>
      </w:pPr>
      <w:r>
        <w:fldChar w:fldCharType="end"/>
      </w:r>
    </w:p>
    <w:p>
      <w:pPr>
        <w:pStyle w:val="124"/>
      </w:pPr>
      <w:bookmarkStart w:id="40" w:name="_Toc7377845"/>
      <w:r>
        <w:rPr>
          <w:rFonts w:hint="eastAsia"/>
        </w:rPr>
        <w:t>前</w:t>
      </w:r>
      <w:bookmarkStart w:id="41" w:name="BKQY"/>
      <w:r>
        <w:rPr>
          <w:rFonts w:hint="eastAsia" w:ascii="MS Mincho" w:hAnsi="MS Mincho" w:eastAsia="MS Mincho" w:cs="MS Mincho"/>
        </w:rPr>
        <w:t>  </w:t>
      </w:r>
      <w:r>
        <w:rPr>
          <w:rFonts w:hint="eastAsia"/>
        </w:rPr>
        <w:t>言</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40"/>
      <w:bookmarkEnd w:id="41"/>
    </w:p>
    <w:p>
      <w:pPr>
        <w:pStyle w:val="155"/>
        <w:ind w:firstLine="420"/>
      </w:pPr>
      <w:r>
        <w:rPr>
          <w:rFonts w:hint="eastAsia"/>
        </w:rPr>
        <w:t>本规程按照GB/T 1.1—2020《标准化工作导则  第1部分：标准化文件的结构和起草规则》的规定起草。</w:t>
      </w:r>
    </w:p>
    <w:p>
      <w:pPr>
        <w:pStyle w:val="155"/>
        <w:ind w:firstLine="420"/>
      </w:pPr>
      <w:r>
        <w:rPr>
          <w:rFonts w:hint="eastAsia"/>
        </w:rPr>
        <w:t>本规程由</w:t>
      </w:r>
      <w:r>
        <w:rPr>
          <w:rFonts w:ascii="Times New Roman"/>
        </w:rPr>
        <w:t>江苏省住房和城乡建设厅</w:t>
      </w:r>
      <w:r>
        <w:rPr>
          <w:rFonts w:hint="eastAsia"/>
        </w:rPr>
        <w:t>提出。</w:t>
      </w:r>
    </w:p>
    <w:p>
      <w:pPr>
        <w:pStyle w:val="155"/>
        <w:ind w:firstLine="420"/>
      </w:pPr>
      <w:r>
        <w:rPr>
          <w:rFonts w:hint="eastAsia"/>
        </w:rPr>
        <w:t>本规程由</w:t>
      </w:r>
      <w:r>
        <w:rPr>
          <w:rFonts w:ascii="Times New Roman"/>
        </w:rPr>
        <w:t>江苏省住房和城乡建设厅</w:t>
      </w:r>
      <w:r>
        <w:rPr>
          <w:rFonts w:hint="eastAsia"/>
        </w:rPr>
        <w:t>归口。</w:t>
      </w:r>
    </w:p>
    <w:p>
      <w:pPr>
        <w:pStyle w:val="25"/>
        <w:ind w:left="420" w:leftChars="200" w:firstLine="0" w:firstLineChars="0"/>
        <w:jc w:val="left"/>
      </w:pPr>
      <w:r>
        <w:rPr>
          <w:rFonts w:hint="eastAsia"/>
        </w:rPr>
        <w:t>本规程起草单位：英达热再生有限公司、同济大学、南京市交通运输局、柳州市市政设施维护管理处。</w:t>
      </w:r>
    </w:p>
    <w:p>
      <w:pPr>
        <w:pStyle w:val="25"/>
      </w:pPr>
      <w:r>
        <w:rPr>
          <w:rFonts w:hint="eastAsia"/>
        </w:rPr>
        <w:t>本规程主要起草人：</w:t>
      </w:r>
      <w:r>
        <w:rPr>
          <w:rFonts w:hint="eastAsia"/>
          <w:szCs w:val="22"/>
        </w:rPr>
        <w:t>雷 涛 施伟斌 张义甫 陈启景 戴合理 孙立军 刘 宁 周 勇 刘旭东 陈 全 朱 伟 陈 敏 曹巍巍 徐肖龙。</w:t>
      </w:r>
    </w:p>
    <w:p>
      <w:pPr>
        <w:pStyle w:val="25"/>
      </w:pPr>
    </w:p>
    <w:p>
      <w:pPr>
        <w:pStyle w:val="25"/>
        <w:ind w:firstLine="0" w:firstLineChars="0"/>
      </w:pPr>
    </w:p>
    <w:p>
      <w:pPr>
        <w:pStyle w:val="25"/>
        <w:ind w:firstLine="0" w:firstLineChars="0"/>
        <w:sectPr>
          <w:headerReference r:id="rId5" w:type="default"/>
          <w:footerReference r:id="rId6" w:type="default"/>
          <w:pgSz w:w="11906" w:h="16838"/>
          <w:pgMar w:top="567" w:right="1134" w:bottom="1134" w:left="1417" w:header="1418" w:footer="1134" w:gutter="0"/>
          <w:pgNumType w:fmt="upperRoman" w:start="1"/>
          <w:cols w:space="425" w:num="1"/>
          <w:formProt w:val="0"/>
          <w:docGrid w:type="lines" w:linePitch="312" w:charSpace="0"/>
        </w:sectPr>
      </w:pPr>
    </w:p>
    <w:p>
      <w:pPr>
        <w:pStyle w:val="62"/>
        <w:rPr>
          <w:color w:val="000000"/>
        </w:rPr>
      </w:pPr>
      <w:bookmarkStart w:id="42" w:name="_Hlk71646202"/>
      <w:r>
        <w:rPr>
          <w:rFonts w:hint="eastAsia"/>
          <w:color w:val="000000"/>
        </w:rPr>
        <w:t>城镇道路沥青路面就地热再生施工及验收标准</w:t>
      </w:r>
      <w:bookmarkEnd w:id="42"/>
    </w:p>
    <w:p>
      <w:pPr>
        <w:pStyle w:val="57"/>
        <w:spacing w:before="312" w:after="312"/>
        <w:outlineLvl w:val="0"/>
        <w:rPr>
          <w:color w:val="000000"/>
        </w:rPr>
      </w:pPr>
      <w:bookmarkStart w:id="43" w:name="_Toc521419296"/>
      <w:bookmarkStart w:id="44" w:name="_Toc532892964"/>
      <w:bookmarkStart w:id="45" w:name="_Toc533777093"/>
      <w:bookmarkStart w:id="46" w:name="_Toc533413424"/>
      <w:bookmarkStart w:id="47" w:name="_Toc504140231"/>
      <w:bookmarkStart w:id="48" w:name="_Toc504133278"/>
      <w:bookmarkStart w:id="49" w:name="_Toc504143592"/>
      <w:bookmarkStart w:id="50" w:name="_Toc532892935"/>
      <w:bookmarkStart w:id="51" w:name="_Toc491787423"/>
      <w:bookmarkStart w:id="52" w:name="_Toc488245932"/>
      <w:bookmarkStart w:id="53" w:name="_Toc521407204"/>
      <w:bookmarkStart w:id="54" w:name="_Toc521488069"/>
      <w:bookmarkStart w:id="55" w:name="_Toc521407146"/>
      <w:bookmarkStart w:id="56" w:name="_Toc7188473"/>
      <w:bookmarkStart w:id="57" w:name="_Toc488157675"/>
      <w:bookmarkStart w:id="58" w:name="_Toc7377002"/>
      <w:bookmarkStart w:id="59" w:name="_Toc488155580"/>
      <w:bookmarkStart w:id="60" w:name="_Toc488245914"/>
      <w:bookmarkStart w:id="61" w:name="_Toc521407177"/>
      <w:bookmarkStart w:id="62" w:name="_Toc532914494"/>
      <w:bookmarkStart w:id="63" w:name="_Toc7377846"/>
      <w:bookmarkStart w:id="64" w:name="_Toc7377571"/>
      <w:bookmarkStart w:id="65" w:name="_Toc7377552"/>
      <w:bookmarkStart w:id="66" w:name="_Toc533425484"/>
      <w:bookmarkStart w:id="67" w:name="_Toc532913492"/>
      <w:bookmarkStart w:id="68" w:name="_Toc492023787"/>
      <w:bookmarkStart w:id="69" w:name="_Toc521421775"/>
      <w:bookmarkStart w:id="70" w:name="_Toc533758267"/>
      <w:bookmarkStart w:id="71" w:name="_Toc488245886"/>
      <w:r>
        <w:rPr>
          <w:rFonts w:hint="eastAsia"/>
          <w:color w:val="000000"/>
        </w:rPr>
        <w:t>范围</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pStyle w:val="25"/>
        <w:rPr>
          <w:color w:val="000000"/>
        </w:rPr>
      </w:pPr>
      <w:bookmarkStart w:id="72" w:name="_Hlk71646227"/>
      <w:r>
        <w:rPr>
          <w:rFonts w:hint="eastAsia"/>
          <w:color w:val="000000"/>
        </w:rPr>
        <w:t>为适应我国沥青路面养护发展需要，贯彻国家关于建设节约型社会、实现循环经济、低碳经济的规定，在江苏省推广应用沥青路面就地热再生技术，指导施工及验收，特制定本标准。</w:t>
      </w:r>
    </w:p>
    <w:p>
      <w:pPr>
        <w:pStyle w:val="25"/>
        <w:rPr>
          <w:color w:val="000000"/>
        </w:rPr>
      </w:pPr>
      <w:r>
        <w:rPr>
          <w:rFonts w:hint="eastAsia"/>
          <w:color w:val="000000"/>
        </w:rPr>
        <w:t>本标准适用于城镇道路沥青路面面层就地热再生施工及验收，公路沥青路面可参照执行。</w:t>
      </w:r>
    </w:p>
    <w:p>
      <w:pPr>
        <w:pStyle w:val="25"/>
        <w:rPr>
          <w:color w:val="000000"/>
        </w:rPr>
      </w:pPr>
      <w:r>
        <w:rPr>
          <w:rFonts w:hint="eastAsia"/>
          <w:color w:val="000000"/>
        </w:rPr>
        <w:t>沥青路面就地热再生施工过程中，除应符合本标准的规定外，尚应符合国家、行业现行有关标准、标准的规定。</w:t>
      </w:r>
    </w:p>
    <w:bookmarkEnd w:id="72"/>
    <w:p>
      <w:pPr>
        <w:pStyle w:val="57"/>
        <w:spacing w:before="312" w:after="312"/>
        <w:outlineLvl w:val="0"/>
        <w:rPr>
          <w:color w:val="000000"/>
        </w:rPr>
      </w:pPr>
      <w:bookmarkStart w:id="73" w:name="_Toc488157677"/>
      <w:bookmarkEnd w:id="73"/>
      <w:bookmarkStart w:id="74" w:name="_Toc488155582"/>
      <w:bookmarkEnd w:id="74"/>
      <w:bookmarkStart w:id="75" w:name="_Toc7188474"/>
      <w:bookmarkStart w:id="76" w:name="_Toc7377847"/>
      <w:bookmarkStart w:id="77" w:name="_Toc7377003"/>
      <w:bookmarkStart w:id="78" w:name="_Toc7377553"/>
      <w:bookmarkStart w:id="79" w:name="_Toc7377572"/>
      <w:bookmarkStart w:id="80" w:name="_Toc504143594"/>
      <w:bookmarkStart w:id="81" w:name="_Toc521419298"/>
      <w:bookmarkStart w:id="82" w:name="_Toc488245934"/>
      <w:bookmarkStart w:id="83" w:name="_Toc492023789"/>
      <w:bookmarkStart w:id="84" w:name="_Toc521407179"/>
      <w:bookmarkStart w:id="85" w:name="_Toc521421777"/>
      <w:bookmarkStart w:id="86" w:name="_Toc521407206"/>
      <w:bookmarkStart w:id="87" w:name="_Toc533777094"/>
      <w:bookmarkStart w:id="88" w:name="_Toc491787425"/>
      <w:bookmarkStart w:id="89" w:name="_Toc532913494"/>
      <w:bookmarkStart w:id="90" w:name="_Toc533425485"/>
      <w:bookmarkStart w:id="91" w:name="_Toc533413425"/>
      <w:bookmarkStart w:id="92" w:name="_Toc504133280"/>
      <w:bookmarkStart w:id="93" w:name="_Toc521407148"/>
      <w:bookmarkStart w:id="94" w:name="_Toc521488071"/>
      <w:bookmarkStart w:id="95" w:name="_Toc488245888"/>
      <w:bookmarkStart w:id="96" w:name="_Toc504140233"/>
      <w:bookmarkStart w:id="97" w:name="_Toc488245916"/>
      <w:bookmarkStart w:id="98" w:name="_Toc532892966"/>
      <w:bookmarkStart w:id="99" w:name="_Toc533758268"/>
      <w:bookmarkStart w:id="100" w:name="_Toc532892937"/>
      <w:bookmarkStart w:id="101" w:name="_Toc532914496"/>
      <w:r>
        <w:rPr>
          <w:rFonts w:hint="eastAsia"/>
          <w:color w:val="000000"/>
        </w:rPr>
        <w:t>规范性引用文件</w:t>
      </w:r>
      <w:bookmarkEnd w:id="75"/>
      <w:bookmarkEnd w:id="76"/>
      <w:bookmarkEnd w:id="77"/>
      <w:bookmarkEnd w:id="78"/>
      <w:bookmarkEnd w:id="79"/>
    </w:p>
    <w:p>
      <w:pPr>
        <w:pStyle w:val="25"/>
        <w:rPr>
          <w:color w:val="000000"/>
        </w:rPr>
      </w:pPr>
      <w:r>
        <w:rPr>
          <w:rFonts w:hint="eastAsia"/>
          <w:color w:val="000000"/>
        </w:rPr>
        <w:t>下列文件对于本文件的应用是必不可少的，凡是注日期的引用文件，仅注日期的版本适用于本文件。凡是不注日期的引用文件，其最新版本（包括所有的修改单）适用于本文件。</w:t>
      </w:r>
    </w:p>
    <w:p>
      <w:pPr>
        <w:pStyle w:val="25"/>
        <w:rPr>
          <w:color w:val="000000"/>
        </w:rPr>
      </w:pPr>
      <w:bookmarkStart w:id="102" w:name="_Hlk71646247"/>
      <w:r>
        <w:rPr>
          <w:rFonts w:hint="eastAsia"/>
          <w:color w:val="000000"/>
        </w:rPr>
        <w:t>CJJ 1 城镇道路工程施工与验收标准</w:t>
      </w:r>
    </w:p>
    <w:p>
      <w:pPr>
        <w:pStyle w:val="25"/>
        <w:rPr>
          <w:color w:val="000000"/>
        </w:rPr>
      </w:pPr>
      <w:r>
        <w:rPr>
          <w:rFonts w:hint="eastAsia"/>
          <w:color w:val="000000"/>
        </w:rPr>
        <w:t>CJJ 36 城镇道路养护技术标准</w:t>
      </w:r>
    </w:p>
    <w:p>
      <w:pPr>
        <w:pStyle w:val="25"/>
        <w:rPr>
          <w:color w:val="000000"/>
        </w:rPr>
      </w:pPr>
      <w:r>
        <w:rPr>
          <w:rFonts w:hint="eastAsia"/>
          <w:color w:val="000000"/>
        </w:rPr>
        <w:t>CJJ/T 43</w:t>
      </w:r>
      <w:r>
        <w:rPr>
          <w:color w:val="000000"/>
        </w:rPr>
        <w:t xml:space="preserve"> </w:t>
      </w:r>
      <w:r>
        <w:rPr>
          <w:rFonts w:hint="eastAsia"/>
          <w:color w:val="000000"/>
        </w:rPr>
        <w:t>城镇道路沥青路面再生利用技术标准</w:t>
      </w:r>
    </w:p>
    <w:p>
      <w:pPr>
        <w:pStyle w:val="25"/>
        <w:rPr>
          <w:color w:val="000000"/>
        </w:rPr>
      </w:pPr>
      <w:r>
        <w:rPr>
          <w:rFonts w:hint="eastAsia"/>
          <w:color w:val="000000"/>
        </w:rPr>
        <w:t>JTG F41 公路沥青路面再生技术标准</w:t>
      </w:r>
      <w:bookmarkEnd w:id="102"/>
    </w:p>
    <w:p>
      <w:pPr>
        <w:pStyle w:val="57"/>
        <w:spacing w:before="312" w:after="312"/>
        <w:outlineLvl w:val="0"/>
        <w:rPr>
          <w:color w:val="000000"/>
        </w:rPr>
      </w:pPr>
      <w:bookmarkStart w:id="103" w:name="_Toc7377004"/>
      <w:bookmarkStart w:id="104" w:name="_Toc7188475"/>
      <w:bookmarkStart w:id="105" w:name="_Toc7377554"/>
      <w:bookmarkStart w:id="106" w:name="_Toc7377573"/>
      <w:bookmarkStart w:id="107" w:name="_Toc7377848"/>
      <w:r>
        <w:rPr>
          <w:rFonts w:hint="eastAsia"/>
          <w:color w:val="000000"/>
        </w:rPr>
        <w:t>术语和定义</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3"/>
      <w:bookmarkEnd w:id="104"/>
      <w:bookmarkEnd w:id="105"/>
      <w:bookmarkEnd w:id="106"/>
      <w:bookmarkEnd w:id="107"/>
    </w:p>
    <w:p>
      <w:pPr>
        <w:pStyle w:val="25"/>
        <w:rPr>
          <w:color w:val="000000"/>
        </w:rPr>
      </w:pPr>
      <w:r>
        <w:rPr>
          <w:rFonts w:hint="eastAsia"/>
          <w:color w:val="000000"/>
        </w:rPr>
        <w:t>下列术语和定义适用于本文件。</w:t>
      </w:r>
    </w:p>
    <w:p>
      <w:pPr>
        <w:pStyle w:val="54"/>
        <w:spacing w:before="156" w:after="156"/>
        <w:ind w:left="0"/>
      </w:pPr>
      <w:bookmarkStart w:id="108" w:name="_Toc488245918"/>
      <w:bookmarkEnd w:id="108"/>
      <w:bookmarkStart w:id="109" w:name="_Toc488245890"/>
      <w:bookmarkEnd w:id="109"/>
      <w:bookmarkStart w:id="110" w:name="_Toc488245889"/>
      <w:bookmarkEnd w:id="110"/>
      <w:bookmarkStart w:id="111" w:name="_Toc521407149"/>
      <w:bookmarkEnd w:id="111"/>
      <w:bookmarkStart w:id="112" w:name="_Toc488245917"/>
      <w:bookmarkEnd w:id="112"/>
      <w:bookmarkStart w:id="113" w:name="_Toc532892938"/>
      <w:bookmarkEnd w:id="113"/>
      <w:bookmarkStart w:id="114" w:name="_Toc521407180"/>
      <w:bookmarkEnd w:id="114"/>
      <w:bookmarkStart w:id="115" w:name="_Toc533758269"/>
      <w:bookmarkStart w:id="116" w:name="_Toc533425486"/>
      <w:bookmarkStart w:id="117" w:name="_Toc533777095"/>
      <w:bookmarkStart w:id="118" w:name="_Toc521407159"/>
      <w:bookmarkStart w:id="119" w:name="_Toc532892941"/>
      <w:bookmarkStart w:id="120" w:name="_Toc504133281"/>
      <w:bookmarkStart w:id="121" w:name="_Toc532914497"/>
      <w:bookmarkStart w:id="122" w:name="_Toc491787426"/>
      <w:bookmarkStart w:id="123" w:name="_Toc492023790"/>
      <w:bookmarkStart w:id="124" w:name="_Toc521419300"/>
      <w:bookmarkStart w:id="125" w:name="_Toc521407190"/>
      <w:bookmarkStart w:id="126" w:name="_Toc7377555"/>
      <w:bookmarkStart w:id="127" w:name="_Toc521407208"/>
      <w:bookmarkStart w:id="128" w:name="_Toc7377005"/>
      <w:bookmarkStart w:id="129" w:name="_Toc533413426"/>
      <w:bookmarkStart w:id="130" w:name="_Toc504143595"/>
      <w:bookmarkStart w:id="131" w:name="_Toc7377849"/>
      <w:bookmarkStart w:id="132" w:name="_Toc521421779"/>
      <w:bookmarkStart w:id="133" w:name="_Toc532892967"/>
      <w:bookmarkStart w:id="134" w:name="_Toc7377574"/>
      <w:bookmarkStart w:id="135" w:name="_Toc521488073"/>
      <w:bookmarkStart w:id="136" w:name="_Toc504140234"/>
      <w:bookmarkStart w:id="137" w:name="_Toc7188476"/>
      <w:bookmarkStart w:id="138" w:name="_Toc532913495"/>
    </w:p>
    <w:p>
      <w:pPr>
        <w:widowControl/>
        <w:adjustRightInd w:val="0"/>
        <w:snapToGrid w:val="0"/>
        <w:ind w:firstLine="420" w:firstLineChars="200"/>
        <w:rPr>
          <w:rFonts w:ascii="黑体" w:eastAsia="黑体"/>
          <w:color w:val="000000"/>
          <w:szCs w:val="21"/>
        </w:rPr>
      </w:pPr>
      <w:bookmarkStart w:id="139" w:name="_Hlk71646286"/>
      <w:r>
        <w:rPr>
          <w:rFonts w:hint="eastAsia" w:ascii="黑体" w:eastAsia="黑体"/>
          <w:color w:val="000000"/>
          <w:szCs w:val="21"/>
        </w:rPr>
        <w:t>就地热再生技术  hot in-place recycling ，简称HIR</w:t>
      </w:r>
      <w:bookmarkEnd w:id="139"/>
    </w:p>
    <w:p>
      <w:pPr>
        <w:pStyle w:val="25"/>
        <w:rPr>
          <w:rFonts w:hAnsi="宋体"/>
          <w:szCs w:val="21"/>
        </w:rPr>
      </w:pPr>
      <w:bookmarkStart w:id="140" w:name="_Toc535603245"/>
      <w:bookmarkEnd w:id="140"/>
      <w:bookmarkStart w:id="141" w:name="_Hlk71646309"/>
      <w:r>
        <w:rPr>
          <w:rFonts w:hint="eastAsia" w:hAnsi="宋体"/>
          <w:szCs w:val="21"/>
        </w:rPr>
        <w:t>利用专用的就地热再生设备，对沥青路面面层进行加热、翻松，掺入一定数量的再生剂、新沥青、其他添加剂和新沥青混合料等，经热态拌和、摊铺、碾压等工序，一次性实现原沥青路面再生利用的技术，它可以分为整形再生、复拌再生、补强再生三种基本工艺类型。</w:t>
      </w:r>
    </w:p>
    <w:p>
      <w:pPr>
        <w:pStyle w:val="159"/>
        <w:numPr>
          <w:ilvl w:val="0"/>
          <w:numId w:val="17"/>
        </w:numPr>
        <w:ind w:left="851" w:hanging="426"/>
      </w:pPr>
      <w:r>
        <w:rPr>
          <w:rFonts w:hint="eastAsia"/>
        </w:rPr>
        <w:t>整形再生（releveling recycling）：是指采用再生机组将原沥青路面加热软化、添加一定量再生剂，并翻松、熨平，在其表面再摊铺一层新沥青混合料，两层一次压实成型；</w:t>
      </w:r>
    </w:p>
    <w:p>
      <w:pPr>
        <w:pStyle w:val="159"/>
        <w:numPr>
          <w:ilvl w:val="0"/>
          <w:numId w:val="5"/>
        </w:numPr>
        <w:tabs>
          <w:tab w:val="clear" w:pos="839"/>
        </w:tabs>
        <w:ind w:left="851" w:hanging="426"/>
      </w:pPr>
      <w:r>
        <w:rPr>
          <w:rFonts w:hint="eastAsia"/>
        </w:rPr>
        <w:t>复拌再生（remixing recycling）：是指采用再生机组加热、软化和翻松原沥青路面，现场添加一定量的沥青再生剂、新沥青以及特定级配的新沥青混合料，将再生后的原路面材料和添加的新沥青混合料一起提升，经热态拌和、摊铺、压实成型；</w:t>
      </w:r>
    </w:p>
    <w:p>
      <w:pPr>
        <w:pStyle w:val="159"/>
        <w:numPr>
          <w:ilvl w:val="0"/>
          <w:numId w:val="5"/>
        </w:numPr>
        <w:tabs>
          <w:tab w:val="clear" w:pos="839"/>
        </w:tabs>
        <w:ind w:left="851" w:hanging="426"/>
      </w:pPr>
      <w:r>
        <w:rPr>
          <w:rFonts w:hint="eastAsia"/>
        </w:rPr>
        <w:t>补强再生（repaving recycling）：是指在整形或复拌再生的基础上，加大新沥青混合料的添加量，以提高原路面沥青层的厚度，在一定程度上对原路面起到补强效果。补强再生分为整形补强再生和复拌补强再生。</w:t>
      </w:r>
    </w:p>
    <w:bookmarkEnd w:id="141"/>
    <w:p>
      <w:pPr>
        <w:pStyle w:val="54"/>
        <w:spacing w:before="156" w:after="156"/>
        <w:ind w:left="0"/>
      </w:pPr>
      <w:bookmarkStart w:id="142" w:name="_Toc49761341"/>
      <w:bookmarkEnd w:id="142"/>
      <w:bookmarkStart w:id="143" w:name="_Hlk71646544"/>
    </w:p>
    <w:p>
      <w:pPr>
        <w:widowControl/>
        <w:adjustRightInd w:val="0"/>
        <w:snapToGrid w:val="0"/>
        <w:ind w:firstLine="420" w:firstLineChars="200"/>
        <w:rPr>
          <w:rFonts w:ascii="黑体" w:eastAsia="黑体"/>
          <w:color w:val="000000"/>
          <w:szCs w:val="21"/>
        </w:rPr>
      </w:pPr>
      <w:bookmarkStart w:id="144" w:name="_Hlk71646676"/>
      <w:bookmarkStart w:id="145" w:name="_Hlk71646605"/>
      <w:bookmarkStart w:id="146" w:name="_Hlk71646583"/>
      <w:r>
        <w:rPr>
          <w:rFonts w:hint="eastAsia" w:ascii="黑体" w:eastAsia="黑体"/>
          <w:color w:val="000000"/>
          <w:szCs w:val="21"/>
        </w:rPr>
        <w:t>就地热回收沥青路面材料  hot in-place reclaimed asphalt pavement，简称H-RAP</w:t>
      </w:r>
      <w:bookmarkEnd w:id="144"/>
    </w:p>
    <w:bookmarkEnd w:id="145"/>
    <w:p>
      <w:pPr>
        <w:pStyle w:val="25"/>
        <w:rPr>
          <w:rFonts w:hAnsi="宋体" w:cs="宋体"/>
          <w:color w:val="000000"/>
          <w:szCs w:val="21"/>
        </w:rPr>
      </w:pPr>
      <w:bookmarkStart w:id="147" w:name="_Toc535603251"/>
      <w:bookmarkEnd w:id="147"/>
      <w:bookmarkStart w:id="148" w:name="_Hlk71646695"/>
      <w:r>
        <w:rPr>
          <w:rFonts w:hint="eastAsia" w:hAnsi="宋体"/>
          <w:color w:val="000000"/>
          <w:szCs w:val="21"/>
        </w:rPr>
        <w:t>对沥青路面就地加热、翻松后获得不打碎原集料的原路面材料。</w:t>
      </w:r>
      <w:bookmarkEnd w:id="146"/>
      <w:bookmarkEnd w:id="148"/>
    </w:p>
    <w:p>
      <w:pPr>
        <w:pStyle w:val="54"/>
        <w:spacing w:before="156" w:after="156"/>
        <w:ind w:left="0"/>
      </w:pPr>
      <w:bookmarkStart w:id="149" w:name="_Toc49761342"/>
      <w:bookmarkEnd w:id="149"/>
    </w:p>
    <w:p>
      <w:pPr>
        <w:widowControl/>
        <w:adjustRightInd w:val="0"/>
        <w:snapToGrid w:val="0"/>
        <w:ind w:firstLine="420" w:firstLineChars="200"/>
        <w:rPr>
          <w:rFonts w:ascii="黑体" w:eastAsia="黑体"/>
          <w:color w:val="000000"/>
          <w:szCs w:val="21"/>
        </w:rPr>
      </w:pPr>
      <w:bookmarkStart w:id="150" w:name="_Hlk71646708"/>
      <w:r>
        <w:rPr>
          <w:rFonts w:hint="eastAsia" w:ascii="黑体" w:eastAsia="黑体"/>
          <w:color w:val="000000"/>
          <w:szCs w:val="21"/>
        </w:rPr>
        <w:t>沥青再生剂  asphalt recycling agent</w:t>
      </w:r>
      <w:bookmarkEnd w:id="150"/>
    </w:p>
    <w:p>
      <w:pPr>
        <w:pStyle w:val="25"/>
        <w:rPr>
          <w:rFonts w:hAnsi="宋体"/>
          <w:szCs w:val="21"/>
        </w:rPr>
      </w:pPr>
      <w:bookmarkStart w:id="151" w:name="_Hlk71646722"/>
      <w:r>
        <w:rPr>
          <w:rFonts w:hint="eastAsia" w:hAnsi="宋体"/>
          <w:color w:val="000000"/>
          <w:szCs w:val="21"/>
        </w:rPr>
        <w:t>掺加到原路面沥青混合料中，用以恢复已老化沥青性能的添加剂。</w:t>
      </w:r>
      <w:bookmarkEnd w:id="151"/>
    </w:p>
    <w:p>
      <w:pPr>
        <w:pStyle w:val="54"/>
        <w:spacing w:before="156" w:after="156"/>
        <w:ind w:left="0"/>
      </w:pPr>
    </w:p>
    <w:p>
      <w:pPr>
        <w:widowControl/>
        <w:adjustRightInd w:val="0"/>
        <w:snapToGrid w:val="0"/>
        <w:ind w:firstLine="420" w:firstLineChars="200"/>
        <w:rPr>
          <w:rFonts w:ascii="黑体" w:eastAsia="黑体"/>
          <w:color w:val="000000"/>
          <w:szCs w:val="21"/>
        </w:rPr>
      </w:pPr>
      <w:bookmarkStart w:id="152" w:name="_Hlk71646733"/>
      <w:r>
        <w:rPr>
          <w:rFonts w:hint="eastAsia" w:ascii="黑体" w:eastAsia="黑体"/>
          <w:color w:val="000000"/>
          <w:szCs w:val="21"/>
        </w:rPr>
        <w:t>再生沥青混合料  recycled asphalt mixture</w:t>
      </w:r>
      <w:bookmarkEnd w:id="152"/>
    </w:p>
    <w:p>
      <w:pPr>
        <w:pStyle w:val="25"/>
        <w:rPr>
          <w:rFonts w:hAnsi="宋体"/>
          <w:szCs w:val="21"/>
        </w:rPr>
      </w:pPr>
      <w:bookmarkStart w:id="153" w:name="_Toc535603253"/>
      <w:bookmarkEnd w:id="153"/>
      <w:bookmarkStart w:id="154" w:name="_Hlk71646748"/>
      <w:r>
        <w:rPr>
          <w:rFonts w:hint="eastAsia" w:hAnsi="宋体"/>
          <w:szCs w:val="21"/>
        </w:rPr>
        <w:t>特指含有就地热回收沥青路面材料（H-RAP）的沥青混合料。</w:t>
      </w:r>
      <w:bookmarkEnd w:id="154"/>
    </w:p>
    <w:p>
      <w:pPr>
        <w:pStyle w:val="54"/>
        <w:spacing w:before="156" w:after="156"/>
        <w:ind w:left="0"/>
      </w:pPr>
      <w:bookmarkStart w:id="155" w:name="_Toc49761344"/>
      <w:bookmarkEnd w:id="155"/>
    </w:p>
    <w:p>
      <w:pPr>
        <w:widowControl/>
        <w:adjustRightInd w:val="0"/>
        <w:snapToGrid w:val="0"/>
        <w:ind w:firstLine="420" w:firstLineChars="200"/>
        <w:rPr>
          <w:rFonts w:ascii="黑体" w:eastAsia="黑体"/>
          <w:color w:val="000000"/>
          <w:szCs w:val="21"/>
        </w:rPr>
      </w:pPr>
      <w:bookmarkStart w:id="156" w:name="_Hlk71646763"/>
      <w:r>
        <w:rPr>
          <w:rFonts w:hint="eastAsia" w:ascii="黑体" w:eastAsia="黑体"/>
          <w:color w:val="000000"/>
          <w:szCs w:val="21"/>
        </w:rPr>
        <w:t>热黏结  hot bonding</w:t>
      </w:r>
      <w:bookmarkEnd w:id="156"/>
    </w:p>
    <w:p>
      <w:pPr>
        <w:pStyle w:val="25"/>
        <w:rPr>
          <w:rFonts w:hAnsi="宋体"/>
          <w:szCs w:val="21"/>
        </w:rPr>
      </w:pPr>
      <w:bookmarkStart w:id="157" w:name="_Toc535603254"/>
      <w:bookmarkEnd w:id="157"/>
      <w:bookmarkStart w:id="158" w:name="_Hlk71646783"/>
      <w:r>
        <w:rPr>
          <w:rFonts w:hint="eastAsia" w:hAnsi="宋体"/>
          <w:szCs w:val="21"/>
        </w:rPr>
        <w:t>通过加热，使原路面的沥青层与新铺的沥青层处于热态，通过碾压使界面处集料相互嵌挤，保证层间热态黏结。</w:t>
      </w:r>
      <w:bookmarkEnd w:id="158"/>
    </w:p>
    <w:p>
      <w:pPr>
        <w:pStyle w:val="54"/>
        <w:spacing w:before="156" w:after="156"/>
        <w:ind w:left="0"/>
      </w:pPr>
      <w:bookmarkStart w:id="159" w:name="_Toc49761345"/>
      <w:bookmarkEnd w:id="159"/>
    </w:p>
    <w:p>
      <w:pPr>
        <w:widowControl/>
        <w:adjustRightInd w:val="0"/>
        <w:snapToGrid w:val="0"/>
        <w:ind w:firstLine="420" w:firstLineChars="200"/>
        <w:rPr>
          <w:rFonts w:ascii="黑体" w:eastAsia="黑体"/>
          <w:color w:val="000000"/>
          <w:szCs w:val="21"/>
        </w:rPr>
      </w:pPr>
      <w:bookmarkStart w:id="160" w:name="_Hlk71646796"/>
      <w:r>
        <w:rPr>
          <w:rFonts w:hint="eastAsia" w:ascii="黑体" w:eastAsia="黑体"/>
          <w:color w:val="000000"/>
          <w:szCs w:val="21"/>
        </w:rPr>
        <w:t>弱接缝和弱界面  weak joint and weak interface</w:t>
      </w:r>
      <w:bookmarkEnd w:id="160"/>
    </w:p>
    <w:p>
      <w:pPr>
        <w:pStyle w:val="25"/>
        <w:rPr>
          <w:rFonts w:hAnsi="宋体" w:cs="宋体"/>
          <w:szCs w:val="21"/>
        </w:rPr>
      </w:pPr>
      <w:bookmarkStart w:id="161" w:name="_Toc535603255"/>
      <w:bookmarkEnd w:id="161"/>
      <w:r>
        <w:rPr>
          <w:rFonts w:hint="eastAsia" w:hAnsi="宋体"/>
          <w:szCs w:val="21"/>
        </w:rPr>
        <w:t>新沥青混合料和未经加热而被扰动的原路面沥青混合料结合的接缝和界面，这种接缝和界面一般无粗集料相互嵌挤作用。</w:t>
      </w:r>
    </w:p>
    <w:p>
      <w:pPr>
        <w:pStyle w:val="54"/>
        <w:spacing w:before="156" w:after="156"/>
        <w:ind w:left="0"/>
      </w:pPr>
      <w:bookmarkStart w:id="162" w:name="_Toc49761346"/>
      <w:bookmarkEnd w:id="162"/>
    </w:p>
    <w:p>
      <w:pPr>
        <w:widowControl/>
        <w:adjustRightInd w:val="0"/>
        <w:snapToGrid w:val="0"/>
        <w:ind w:firstLine="420" w:firstLineChars="200"/>
        <w:rPr>
          <w:rFonts w:ascii="黑体" w:eastAsia="黑体"/>
          <w:color w:val="000000"/>
          <w:szCs w:val="21"/>
        </w:rPr>
      </w:pPr>
      <w:r>
        <w:rPr>
          <w:rFonts w:hint="eastAsia" w:ascii="黑体" w:eastAsia="黑体"/>
          <w:color w:val="000000"/>
          <w:szCs w:val="21"/>
        </w:rPr>
        <w:t>间歇式加热  intermittent heating</w:t>
      </w:r>
    </w:p>
    <w:p>
      <w:pPr>
        <w:pStyle w:val="25"/>
        <w:rPr>
          <w:rFonts w:hAnsi="宋体"/>
          <w:szCs w:val="21"/>
        </w:rPr>
      </w:pPr>
      <w:bookmarkStart w:id="163" w:name="_Toc535603257"/>
      <w:r>
        <w:rPr>
          <w:rFonts w:hint="eastAsia" w:hAnsi="宋体"/>
          <w:szCs w:val="21"/>
        </w:rPr>
        <w:t>两次加热之间具有短暂停顿的加热方式，可以在保证施工温度的前提下，避免使沥青路面出现过热现象，并确保同一深度沥青路面材料温度的均匀性。</w:t>
      </w:r>
    </w:p>
    <w:p>
      <w:pPr>
        <w:pStyle w:val="54"/>
        <w:spacing w:before="156" w:after="156"/>
        <w:ind w:left="0"/>
      </w:pPr>
    </w:p>
    <w:p>
      <w:pPr>
        <w:widowControl/>
        <w:adjustRightInd w:val="0"/>
        <w:snapToGrid w:val="0"/>
        <w:ind w:firstLine="420" w:firstLineChars="200"/>
        <w:rPr>
          <w:rFonts w:ascii="黑体" w:eastAsia="黑体"/>
          <w:color w:val="000000"/>
          <w:szCs w:val="21"/>
        </w:rPr>
      </w:pPr>
      <w:r>
        <w:rPr>
          <w:rFonts w:hint="eastAsia" w:ascii="黑体" w:eastAsia="黑体"/>
          <w:color w:val="000000"/>
          <w:szCs w:val="21"/>
        </w:rPr>
        <w:t>加热墙  heating panel</w:t>
      </w:r>
    </w:p>
    <w:p>
      <w:pPr>
        <w:pStyle w:val="25"/>
        <w:rPr>
          <w:rFonts w:hAnsi="宋体"/>
          <w:szCs w:val="21"/>
        </w:rPr>
      </w:pPr>
      <w:r>
        <w:rPr>
          <w:rFonts w:hint="eastAsia" w:hAnsi="宋体"/>
          <w:szCs w:val="21"/>
        </w:rPr>
        <w:t>一种间歇式热辐射平面型加热装置。</w:t>
      </w:r>
    </w:p>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43"/>
    <w:bookmarkEnd w:id="163"/>
    <w:p>
      <w:pPr>
        <w:pStyle w:val="57"/>
        <w:spacing w:before="312" w:after="312"/>
        <w:outlineLvl w:val="0"/>
      </w:pPr>
      <w:r>
        <w:rPr>
          <w:rFonts w:hint="eastAsia"/>
        </w:rPr>
        <w:t>基本规定</w:t>
      </w:r>
    </w:p>
    <w:p>
      <w:pPr>
        <w:pStyle w:val="58"/>
        <w:numPr>
          <w:ilvl w:val="0"/>
          <w:numId w:val="0"/>
        </w:numPr>
        <w:spacing w:before="0" w:beforeLines="0" w:after="0" w:afterLines="0"/>
        <w:outlineLvl w:val="9"/>
      </w:pPr>
      <w:bookmarkStart w:id="164" w:name="_Toc49760830"/>
      <w:bookmarkStart w:id="165" w:name="_Toc49761351"/>
      <w:r>
        <w:rPr>
          <w:rFonts w:hint="eastAsia" w:hAnsi="黑体" w:cs="黑体"/>
        </w:rPr>
        <w:t>4.0.1</w:t>
      </w:r>
      <w:r>
        <w:rPr>
          <w:rFonts w:hAnsi="黑体" w:cs="黑体"/>
        </w:rPr>
        <w:t xml:space="preserve">  </w:t>
      </w:r>
      <w:r>
        <w:rPr>
          <w:rFonts w:hint="eastAsia" w:ascii="宋体" w:eastAsia="宋体"/>
        </w:rPr>
        <w:t>沥青路面就地热再生技术主要应用于沥青路面养护和沥青路面改扩建工程，除严重损坏导致无法正常使用的情况外，对裂缝、推移、车辙、抗滑与平整度指标严重下降等路面病害均具有良好的处治效果，原路面应具备下列条件：</w:t>
      </w:r>
    </w:p>
    <w:p>
      <w:pPr>
        <w:pStyle w:val="60"/>
        <w:numPr>
          <w:ilvl w:val="0"/>
          <w:numId w:val="18"/>
        </w:numPr>
        <w:rPr>
          <w:szCs w:val="21"/>
        </w:rPr>
      </w:pPr>
      <w:r>
        <w:rPr>
          <w:rFonts w:hint="eastAsia"/>
          <w:szCs w:val="21"/>
        </w:rPr>
        <w:t>整体强度满足使用要求。</w:t>
      </w:r>
    </w:p>
    <w:p>
      <w:pPr>
        <w:pStyle w:val="60"/>
        <w:numPr>
          <w:ilvl w:val="0"/>
          <w:numId w:val="18"/>
        </w:numPr>
        <w:rPr>
          <w:szCs w:val="21"/>
        </w:rPr>
      </w:pPr>
      <w:r>
        <w:rPr>
          <w:rFonts w:hint="eastAsia"/>
          <w:szCs w:val="21"/>
        </w:rPr>
        <w:t>病害主要集中在沥青路面表面层，通过再生施工使用功能可得到有效恢复。</w:t>
      </w:r>
    </w:p>
    <w:p>
      <w:pPr>
        <w:pStyle w:val="60"/>
        <w:numPr>
          <w:ilvl w:val="0"/>
          <w:numId w:val="18"/>
        </w:numPr>
        <w:rPr>
          <w:szCs w:val="21"/>
        </w:rPr>
      </w:pPr>
      <w:r>
        <w:rPr>
          <w:rFonts w:hint="eastAsia"/>
          <w:szCs w:val="21"/>
        </w:rPr>
        <w:t>沥青路面存在局部深层病害时，必须对其进行预处理后，再采用就地热再生技术进行处治。</w:t>
      </w:r>
    </w:p>
    <w:p>
      <w:pPr>
        <w:pStyle w:val="60"/>
        <w:numPr>
          <w:ilvl w:val="0"/>
          <w:numId w:val="0"/>
        </w:numPr>
        <w:rPr>
          <w:rFonts w:ascii="黑体" w:hAnsi="黑体" w:eastAsia="黑体" w:cs="黑体"/>
          <w:szCs w:val="21"/>
        </w:rPr>
      </w:pPr>
      <w:r>
        <w:rPr>
          <w:rFonts w:hint="eastAsia" w:ascii="黑体" w:hAnsi="黑体" w:eastAsia="黑体" w:cs="黑体"/>
          <w:szCs w:val="21"/>
        </w:rPr>
        <w:t>4.0.2</w:t>
      </w:r>
      <w:bookmarkEnd w:id="164"/>
      <w:bookmarkEnd w:id="165"/>
      <w:r>
        <w:rPr>
          <w:rFonts w:ascii="黑体" w:hAnsi="黑体" w:eastAsia="黑体" w:cs="黑体"/>
          <w:szCs w:val="21"/>
        </w:rPr>
        <w:t xml:space="preserve">  </w:t>
      </w:r>
      <w:r>
        <w:rPr>
          <w:szCs w:val="21"/>
        </w:rPr>
        <w:t>在道路养护、改扩建时，应综合考虑原沥青路面状况和使用条件等因素，在保证工程质量和工期的前提下，宜优先采用就地热再生技术。</w:t>
      </w:r>
    </w:p>
    <w:p>
      <w:pPr>
        <w:pStyle w:val="60"/>
        <w:numPr>
          <w:ilvl w:val="0"/>
          <w:numId w:val="0"/>
        </w:numPr>
        <w:rPr>
          <w:szCs w:val="21"/>
        </w:rPr>
      </w:pPr>
      <w:r>
        <w:rPr>
          <w:rFonts w:ascii="黑体" w:hAnsi="黑体" w:eastAsia="黑体" w:cs="黑体"/>
          <w:szCs w:val="21"/>
        </w:rPr>
        <w:t xml:space="preserve">4.0.3  </w:t>
      </w:r>
      <w:r>
        <w:rPr>
          <w:szCs w:val="21"/>
        </w:rPr>
        <w:t>施工单位应按照合同文件、设计文件和有关标准、标准要求，组织有关技术管理人员深入调查，做好施工准备工作。</w:t>
      </w:r>
    </w:p>
    <w:p>
      <w:pPr>
        <w:pStyle w:val="60"/>
        <w:numPr>
          <w:ilvl w:val="0"/>
          <w:numId w:val="0"/>
        </w:numPr>
        <w:rPr>
          <w:szCs w:val="21"/>
        </w:rPr>
      </w:pPr>
      <w:r>
        <w:rPr>
          <w:rFonts w:ascii="黑体" w:hAnsi="黑体" w:eastAsia="黑体" w:cs="黑体"/>
          <w:szCs w:val="21"/>
        </w:rPr>
        <w:t xml:space="preserve">4.0.4  </w:t>
      </w:r>
      <w:r>
        <w:rPr>
          <w:szCs w:val="21"/>
        </w:rPr>
        <w:t>施工单位在开工前应编制施工组织设计，施工组织设计必须按规定程序审批后执行，有变更时要办理变更审批。</w:t>
      </w:r>
    </w:p>
    <w:p>
      <w:pPr>
        <w:pStyle w:val="60"/>
        <w:numPr>
          <w:ilvl w:val="0"/>
          <w:numId w:val="0"/>
        </w:numPr>
        <w:rPr>
          <w:szCs w:val="21"/>
        </w:rPr>
      </w:pPr>
      <w:r>
        <w:rPr>
          <w:rFonts w:ascii="黑体" w:hAnsi="黑体" w:eastAsia="黑体" w:cs="黑体"/>
          <w:szCs w:val="21"/>
        </w:rPr>
        <w:t xml:space="preserve">4.0.5  </w:t>
      </w:r>
      <w:r>
        <w:rPr>
          <w:szCs w:val="21"/>
        </w:rPr>
        <w:t>施工单位必须遵守国家和地方政府有关环境保护的法律、法规，采取有效措施控制施工现场的各种粉尘、废气、废弃物以及噪声、震动对环境造成的污染和危害。</w:t>
      </w:r>
    </w:p>
    <w:p>
      <w:pPr>
        <w:pStyle w:val="60"/>
        <w:numPr>
          <w:ilvl w:val="0"/>
          <w:numId w:val="0"/>
        </w:numPr>
        <w:rPr>
          <w:szCs w:val="21"/>
        </w:rPr>
      </w:pPr>
      <w:r>
        <w:rPr>
          <w:rFonts w:ascii="黑体" w:hAnsi="黑体" w:eastAsia="黑体" w:cs="黑体"/>
          <w:szCs w:val="21"/>
        </w:rPr>
        <w:t xml:space="preserve">4.0.6  </w:t>
      </w:r>
      <w:r>
        <w:rPr>
          <w:szCs w:val="21"/>
        </w:rPr>
        <w:t>施工单位应遵守有关施工安全、劳动保护的法律、法规，建立安全管理体系和安全生产责任制，确保安全施工。施工单位应根据设计图纸、合同文件、标准标准等要求组织施工。</w:t>
      </w:r>
    </w:p>
    <w:p>
      <w:pPr>
        <w:pStyle w:val="60"/>
        <w:numPr>
          <w:ilvl w:val="0"/>
          <w:numId w:val="0"/>
        </w:numPr>
        <w:rPr>
          <w:szCs w:val="21"/>
        </w:rPr>
      </w:pPr>
      <w:r>
        <w:rPr>
          <w:rFonts w:ascii="黑体" w:hAnsi="黑体" w:eastAsia="黑体" w:cs="黑体"/>
          <w:szCs w:val="21"/>
        </w:rPr>
        <w:t xml:space="preserve">4.0.7  </w:t>
      </w:r>
      <w:r>
        <w:rPr>
          <w:szCs w:val="21"/>
        </w:rPr>
        <w:t>施工前，应组织施工技术管理人员勘察现场，掌握现场情况，做好充分的施工准备工作。</w:t>
      </w:r>
    </w:p>
    <w:p>
      <w:pPr>
        <w:pStyle w:val="60"/>
        <w:numPr>
          <w:ilvl w:val="0"/>
          <w:numId w:val="0"/>
        </w:numPr>
        <w:rPr>
          <w:szCs w:val="21"/>
        </w:rPr>
      </w:pPr>
      <w:r>
        <w:rPr>
          <w:rFonts w:ascii="黑体" w:hAnsi="黑体" w:eastAsia="黑体" w:cs="黑体"/>
          <w:szCs w:val="21"/>
        </w:rPr>
        <w:t xml:space="preserve">4.0.8  </w:t>
      </w:r>
      <w:r>
        <w:rPr>
          <w:szCs w:val="21"/>
        </w:rPr>
        <w:t>沥青路面就地热再生不得在雨天施工。</w:t>
      </w:r>
    </w:p>
    <w:p>
      <w:pPr>
        <w:pStyle w:val="60"/>
        <w:numPr>
          <w:ilvl w:val="0"/>
          <w:numId w:val="0"/>
        </w:numPr>
        <w:rPr>
          <w:szCs w:val="21"/>
        </w:rPr>
      </w:pPr>
      <w:r>
        <w:rPr>
          <w:rFonts w:ascii="黑体" w:hAnsi="黑体" w:eastAsia="黑体" w:cs="黑体"/>
          <w:szCs w:val="21"/>
        </w:rPr>
        <w:t xml:space="preserve">4.0.9  </w:t>
      </w:r>
      <w:r>
        <w:rPr>
          <w:szCs w:val="21"/>
        </w:rPr>
        <w:t>施工过程中，应做好质量管理及成品保护。</w:t>
      </w:r>
    </w:p>
    <w:p>
      <w:pPr>
        <w:pStyle w:val="60"/>
        <w:numPr>
          <w:ilvl w:val="0"/>
          <w:numId w:val="0"/>
        </w:numPr>
        <w:rPr>
          <w:rFonts w:ascii="黑体" w:hAnsi="黑体" w:eastAsia="黑体" w:cs="黑体"/>
          <w:szCs w:val="21"/>
        </w:rPr>
      </w:pPr>
      <w:r>
        <w:rPr>
          <w:rFonts w:ascii="黑体" w:hAnsi="黑体" w:eastAsia="黑体" w:cs="黑体"/>
          <w:szCs w:val="21"/>
        </w:rPr>
        <w:t xml:space="preserve">4.0.10 </w:t>
      </w:r>
      <w:r>
        <w:rPr>
          <w:szCs w:val="21"/>
        </w:rPr>
        <w:t>工程完成后，施工单位应进行自检，并在自检合格的基础上，将竣工资料、自检结果报监理和建设单位申请验收。建设单位应依相关规定及时组织相关单位进行工程竣工验收。</w:t>
      </w:r>
    </w:p>
    <w:p>
      <w:pPr>
        <w:pStyle w:val="57"/>
        <w:spacing w:before="312" w:after="312"/>
        <w:outlineLvl w:val="0"/>
      </w:pPr>
      <w:r>
        <w:rPr>
          <w:rFonts w:hint="eastAsia"/>
        </w:rPr>
        <w:t>材料要求</w:t>
      </w:r>
    </w:p>
    <w:p>
      <w:pPr>
        <w:pStyle w:val="60"/>
        <w:numPr>
          <w:ilvl w:val="0"/>
          <w:numId w:val="0"/>
        </w:numPr>
        <w:rPr>
          <w:szCs w:val="21"/>
        </w:rPr>
      </w:pPr>
      <w:bookmarkStart w:id="166" w:name="_Toc49760853"/>
      <w:bookmarkStart w:id="167" w:name="_Toc49761379"/>
      <w:r>
        <w:rPr>
          <w:rFonts w:hint="eastAsia" w:ascii="黑体" w:hAnsi="黑体" w:eastAsia="黑体" w:cs="黑体"/>
          <w:szCs w:val="21"/>
        </w:rPr>
        <w:t>5.0.1</w:t>
      </w:r>
      <w:bookmarkEnd w:id="166"/>
      <w:bookmarkEnd w:id="167"/>
      <w:r>
        <w:rPr>
          <w:rFonts w:ascii="黑体" w:hAnsi="黑体" w:eastAsia="黑体" w:cs="黑体"/>
          <w:szCs w:val="21"/>
        </w:rPr>
        <w:t xml:space="preserve">  </w:t>
      </w:r>
      <w:r>
        <w:rPr>
          <w:szCs w:val="21"/>
        </w:rPr>
        <w:t>就地热再生施工所用材料包括就地热回收沥青路面材料、沥青再生剂、新沥青、新沥青混合料和其他外加剂。</w:t>
      </w:r>
    </w:p>
    <w:p>
      <w:pPr>
        <w:pStyle w:val="60"/>
        <w:numPr>
          <w:ilvl w:val="0"/>
          <w:numId w:val="0"/>
        </w:numPr>
        <w:rPr>
          <w:szCs w:val="21"/>
        </w:rPr>
      </w:pPr>
      <w:r>
        <w:rPr>
          <w:rFonts w:ascii="黑体" w:hAnsi="黑体" w:eastAsia="黑体" w:cs="黑体"/>
          <w:szCs w:val="21"/>
        </w:rPr>
        <w:t xml:space="preserve">5.0.2  </w:t>
      </w:r>
      <w:r>
        <w:rPr>
          <w:szCs w:val="21"/>
        </w:rPr>
        <w:t>就地热回收沥青路面材料中的旧沥青针入度宜不小于15（0.01mm）。</w:t>
      </w:r>
    </w:p>
    <w:p>
      <w:pPr>
        <w:pStyle w:val="60"/>
        <w:numPr>
          <w:ilvl w:val="0"/>
          <w:numId w:val="0"/>
        </w:numPr>
        <w:rPr>
          <w:szCs w:val="21"/>
        </w:rPr>
      </w:pPr>
      <w:r>
        <w:rPr>
          <w:rFonts w:ascii="黑体" w:hAnsi="黑体" w:eastAsia="黑体" w:cs="黑体"/>
          <w:szCs w:val="21"/>
        </w:rPr>
        <w:t xml:space="preserve">5.0.3  </w:t>
      </w:r>
      <w:r>
        <w:rPr>
          <w:szCs w:val="21"/>
        </w:rPr>
        <w:t>沥青再生剂应符合下列要求：</w:t>
      </w:r>
    </w:p>
    <w:p>
      <w:pPr>
        <w:pStyle w:val="60"/>
        <w:numPr>
          <w:ilvl w:val="0"/>
          <w:numId w:val="19"/>
        </w:numPr>
        <w:rPr>
          <w:szCs w:val="21"/>
        </w:rPr>
      </w:pPr>
      <w:r>
        <w:rPr>
          <w:szCs w:val="21"/>
        </w:rPr>
        <w:t>沥青再生剂质量应符合表1的要求。</w:t>
      </w:r>
    </w:p>
    <w:p>
      <w:pPr>
        <w:pStyle w:val="138"/>
        <w:widowControl w:val="0"/>
        <w:spacing w:before="156" w:after="156"/>
        <w:rPr>
          <w:szCs w:val="21"/>
        </w:rPr>
      </w:pPr>
      <w:r>
        <w:rPr>
          <w:szCs w:val="21"/>
        </w:rPr>
        <w:t>沥青再生剂质量要求</w:t>
      </w:r>
    </w:p>
    <w:tbl>
      <w:tblPr>
        <w:tblStyle w:val="34"/>
        <w:tblpPr w:leftFromText="180" w:rightFromText="180" w:vertAnchor="text" w:horzAnchor="margin" w:tblpXSpec="center" w:tblpY="41"/>
        <w:tblW w:w="5000" w:type="pct"/>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4420"/>
        <w:gridCol w:w="1960"/>
        <w:gridCol w:w="319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3" w:hRule="atLeast"/>
          <w:tblHeader/>
        </w:trPr>
        <w:tc>
          <w:tcPr>
            <w:tcW w:w="2309" w:type="pct"/>
            <w:vAlign w:val="center"/>
          </w:tcPr>
          <w:p>
            <w:pPr>
              <w:pStyle w:val="25"/>
              <w:ind w:firstLine="0" w:firstLineChars="0"/>
              <w:jc w:val="center"/>
              <w:rPr>
                <w:b/>
                <w:bCs/>
                <w:sz w:val="18"/>
                <w:szCs w:val="18"/>
              </w:rPr>
            </w:pPr>
            <w:r>
              <w:rPr>
                <w:b/>
                <w:bCs/>
                <w:sz w:val="18"/>
                <w:szCs w:val="18"/>
              </w:rPr>
              <w:t>试验项目</w:t>
            </w:r>
          </w:p>
        </w:tc>
        <w:tc>
          <w:tcPr>
            <w:tcW w:w="1024" w:type="pct"/>
            <w:vAlign w:val="center"/>
          </w:tcPr>
          <w:p>
            <w:pPr>
              <w:pStyle w:val="25"/>
              <w:ind w:firstLine="0" w:firstLineChars="0"/>
              <w:jc w:val="center"/>
              <w:rPr>
                <w:b/>
                <w:bCs/>
                <w:sz w:val="18"/>
                <w:szCs w:val="18"/>
              </w:rPr>
            </w:pPr>
            <w:r>
              <w:rPr>
                <w:b/>
                <w:bCs/>
                <w:sz w:val="18"/>
                <w:szCs w:val="18"/>
              </w:rPr>
              <w:t>质量要求</w:t>
            </w:r>
          </w:p>
        </w:tc>
        <w:tc>
          <w:tcPr>
            <w:tcW w:w="1667" w:type="pct"/>
            <w:vAlign w:val="center"/>
          </w:tcPr>
          <w:p>
            <w:pPr>
              <w:pStyle w:val="25"/>
              <w:ind w:firstLine="0" w:firstLineChars="0"/>
              <w:jc w:val="center"/>
              <w:rPr>
                <w:b/>
                <w:bCs/>
                <w:sz w:val="18"/>
                <w:szCs w:val="18"/>
              </w:rPr>
            </w:pPr>
            <w:r>
              <w:rPr>
                <w:b/>
                <w:bCs/>
                <w:sz w:val="18"/>
                <w:szCs w:val="18"/>
              </w:rPr>
              <w:t>试验方法</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3" w:hRule="atLeast"/>
          <w:tblHeader/>
        </w:trPr>
        <w:tc>
          <w:tcPr>
            <w:tcW w:w="2309" w:type="pct"/>
            <w:vAlign w:val="center"/>
          </w:tcPr>
          <w:p>
            <w:pPr>
              <w:pStyle w:val="25"/>
              <w:ind w:firstLine="0" w:firstLineChars="0"/>
              <w:jc w:val="center"/>
              <w:rPr>
                <w:sz w:val="18"/>
                <w:szCs w:val="18"/>
              </w:rPr>
            </w:pPr>
            <w:r>
              <w:rPr>
                <w:sz w:val="18"/>
                <w:szCs w:val="18"/>
              </w:rPr>
              <w:t>60℃运动黏度（mm</w:t>
            </w:r>
            <w:r>
              <w:rPr>
                <w:sz w:val="18"/>
                <w:szCs w:val="18"/>
                <w:vertAlign w:val="superscript"/>
              </w:rPr>
              <w:t>2</w:t>
            </w:r>
            <w:r>
              <w:rPr>
                <w:sz w:val="18"/>
                <w:szCs w:val="18"/>
              </w:rPr>
              <w:t>/s）</w:t>
            </w:r>
          </w:p>
        </w:tc>
        <w:tc>
          <w:tcPr>
            <w:tcW w:w="1024" w:type="pct"/>
            <w:vAlign w:val="center"/>
          </w:tcPr>
          <w:p>
            <w:pPr>
              <w:pStyle w:val="25"/>
              <w:ind w:firstLine="0" w:firstLineChars="0"/>
              <w:jc w:val="center"/>
              <w:rPr>
                <w:sz w:val="18"/>
                <w:szCs w:val="18"/>
              </w:rPr>
            </w:pPr>
            <w:r>
              <w:rPr>
                <w:sz w:val="18"/>
                <w:szCs w:val="18"/>
              </w:rPr>
              <w:t>≥50</w:t>
            </w:r>
          </w:p>
        </w:tc>
        <w:tc>
          <w:tcPr>
            <w:tcW w:w="1667" w:type="pct"/>
            <w:vAlign w:val="center"/>
          </w:tcPr>
          <w:p>
            <w:pPr>
              <w:pStyle w:val="25"/>
              <w:ind w:firstLine="0" w:firstLineChars="0"/>
              <w:jc w:val="center"/>
              <w:rPr>
                <w:sz w:val="18"/>
                <w:szCs w:val="18"/>
              </w:rPr>
            </w:pPr>
            <w:r>
              <w:rPr>
                <w:sz w:val="18"/>
                <w:szCs w:val="18"/>
              </w:rPr>
              <w:t>T0619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3" w:hRule="atLeast"/>
          <w:tblHeader/>
        </w:trPr>
        <w:tc>
          <w:tcPr>
            <w:tcW w:w="2309" w:type="pct"/>
            <w:vAlign w:val="center"/>
          </w:tcPr>
          <w:p>
            <w:pPr>
              <w:pStyle w:val="25"/>
              <w:ind w:firstLine="0" w:firstLineChars="0"/>
              <w:jc w:val="center"/>
              <w:rPr>
                <w:sz w:val="18"/>
                <w:szCs w:val="18"/>
              </w:rPr>
            </w:pPr>
            <w:r>
              <w:rPr>
                <w:sz w:val="18"/>
                <w:szCs w:val="18"/>
              </w:rPr>
              <w:t>闪点（℃）</w:t>
            </w:r>
          </w:p>
        </w:tc>
        <w:tc>
          <w:tcPr>
            <w:tcW w:w="1024" w:type="pct"/>
            <w:vAlign w:val="center"/>
          </w:tcPr>
          <w:p>
            <w:pPr>
              <w:pStyle w:val="25"/>
              <w:ind w:firstLine="0" w:firstLineChars="0"/>
              <w:jc w:val="center"/>
              <w:rPr>
                <w:sz w:val="18"/>
                <w:szCs w:val="18"/>
              </w:rPr>
            </w:pPr>
            <w:r>
              <w:rPr>
                <w:sz w:val="18"/>
                <w:szCs w:val="18"/>
              </w:rPr>
              <w:t>≥220</w:t>
            </w:r>
          </w:p>
        </w:tc>
        <w:tc>
          <w:tcPr>
            <w:tcW w:w="1667" w:type="pct"/>
            <w:vAlign w:val="center"/>
          </w:tcPr>
          <w:p>
            <w:pPr>
              <w:pStyle w:val="25"/>
              <w:ind w:firstLine="0" w:firstLineChars="0"/>
              <w:jc w:val="center"/>
              <w:rPr>
                <w:sz w:val="18"/>
                <w:szCs w:val="18"/>
              </w:rPr>
            </w:pPr>
            <w:r>
              <w:rPr>
                <w:sz w:val="18"/>
                <w:szCs w:val="18"/>
              </w:rPr>
              <w:t>T0633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3" w:hRule="atLeast"/>
          <w:tblHeader/>
        </w:trPr>
        <w:tc>
          <w:tcPr>
            <w:tcW w:w="2309" w:type="pct"/>
            <w:vAlign w:val="center"/>
          </w:tcPr>
          <w:p>
            <w:pPr>
              <w:pStyle w:val="25"/>
              <w:ind w:firstLine="0" w:firstLineChars="0"/>
              <w:jc w:val="center"/>
              <w:rPr>
                <w:sz w:val="18"/>
                <w:szCs w:val="18"/>
              </w:rPr>
            </w:pPr>
            <w:r>
              <w:rPr>
                <w:sz w:val="18"/>
                <w:szCs w:val="18"/>
              </w:rPr>
              <w:t>饱和分含量（%）</w:t>
            </w:r>
          </w:p>
        </w:tc>
        <w:tc>
          <w:tcPr>
            <w:tcW w:w="1024" w:type="pct"/>
            <w:vAlign w:val="center"/>
          </w:tcPr>
          <w:p>
            <w:pPr>
              <w:pStyle w:val="25"/>
              <w:ind w:firstLine="0" w:firstLineChars="0"/>
              <w:jc w:val="center"/>
              <w:rPr>
                <w:sz w:val="18"/>
                <w:szCs w:val="18"/>
              </w:rPr>
            </w:pPr>
            <w:r>
              <w:rPr>
                <w:sz w:val="18"/>
                <w:szCs w:val="18"/>
              </w:rPr>
              <w:t>≤30</w:t>
            </w:r>
          </w:p>
        </w:tc>
        <w:tc>
          <w:tcPr>
            <w:tcW w:w="1667" w:type="pct"/>
            <w:vAlign w:val="center"/>
          </w:tcPr>
          <w:p>
            <w:pPr>
              <w:pStyle w:val="25"/>
              <w:ind w:firstLine="0" w:firstLineChars="0"/>
              <w:jc w:val="center"/>
              <w:rPr>
                <w:sz w:val="18"/>
                <w:szCs w:val="18"/>
              </w:rPr>
            </w:pPr>
            <w:r>
              <w:rPr>
                <w:sz w:val="18"/>
                <w:szCs w:val="18"/>
              </w:rPr>
              <w:t>T0618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3" w:hRule="atLeast"/>
          <w:tblHeader/>
        </w:trPr>
        <w:tc>
          <w:tcPr>
            <w:tcW w:w="2309" w:type="pct"/>
            <w:vAlign w:val="center"/>
          </w:tcPr>
          <w:p>
            <w:pPr>
              <w:pStyle w:val="25"/>
              <w:ind w:firstLine="0" w:firstLineChars="0"/>
              <w:jc w:val="center"/>
              <w:rPr>
                <w:sz w:val="18"/>
                <w:szCs w:val="18"/>
              </w:rPr>
            </w:pPr>
            <w:r>
              <w:rPr>
                <w:sz w:val="18"/>
                <w:szCs w:val="18"/>
              </w:rPr>
              <w:t>芳香分含量（%）</w:t>
            </w:r>
          </w:p>
        </w:tc>
        <w:tc>
          <w:tcPr>
            <w:tcW w:w="1024" w:type="pct"/>
            <w:vAlign w:val="center"/>
          </w:tcPr>
          <w:p>
            <w:pPr>
              <w:pStyle w:val="25"/>
              <w:ind w:firstLine="0" w:firstLineChars="0"/>
              <w:jc w:val="center"/>
              <w:rPr>
                <w:sz w:val="18"/>
                <w:szCs w:val="18"/>
              </w:rPr>
            </w:pPr>
            <w:r>
              <w:rPr>
                <w:sz w:val="18"/>
                <w:szCs w:val="18"/>
              </w:rPr>
              <w:t>≥60</w:t>
            </w:r>
          </w:p>
        </w:tc>
        <w:tc>
          <w:tcPr>
            <w:tcW w:w="1667" w:type="pct"/>
            <w:vAlign w:val="center"/>
          </w:tcPr>
          <w:p>
            <w:pPr>
              <w:pStyle w:val="25"/>
              <w:ind w:firstLine="0" w:firstLineChars="0"/>
              <w:jc w:val="center"/>
              <w:rPr>
                <w:sz w:val="18"/>
                <w:szCs w:val="18"/>
              </w:rPr>
            </w:pPr>
            <w:r>
              <w:rPr>
                <w:sz w:val="18"/>
                <w:szCs w:val="18"/>
              </w:rPr>
              <w:t>T0618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3" w:hRule="atLeast"/>
          <w:tblHeader/>
        </w:trPr>
        <w:tc>
          <w:tcPr>
            <w:tcW w:w="2309" w:type="pct"/>
            <w:vAlign w:val="center"/>
          </w:tcPr>
          <w:p>
            <w:pPr>
              <w:pStyle w:val="25"/>
              <w:ind w:firstLine="0" w:firstLineChars="0"/>
              <w:jc w:val="center"/>
              <w:rPr>
                <w:sz w:val="18"/>
                <w:szCs w:val="18"/>
              </w:rPr>
            </w:pPr>
            <w:r>
              <w:rPr>
                <w:sz w:val="18"/>
                <w:szCs w:val="18"/>
              </w:rPr>
              <w:t>薄膜烘箱试验前后黏度比（%）</w:t>
            </w:r>
          </w:p>
        </w:tc>
        <w:tc>
          <w:tcPr>
            <w:tcW w:w="1024" w:type="pct"/>
            <w:vAlign w:val="center"/>
          </w:tcPr>
          <w:p>
            <w:pPr>
              <w:pStyle w:val="25"/>
              <w:ind w:firstLine="0" w:firstLineChars="0"/>
              <w:jc w:val="center"/>
              <w:rPr>
                <w:sz w:val="18"/>
                <w:szCs w:val="18"/>
              </w:rPr>
            </w:pPr>
            <w:r>
              <w:rPr>
                <w:sz w:val="18"/>
                <w:szCs w:val="18"/>
              </w:rPr>
              <w:t>≤3</w:t>
            </w:r>
          </w:p>
        </w:tc>
        <w:tc>
          <w:tcPr>
            <w:tcW w:w="1667" w:type="pct"/>
            <w:vAlign w:val="center"/>
          </w:tcPr>
          <w:p>
            <w:pPr>
              <w:pStyle w:val="25"/>
              <w:ind w:firstLine="0" w:firstLineChars="0"/>
              <w:jc w:val="center"/>
              <w:rPr>
                <w:sz w:val="18"/>
                <w:szCs w:val="18"/>
              </w:rPr>
            </w:pPr>
            <w:r>
              <w:rPr>
                <w:sz w:val="18"/>
                <w:szCs w:val="18"/>
              </w:rPr>
              <w:t>T0619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3" w:hRule="atLeast"/>
          <w:tblHeader/>
        </w:trPr>
        <w:tc>
          <w:tcPr>
            <w:tcW w:w="2309" w:type="pct"/>
            <w:vAlign w:val="center"/>
          </w:tcPr>
          <w:p>
            <w:pPr>
              <w:pStyle w:val="25"/>
              <w:ind w:firstLine="0" w:firstLineChars="0"/>
              <w:jc w:val="center"/>
              <w:rPr>
                <w:sz w:val="18"/>
                <w:szCs w:val="18"/>
              </w:rPr>
            </w:pPr>
            <w:r>
              <w:rPr>
                <w:sz w:val="18"/>
                <w:szCs w:val="18"/>
              </w:rPr>
              <w:t>薄膜烘箱试验质量变化绝对值（%）</w:t>
            </w:r>
          </w:p>
        </w:tc>
        <w:tc>
          <w:tcPr>
            <w:tcW w:w="1024" w:type="pct"/>
            <w:vAlign w:val="center"/>
          </w:tcPr>
          <w:p>
            <w:pPr>
              <w:pStyle w:val="25"/>
              <w:ind w:firstLine="0" w:firstLineChars="0"/>
              <w:jc w:val="center"/>
              <w:rPr>
                <w:sz w:val="18"/>
                <w:szCs w:val="18"/>
              </w:rPr>
            </w:pPr>
            <w:r>
              <w:rPr>
                <w:sz w:val="18"/>
                <w:szCs w:val="18"/>
              </w:rPr>
              <w:t>≤4</w:t>
            </w:r>
          </w:p>
        </w:tc>
        <w:tc>
          <w:tcPr>
            <w:tcW w:w="1667" w:type="pct"/>
            <w:vAlign w:val="center"/>
          </w:tcPr>
          <w:p>
            <w:pPr>
              <w:pStyle w:val="25"/>
              <w:ind w:firstLine="0" w:firstLineChars="0"/>
              <w:jc w:val="center"/>
              <w:rPr>
                <w:sz w:val="18"/>
                <w:szCs w:val="18"/>
              </w:rPr>
            </w:pPr>
            <w:r>
              <w:rPr>
                <w:sz w:val="18"/>
                <w:szCs w:val="18"/>
              </w:rPr>
              <w:t>T0609或 T0610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3" w:hRule="atLeast"/>
          <w:tblHeader/>
        </w:trPr>
        <w:tc>
          <w:tcPr>
            <w:tcW w:w="2309" w:type="pct"/>
            <w:vAlign w:val="center"/>
          </w:tcPr>
          <w:p>
            <w:pPr>
              <w:pStyle w:val="25"/>
              <w:ind w:firstLine="0" w:firstLineChars="0"/>
              <w:jc w:val="center"/>
              <w:rPr>
                <w:sz w:val="18"/>
                <w:szCs w:val="18"/>
              </w:rPr>
            </w:pPr>
            <w:r>
              <w:rPr>
                <w:sz w:val="18"/>
                <w:szCs w:val="18"/>
              </w:rPr>
              <w:t>25℃相对密度</w:t>
            </w:r>
          </w:p>
        </w:tc>
        <w:tc>
          <w:tcPr>
            <w:tcW w:w="1024" w:type="pct"/>
            <w:vAlign w:val="center"/>
          </w:tcPr>
          <w:p>
            <w:pPr>
              <w:pStyle w:val="25"/>
              <w:ind w:firstLine="0" w:firstLineChars="0"/>
              <w:jc w:val="center"/>
              <w:rPr>
                <w:sz w:val="18"/>
                <w:szCs w:val="18"/>
              </w:rPr>
            </w:pPr>
            <w:r>
              <w:rPr>
                <w:sz w:val="18"/>
                <w:szCs w:val="18"/>
              </w:rPr>
              <w:t>实测</w:t>
            </w:r>
          </w:p>
        </w:tc>
        <w:tc>
          <w:tcPr>
            <w:tcW w:w="1667" w:type="pct"/>
            <w:vAlign w:val="center"/>
          </w:tcPr>
          <w:p>
            <w:pPr>
              <w:pStyle w:val="25"/>
              <w:ind w:firstLine="0" w:firstLineChars="0"/>
              <w:jc w:val="center"/>
              <w:rPr>
                <w:sz w:val="18"/>
                <w:szCs w:val="18"/>
              </w:rPr>
            </w:pPr>
            <w:r>
              <w:rPr>
                <w:sz w:val="18"/>
                <w:szCs w:val="18"/>
              </w:rPr>
              <w:t>T0603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3" w:hRule="atLeast"/>
          <w:tblHeader/>
        </w:trPr>
        <w:tc>
          <w:tcPr>
            <w:tcW w:w="5000" w:type="pct"/>
            <w:gridSpan w:val="3"/>
            <w:vAlign w:val="center"/>
          </w:tcPr>
          <w:p>
            <w:pPr>
              <w:pStyle w:val="25"/>
              <w:ind w:firstLine="0" w:firstLineChars="0"/>
              <w:jc w:val="center"/>
              <w:rPr>
                <w:sz w:val="18"/>
                <w:szCs w:val="18"/>
              </w:rPr>
            </w:pPr>
            <w:r>
              <w:rPr>
                <w:sz w:val="18"/>
                <w:szCs w:val="18"/>
              </w:rPr>
              <w:t>注：表中试验方法应按《公路工程沥青及沥青混合料试验标准》JTG E20的有关规定执行。</w:t>
            </w:r>
          </w:p>
        </w:tc>
      </w:tr>
    </w:tbl>
    <w:p>
      <w:pPr>
        <w:pStyle w:val="60"/>
        <w:numPr>
          <w:ilvl w:val="0"/>
          <w:numId w:val="19"/>
        </w:numPr>
        <w:rPr>
          <w:szCs w:val="21"/>
        </w:rPr>
      </w:pPr>
      <w:r>
        <w:rPr>
          <w:szCs w:val="21"/>
        </w:rPr>
        <w:t>根据旧沥青混合料中沥青的型号和老化程度、沥青含量、旧沥青混合料掺配比例及再生剂与沥青的配伍性等，综合选择再生剂品种和掺配量。</w:t>
      </w:r>
    </w:p>
    <w:p>
      <w:pPr>
        <w:pStyle w:val="60"/>
        <w:numPr>
          <w:ilvl w:val="0"/>
          <w:numId w:val="0"/>
        </w:numPr>
        <w:rPr>
          <w:rFonts w:ascii="黑体" w:hAnsi="黑体" w:eastAsia="黑体" w:cs="黑体"/>
          <w:szCs w:val="21"/>
        </w:rPr>
      </w:pPr>
      <w:r>
        <w:rPr>
          <w:rFonts w:ascii="黑体" w:hAnsi="黑体" w:eastAsia="黑体" w:cs="黑体"/>
          <w:szCs w:val="21"/>
        </w:rPr>
        <w:t xml:space="preserve">5.0.4  </w:t>
      </w:r>
      <w:r>
        <w:rPr>
          <w:szCs w:val="21"/>
        </w:rPr>
        <w:t>新沥青应符合《城镇道路工程施工与验收标准》CJJ 1的相关规定。</w:t>
      </w:r>
    </w:p>
    <w:p>
      <w:pPr>
        <w:pStyle w:val="60"/>
        <w:numPr>
          <w:ilvl w:val="0"/>
          <w:numId w:val="0"/>
        </w:numPr>
        <w:rPr>
          <w:szCs w:val="21"/>
        </w:rPr>
      </w:pPr>
      <w:r>
        <w:rPr>
          <w:rFonts w:ascii="黑体" w:hAnsi="黑体" w:eastAsia="黑体" w:cs="黑体"/>
          <w:szCs w:val="21"/>
        </w:rPr>
        <w:t xml:space="preserve">5.0.5  </w:t>
      </w:r>
      <w:r>
        <w:rPr>
          <w:szCs w:val="21"/>
        </w:rPr>
        <w:t>新沥青混合料要满足下列要求：</w:t>
      </w:r>
    </w:p>
    <w:p>
      <w:pPr>
        <w:pStyle w:val="60"/>
        <w:numPr>
          <w:ilvl w:val="0"/>
          <w:numId w:val="20"/>
        </w:numPr>
        <w:rPr>
          <w:szCs w:val="21"/>
        </w:rPr>
      </w:pPr>
      <w:r>
        <w:rPr>
          <w:szCs w:val="21"/>
        </w:rPr>
        <w:t>当不需要调整原路面材料级配时，添加的新沥青混合料及其原材料应满足《城镇道路工程施工与质量验收标准》CJJ 1的有关规定。</w:t>
      </w:r>
    </w:p>
    <w:p>
      <w:pPr>
        <w:pStyle w:val="60"/>
        <w:numPr>
          <w:ilvl w:val="0"/>
          <w:numId w:val="20"/>
        </w:numPr>
        <w:rPr>
          <w:szCs w:val="21"/>
        </w:rPr>
      </w:pPr>
      <w:r>
        <w:rPr>
          <w:szCs w:val="21"/>
        </w:rPr>
        <w:t>当需要调整原路面材料级配时，添加的新沥青混合料及其原材料应符合设计要求。</w:t>
      </w:r>
    </w:p>
    <w:p>
      <w:pPr>
        <w:pStyle w:val="60"/>
        <w:numPr>
          <w:ilvl w:val="0"/>
          <w:numId w:val="0"/>
        </w:numPr>
        <w:rPr>
          <w:szCs w:val="21"/>
        </w:rPr>
      </w:pPr>
      <w:r>
        <w:rPr>
          <w:rFonts w:ascii="黑体" w:hAnsi="黑体" w:eastAsia="黑体" w:cs="黑体"/>
          <w:szCs w:val="21"/>
        </w:rPr>
        <w:t xml:space="preserve">5.0.6  </w:t>
      </w:r>
      <w:r>
        <w:rPr>
          <w:szCs w:val="21"/>
        </w:rPr>
        <w:t>就地热再生施工中所添加的抗车辙剂、胶乳、纤维等外加剂应符合设计要求。</w:t>
      </w:r>
    </w:p>
    <w:p>
      <w:pPr>
        <w:pStyle w:val="60"/>
        <w:numPr>
          <w:ilvl w:val="0"/>
          <w:numId w:val="0"/>
        </w:numPr>
        <w:rPr>
          <w:szCs w:val="21"/>
        </w:rPr>
      </w:pPr>
      <w:r>
        <w:rPr>
          <w:rFonts w:ascii="黑体" w:hAnsi="黑体" w:eastAsia="黑体" w:cs="黑体"/>
          <w:szCs w:val="21"/>
        </w:rPr>
        <w:t xml:space="preserve">5.0.7  </w:t>
      </w:r>
      <w:r>
        <w:rPr>
          <w:szCs w:val="21"/>
        </w:rPr>
        <w:t>再生沥青混合料配合比设计参考附录A进行，其性能应符合《城镇道路工程施工与质量验收标准》CJJ 1有关沥青混合料的规定。</w:t>
      </w: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57"/>
        <w:spacing w:before="312" w:after="312"/>
        <w:outlineLvl w:val="0"/>
      </w:pPr>
      <w:bookmarkStart w:id="168" w:name="_Toc49761394"/>
      <w:bookmarkStart w:id="169" w:name="_Hlk64534657"/>
      <w:r>
        <w:rPr>
          <w:rFonts w:hint="eastAsia"/>
        </w:rPr>
        <w:t>原路面状况评估</w:t>
      </w:r>
    </w:p>
    <w:bookmarkEnd w:id="168"/>
    <w:bookmarkEnd w:id="169"/>
    <w:p>
      <w:pPr>
        <w:pStyle w:val="60"/>
        <w:numPr>
          <w:ilvl w:val="0"/>
          <w:numId w:val="0"/>
        </w:numPr>
        <w:rPr>
          <w:rFonts w:ascii="黑体" w:hAnsi="黑体" w:eastAsia="黑体" w:cs="黑体"/>
          <w:szCs w:val="21"/>
        </w:rPr>
      </w:pPr>
      <w:bookmarkStart w:id="170" w:name="_Toc49761395"/>
      <w:bookmarkStart w:id="171" w:name="_Toc49760865"/>
      <w:r>
        <w:rPr>
          <w:rFonts w:ascii="黑体" w:hAnsi="黑体" w:eastAsia="黑体" w:cs="黑体"/>
          <w:szCs w:val="21"/>
        </w:rPr>
        <w:t xml:space="preserve">6.0.1  </w:t>
      </w:r>
      <w:r>
        <w:rPr>
          <w:szCs w:val="21"/>
        </w:rPr>
        <w:t>一般规定</w:t>
      </w:r>
    </w:p>
    <w:p>
      <w:pPr>
        <w:pStyle w:val="60"/>
        <w:numPr>
          <w:ilvl w:val="0"/>
          <w:numId w:val="21"/>
        </w:numPr>
        <w:rPr>
          <w:szCs w:val="21"/>
        </w:rPr>
      </w:pPr>
      <w:r>
        <w:rPr>
          <w:szCs w:val="21"/>
        </w:rPr>
        <w:t>就地热再生施工前，应对原路面设计、建设、养护等历史资料以及当前交通量等进行详细调查和分析，资料内容应真实、完整。</w:t>
      </w:r>
    </w:p>
    <w:p>
      <w:pPr>
        <w:pStyle w:val="60"/>
        <w:numPr>
          <w:ilvl w:val="0"/>
          <w:numId w:val="21"/>
        </w:numPr>
        <w:rPr>
          <w:szCs w:val="21"/>
        </w:rPr>
      </w:pPr>
      <w:r>
        <w:rPr>
          <w:szCs w:val="21"/>
        </w:rPr>
        <w:t>宜采用专业检测设备对原路面使用状况进行检测，并对病害进行统计分析。</w:t>
      </w:r>
    </w:p>
    <w:p>
      <w:pPr>
        <w:pStyle w:val="60"/>
        <w:numPr>
          <w:ilvl w:val="0"/>
          <w:numId w:val="21"/>
        </w:numPr>
        <w:rPr>
          <w:szCs w:val="21"/>
        </w:rPr>
      </w:pPr>
      <w:r>
        <w:rPr>
          <w:szCs w:val="21"/>
        </w:rPr>
        <w:t>应对原路面沥青混合料取样并进行材料性能评估分析。</w:t>
      </w:r>
    </w:p>
    <w:p>
      <w:pPr>
        <w:pStyle w:val="60"/>
        <w:numPr>
          <w:ilvl w:val="0"/>
          <w:numId w:val="0"/>
        </w:numPr>
        <w:rPr>
          <w:szCs w:val="21"/>
        </w:rPr>
      </w:pPr>
      <w:r>
        <w:rPr>
          <w:rFonts w:ascii="黑体" w:hAnsi="黑体" w:eastAsia="黑体" w:cs="黑体"/>
          <w:szCs w:val="21"/>
        </w:rPr>
        <w:t xml:space="preserve">6.0.2  </w:t>
      </w:r>
      <w:r>
        <w:rPr>
          <w:szCs w:val="21"/>
        </w:rPr>
        <w:t>原路面基础数据资料收集应符合表2的规定。</w:t>
      </w:r>
    </w:p>
    <w:p>
      <w:pPr>
        <w:pStyle w:val="138"/>
        <w:spacing w:beforeLines="0" w:afterLines="0"/>
        <w:rPr>
          <w:szCs w:val="21"/>
        </w:rPr>
      </w:pPr>
      <w:r>
        <w:rPr>
          <w:szCs w:val="21"/>
        </w:rPr>
        <w:t>原路面基础数据资料收集</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8"/>
        <w:gridCol w:w="5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214" w:type="pct"/>
            <w:vAlign w:val="center"/>
          </w:tcPr>
          <w:p>
            <w:pPr>
              <w:pStyle w:val="25"/>
              <w:ind w:firstLine="0" w:firstLineChars="0"/>
              <w:jc w:val="center"/>
              <w:rPr>
                <w:b/>
                <w:bCs/>
                <w:sz w:val="18"/>
                <w:szCs w:val="18"/>
              </w:rPr>
            </w:pPr>
            <w:r>
              <w:rPr>
                <w:b/>
                <w:bCs/>
                <w:sz w:val="18"/>
                <w:szCs w:val="18"/>
              </w:rPr>
              <w:t>调查项目</w:t>
            </w:r>
          </w:p>
        </w:tc>
        <w:tc>
          <w:tcPr>
            <w:tcW w:w="2786" w:type="pct"/>
            <w:vAlign w:val="center"/>
          </w:tcPr>
          <w:p>
            <w:pPr>
              <w:pStyle w:val="25"/>
              <w:ind w:firstLine="0" w:firstLineChars="0"/>
              <w:jc w:val="center"/>
              <w:rPr>
                <w:b/>
                <w:bCs/>
                <w:sz w:val="18"/>
                <w:szCs w:val="18"/>
              </w:rPr>
            </w:pPr>
            <w:r>
              <w:rPr>
                <w:b/>
                <w:bCs/>
                <w:sz w:val="18"/>
                <w:szCs w:val="18"/>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214" w:type="pct"/>
            <w:vMerge w:val="restart"/>
            <w:vAlign w:val="center"/>
          </w:tcPr>
          <w:p>
            <w:pPr>
              <w:pStyle w:val="25"/>
              <w:ind w:firstLine="0" w:firstLineChars="0"/>
              <w:jc w:val="center"/>
              <w:rPr>
                <w:sz w:val="18"/>
                <w:szCs w:val="18"/>
              </w:rPr>
            </w:pPr>
            <w:r>
              <w:rPr>
                <w:sz w:val="18"/>
                <w:szCs w:val="18"/>
              </w:rPr>
              <w:t>设计资料</w:t>
            </w:r>
          </w:p>
        </w:tc>
        <w:tc>
          <w:tcPr>
            <w:tcW w:w="2786" w:type="pct"/>
            <w:vAlign w:val="center"/>
          </w:tcPr>
          <w:p>
            <w:pPr>
              <w:pStyle w:val="25"/>
              <w:ind w:firstLine="0" w:firstLineChars="0"/>
              <w:jc w:val="center"/>
              <w:rPr>
                <w:sz w:val="18"/>
                <w:szCs w:val="18"/>
              </w:rPr>
            </w:pPr>
            <w:r>
              <w:rPr>
                <w:sz w:val="18"/>
                <w:szCs w:val="18"/>
              </w:rPr>
              <w:t>路面结构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214" w:type="pct"/>
            <w:vMerge w:val="continue"/>
            <w:vAlign w:val="center"/>
          </w:tcPr>
          <w:p>
            <w:pPr>
              <w:pStyle w:val="25"/>
              <w:ind w:firstLine="0" w:firstLineChars="0"/>
              <w:jc w:val="center"/>
              <w:rPr>
                <w:sz w:val="18"/>
                <w:szCs w:val="18"/>
              </w:rPr>
            </w:pPr>
          </w:p>
        </w:tc>
        <w:tc>
          <w:tcPr>
            <w:tcW w:w="2786" w:type="pct"/>
            <w:vAlign w:val="center"/>
          </w:tcPr>
          <w:p>
            <w:pPr>
              <w:pStyle w:val="25"/>
              <w:ind w:firstLine="0" w:firstLineChars="0"/>
              <w:jc w:val="center"/>
              <w:rPr>
                <w:sz w:val="18"/>
                <w:szCs w:val="18"/>
              </w:rPr>
            </w:pPr>
            <w:r>
              <w:rPr>
                <w:sz w:val="18"/>
                <w:szCs w:val="18"/>
              </w:rPr>
              <w:t>道路平纵面图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214" w:type="pct"/>
            <w:vMerge w:val="continue"/>
            <w:vAlign w:val="center"/>
          </w:tcPr>
          <w:p>
            <w:pPr>
              <w:pStyle w:val="25"/>
              <w:ind w:firstLine="0" w:firstLineChars="0"/>
              <w:jc w:val="center"/>
              <w:rPr>
                <w:sz w:val="18"/>
                <w:szCs w:val="18"/>
              </w:rPr>
            </w:pPr>
          </w:p>
        </w:tc>
        <w:tc>
          <w:tcPr>
            <w:tcW w:w="2786" w:type="pct"/>
            <w:vAlign w:val="center"/>
          </w:tcPr>
          <w:p>
            <w:pPr>
              <w:pStyle w:val="25"/>
              <w:ind w:firstLine="0" w:firstLineChars="0"/>
              <w:jc w:val="center"/>
              <w:rPr>
                <w:sz w:val="18"/>
                <w:szCs w:val="18"/>
              </w:rPr>
            </w:pPr>
            <w:r>
              <w:rPr>
                <w:sz w:val="18"/>
                <w:szCs w:val="18"/>
              </w:rPr>
              <w:t>设计使用年限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214" w:type="pct"/>
            <w:vMerge w:val="continue"/>
            <w:vAlign w:val="center"/>
          </w:tcPr>
          <w:p>
            <w:pPr>
              <w:pStyle w:val="25"/>
              <w:ind w:firstLine="0" w:firstLineChars="0"/>
              <w:jc w:val="center"/>
              <w:rPr>
                <w:sz w:val="18"/>
                <w:szCs w:val="18"/>
              </w:rPr>
            </w:pPr>
          </w:p>
        </w:tc>
        <w:tc>
          <w:tcPr>
            <w:tcW w:w="2786" w:type="pct"/>
            <w:vAlign w:val="center"/>
          </w:tcPr>
          <w:p>
            <w:pPr>
              <w:pStyle w:val="25"/>
              <w:ind w:firstLine="0" w:firstLineChars="0"/>
              <w:jc w:val="center"/>
              <w:rPr>
                <w:sz w:val="18"/>
                <w:szCs w:val="18"/>
              </w:rPr>
            </w:pPr>
            <w:r>
              <w:rPr>
                <w:sz w:val="18"/>
                <w:szCs w:val="18"/>
              </w:rPr>
              <w:t>交通量、交通轴载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214" w:type="pct"/>
            <w:vMerge w:val="restart"/>
            <w:vAlign w:val="center"/>
          </w:tcPr>
          <w:p>
            <w:pPr>
              <w:pStyle w:val="25"/>
              <w:ind w:firstLine="0" w:firstLineChars="0"/>
              <w:jc w:val="center"/>
              <w:rPr>
                <w:sz w:val="18"/>
                <w:szCs w:val="18"/>
              </w:rPr>
            </w:pPr>
            <w:r>
              <w:rPr>
                <w:sz w:val="18"/>
                <w:szCs w:val="18"/>
              </w:rPr>
              <w:t>建设情况</w:t>
            </w:r>
          </w:p>
        </w:tc>
        <w:tc>
          <w:tcPr>
            <w:tcW w:w="2786" w:type="pct"/>
            <w:vAlign w:val="center"/>
          </w:tcPr>
          <w:p>
            <w:pPr>
              <w:pStyle w:val="25"/>
              <w:ind w:firstLine="0" w:firstLineChars="0"/>
              <w:jc w:val="center"/>
              <w:rPr>
                <w:sz w:val="18"/>
                <w:szCs w:val="18"/>
              </w:rPr>
            </w:pPr>
            <w:r>
              <w:rPr>
                <w:sz w:val="18"/>
                <w:szCs w:val="18"/>
              </w:rPr>
              <w:t>道路建筑材料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7" w:hRule="atLeast"/>
          <w:jc w:val="center"/>
        </w:trPr>
        <w:tc>
          <w:tcPr>
            <w:tcW w:w="2214" w:type="pct"/>
            <w:vMerge w:val="continue"/>
            <w:vAlign w:val="center"/>
          </w:tcPr>
          <w:p>
            <w:pPr>
              <w:pStyle w:val="25"/>
              <w:ind w:firstLine="0" w:firstLineChars="0"/>
              <w:jc w:val="center"/>
              <w:rPr>
                <w:sz w:val="18"/>
                <w:szCs w:val="18"/>
              </w:rPr>
            </w:pPr>
          </w:p>
        </w:tc>
        <w:tc>
          <w:tcPr>
            <w:tcW w:w="2786" w:type="pct"/>
            <w:vAlign w:val="center"/>
          </w:tcPr>
          <w:p>
            <w:pPr>
              <w:pStyle w:val="25"/>
              <w:ind w:firstLine="0" w:firstLineChars="0"/>
              <w:jc w:val="center"/>
              <w:rPr>
                <w:sz w:val="18"/>
                <w:szCs w:val="18"/>
              </w:rPr>
            </w:pPr>
            <w:r>
              <w:rPr>
                <w:sz w:val="18"/>
                <w:szCs w:val="18"/>
              </w:rPr>
              <w:t>施工工序控制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7" w:hRule="atLeast"/>
          <w:jc w:val="center"/>
        </w:trPr>
        <w:tc>
          <w:tcPr>
            <w:tcW w:w="2214" w:type="pct"/>
            <w:vMerge w:val="continue"/>
            <w:vAlign w:val="center"/>
          </w:tcPr>
          <w:p>
            <w:pPr>
              <w:pStyle w:val="25"/>
              <w:ind w:firstLine="0" w:firstLineChars="0"/>
              <w:jc w:val="center"/>
              <w:rPr>
                <w:sz w:val="18"/>
                <w:szCs w:val="18"/>
              </w:rPr>
            </w:pPr>
          </w:p>
        </w:tc>
        <w:tc>
          <w:tcPr>
            <w:tcW w:w="2786" w:type="pct"/>
            <w:vAlign w:val="center"/>
          </w:tcPr>
          <w:p>
            <w:pPr>
              <w:pStyle w:val="25"/>
              <w:ind w:firstLine="0" w:firstLineChars="0"/>
              <w:jc w:val="center"/>
              <w:rPr>
                <w:sz w:val="18"/>
                <w:szCs w:val="18"/>
              </w:rPr>
            </w:pPr>
            <w:r>
              <w:rPr>
                <w:sz w:val="18"/>
                <w:szCs w:val="18"/>
              </w:rPr>
              <w:t>设计变更资料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214" w:type="pct"/>
            <w:vMerge w:val="continue"/>
            <w:vAlign w:val="center"/>
          </w:tcPr>
          <w:p>
            <w:pPr>
              <w:pStyle w:val="25"/>
              <w:ind w:firstLine="0" w:firstLineChars="0"/>
              <w:jc w:val="center"/>
              <w:rPr>
                <w:sz w:val="18"/>
                <w:szCs w:val="18"/>
              </w:rPr>
            </w:pPr>
          </w:p>
        </w:tc>
        <w:tc>
          <w:tcPr>
            <w:tcW w:w="2786" w:type="pct"/>
            <w:vAlign w:val="center"/>
          </w:tcPr>
          <w:p>
            <w:pPr>
              <w:pStyle w:val="25"/>
              <w:ind w:firstLine="0" w:firstLineChars="0"/>
              <w:jc w:val="center"/>
              <w:rPr>
                <w:sz w:val="18"/>
                <w:szCs w:val="18"/>
              </w:rPr>
            </w:pPr>
            <w:r>
              <w:rPr>
                <w:sz w:val="18"/>
                <w:szCs w:val="18"/>
              </w:rPr>
              <w:t>竣工资料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7" w:hRule="atLeast"/>
          <w:jc w:val="center"/>
        </w:trPr>
        <w:tc>
          <w:tcPr>
            <w:tcW w:w="2214" w:type="pct"/>
            <w:vMerge w:val="restart"/>
            <w:vAlign w:val="center"/>
          </w:tcPr>
          <w:p>
            <w:pPr>
              <w:pStyle w:val="25"/>
              <w:ind w:firstLine="0" w:firstLineChars="0"/>
              <w:jc w:val="center"/>
              <w:rPr>
                <w:sz w:val="18"/>
                <w:szCs w:val="18"/>
              </w:rPr>
            </w:pPr>
            <w:r>
              <w:rPr>
                <w:sz w:val="18"/>
                <w:szCs w:val="18"/>
              </w:rPr>
              <w:t>养护及检测历史</w:t>
            </w:r>
          </w:p>
        </w:tc>
        <w:tc>
          <w:tcPr>
            <w:tcW w:w="2786" w:type="pct"/>
            <w:vAlign w:val="center"/>
          </w:tcPr>
          <w:p>
            <w:pPr>
              <w:pStyle w:val="25"/>
              <w:ind w:firstLine="0" w:firstLineChars="0"/>
              <w:jc w:val="center"/>
              <w:rPr>
                <w:sz w:val="18"/>
                <w:szCs w:val="18"/>
              </w:rPr>
            </w:pPr>
            <w:r>
              <w:rPr>
                <w:sz w:val="18"/>
                <w:szCs w:val="18"/>
              </w:rPr>
              <w:t>养护时间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214" w:type="pct"/>
            <w:vMerge w:val="continue"/>
            <w:vAlign w:val="center"/>
          </w:tcPr>
          <w:p>
            <w:pPr>
              <w:pStyle w:val="25"/>
              <w:ind w:firstLine="0" w:firstLineChars="0"/>
              <w:jc w:val="center"/>
              <w:rPr>
                <w:sz w:val="18"/>
                <w:szCs w:val="18"/>
              </w:rPr>
            </w:pPr>
          </w:p>
        </w:tc>
        <w:tc>
          <w:tcPr>
            <w:tcW w:w="2786" w:type="pct"/>
            <w:vAlign w:val="center"/>
          </w:tcPr>
          <w:p>
            <w:pPr>
              <w:pStyle w:val="25"/>
              <w:ind w:firstLine="0" w:firstLineChars="0"/>
              <w:jc w:val="center"/>
              <w:rPr>
                <w:sz w:val="18"/>
                <w:szCs w:val="18"/>
              </w:rPr>
            </w:pPr>
            <w:r>
              <w:rPr>
                <w:sz w:val="18"/>
                <w:szCs w:val="18"/>
              </w:rPr>
              <w:t>养护方法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7" w:hRule="atLeast"/>
          <w:jc w:val="center"/>
        </w:trPr>
        <w:tc>
          <w:tcPr>
            <w:tcW w:w="2214" w:type="pct"/>
            <w:vMerge w:val="continue"/>
            <w:vAlign w:val="center"/>
          </w:tcPr>
          <w:p>
            <w:pPr>
              <w:pStyle w:val="25"/>
              <w:ind w:firstLine="0" w:firstLineChars="0"/>
              <w:jc w:val="center"/>
              <w:rPr>
                <w:sz w:val="18"/>
                <w:szCs w:val="18"/>
              </w:rPr>
            </w:pPr>
          </w:p>
        </w:tc>
        <w:tc>
          <w:tcPr>
            <w:tcW w:w="2786" w:type="pct"/>
            <w:vAlign w:val="center"/>
          </w:tcPr>
          <w:p>
            <w:pPr>
              <w:pStyle w:val="25"/>
              <w:ind w:firstLine="0" w:firstLineChars="0"/>
              <w:jc w:val="center"/>
              <w:rPr>
                <w:sz w:val="18"/>
                <w:szCs w:val="18"/>
              </w:rPr>
            </w:pPr>
            <w:r>
              <w:rPr>
                <w:sz w:val="18"/>
                <w:szCs w:val="18"/>
              </w:rPr>
              <w:t>养护材料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214" w:type="pct"/>
            <w:vMerge w:val="continue"/>
            <w:vAlign w:val="center"/>
          </w:tcPr>
          <w:p>
            <w:pPr>
              <w:pStyle w:val="25"/>
              <w:ind w:firstLine="0" w:firstLineChars="0"/>
              <w:jc w:val="center"/>
              <w:rPr>
                <w:sz w:val="18"/>
                <w:szCs w:val="18"/>
              </w:rPr>
            </w:pPr>
          </w:p>
        </w:tc>
        <w:tc>
          <w:tcPr>
            <w:tcW w:w="2786" w:type="pct"/>
            <w:vAlign w:val="center"/>
          </w:tcPr>
          <w:p>
            <w:pPr>
              <w:pStyle w:val="25"/>
              <w:ind w:firstLine="0" w:firstLineChars="0"/>
              <w:jc w:val="center"/>
              <w:rPr>
                <w:sz w:val="18"/>
                <w:szCs w:val="18"/>
              </w:rPr>
            </w:pPr>
            <w:r>
              <w:rPr>
                <w:sz w:val="18"/>
                <w:szCs w:val="18"/>
              </w:rPr>
              <w:t>历史检测数据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214" w:type="pct"/>
            <w:vAlign w:val="center"/>
          </w:tcPr>
          <w:p>
            <w:pPr>
              <w:pStyle w:val="25"/>
              <w:ind w:firstLine="0" w:firstLineChars="0"/>
              <w:jc w:val="center"/>
              <w:rPr>
                <w:sz w:val="18"/>
                <w:szCs w:val="18"/>
              </w:rPr>
            </w:pPr>
            <w:r>
              <w:rPr>
                <w:sz w:val="18"/>
                <w:szCs w:val="18"/>
              </w:rPr>
              <w:t>交通状况</w:t>
            </w:r>
          </w:p>
        </w:tc>
        <w:tc>
          <w:tcPr>
            <w:tcW w:w="2786" w:type="pct"/>
            <w:vAlign w:val="center"/>
          </w:tcPr>
          <w:p>
            <w:pPr>
              <w:pStyle w:val="25"/>
              <w:ind w:firstLine="0" w:firstLineChars="0"/>
              <w:jc w:val="center"/>
              <w:rPr>
                <w:sz w:val="18"/>
                <w:szCs w:val="18"/>
              </w:rPr>
            </w:pPr>
            <w:r>
              <w:rPr>
                <w:sz w:val="18"/>
                <w:szCs w:val="18"/>
              </w:rPr>
              <w:t>交通量、交通轴载</w:t>
            </w:r>
          </w:p>
        </w:tc>
      </w:tr>
    </w:tbl>
    <w:p>
      <w:pPr>
        <w:pStyle w:val="60"/>
        <w:numPr>
          <w:ilvl w:val="0"/>
          <w:numId w:val="0"/>
        </w:numPr>
        <w:rPr>
          <w:rFonts w:ascii="黑体" w:hAnsi="黑体" w:eastAsia="黑体" w:cs="黑体"/>
          <w:szCs w:val="21"/>
        </w:rPr>
      </w:pPr>
    </w:p>
    <w:p>
      <w:pPr>
        <w:pStyle w:val="60"/>
        <w:numPr>
          <w:ilvl w:val="0"/>
          <w:numId w:val="0"/>
        </w:numPr>
        <w:rPr>
          <w:szCs w:val="21"/>
        </w:rPr>
      </w:pPr>
      <w:r>
        <w:rPr>
          <w:rFonts w:ascii="黑体" w:hAnsi="黑体" w:eastAsia="黑体" w:cs="黑体"/>
          <w:szCs w:val="21"/>
        </w:rPr>
        <w:t xml:space="preserve">6.0.3  </w:t>
      </w:r>
      <w:r>
        <w:rPr>
          <w:szCs w:val="21"/>
        </w:rPr>
        <w:t>路面病害调查应符合下列规定：</w:t>
      </w:r>
    </w:p>
    <w:p>
      <w:pPr>
        <w:pStyle w:val="60"/>
        <w:numPr>
          <w:ilvl w:val="1"/>
          <w:numId w:val="21"/>
        </w:numPr>
        <w:ind w:left="840" w:hanging="420"/>
        <w:rPr>
          <w:szCs w:val="21"/>
        </w:rPr>
      </w:pPr>
      <w:r>
        <w:rPr>
          <w:szCs w:val="21"/>
        </w:rPr>
        <w:t>按照《城镇道路养护技术标准》CJJ 36对路面的病害进行现场调查。</w:t>
      </w:r>
    </w:p>
    <w:p>
      <w:pPr>
        <w:pStyle w:val="60"/>
        <w:numPr>
          <w:ilvl w:val="1"/>
          <w:numId w:val="21"/>
        </w:numPr>
        <w:ind w:left="840" w:hanging="420"/>
        <w:rPr>
          <w:szCs w:val="21"/>
        </w:rPr>
      </w:pPr>
      <w:r>
        <w:rPr>
          <w:szCs w:val="21"/>
        </w:rPr>
        <w:t>详细记录路面病害的类型、数量（范围）、破损程度及所在位置。</w:t>
      </w:r>
    </w:p>
    <w:p>
      <w:pPr>
        <w:pStyle w:val="60"/>
        <w:numPr>
          <w:ilvl w:val="0"/>
          <w:numId w:val="0"/>
        </w:numPr>
        <w:rPr>
          <w:szCs w:val="21"/>
        </w:rPr>
      </w:pPr>
      <w:r>
        <w:rPr>
          <w:rFonts w:ascii="黑体" w:hAnsi="黑体" w:eastAsia="黑体" w:cs="黑体"/>
          <w:szCs w:val="21"/>
        </w:rPr>
        <w:t xml:space="preserve">6.0.4  </w:t>
      </w:r>
      <w:r>
        <w:rPr>
          <w:szCs w:val="21"/>
        </w:rPr>
        <w:t>路面强度检测应符合下列规定：</w:t>
      </w:r>
    </w:p>
    <w:p>
      <w:pPr>
        <w:pStyle w:val="60"/>
        <w:numPr>
          <w:ilvl w:val="0"/>
          <w:numId w:val="22"/>
        </w:numPr>
        <w:ind w:left="840" w:hanging="420"/>
        <w:rPr>
          <w:szCs w:val="21"/>
        </w:rPr>
      </w:pPr>
      <w:r>
        <w:rPr>
          <w:szCs w:val="21"/>
        </w:rPr>
        <w:t>路面结构强度指标应作为判定沥青路面就地热再生技术适用性的首要指标，路面结构强度指标应采用弯沉值评价。</w:t>
      </w:r>
    </w:p>
    <w:p>
      <w:pPr>
        <w:pStyle w:val="60"/>
        <w:numPr>
          <w:ilvl w:val="0"/>
          <w:numId w:val="22"/>
        </w:numPr>
        <w:ind w:left="840" w:hanging="420"/>
        <w:rPr>
          <w:szCs w:val="21"/>
        </w:rPr>
      </w:pPr>
      <w:r>
        <w:rPr>
          <w:szCs w:val="21"/>
        </w:rPr>
        <w:t>弯沉值的检测设备，宜采用落锤式弯沉仪、贝克曼梁或自动弯沉检测仪等。</w:t>
      </w:r>
    </w:p>
    <w:p>
      <w:pPr>
        <w:pStyle w:val="60"/>
        <w:numPr>
          <w:ilvl w:val="0"/>
          <w:numId w:val="0"/>
        </w:numPr>
        <w:rPr>
          <w:szCs w:val="21"/>
        </w:rPr>
      </w:pPr>
      <w:r>
        <w:rPr>
          <w:rFonts w:ascii="黑体" w:hAnsi="黑体" w:eastAsia="黑体" w:cs="黑体"/>
          <w:szCs w:val="21"/>
        </w:rPr>
        <w:t xml:space="preserve">6.0.5  </w:t>
      </w:r>
      <w:r>
        <w:rPr>
          <w:szCs w:val="21"/>
        </w:rPr>
        <w:t>路面平整度、破损和抗滑等其他性能检测和评价应符合《城镇道路养护技术标准》CJJ 36的有关规定。</w:t>
      </w:r>
    </w:p>
    <w:p>
      <w:pPr>
        <w:pStyle w:val="60"/>
        <w:numPr>
          <w:ilvl w:val="0"/>
          <w:numId w:val="0"/>
        </w:numPr>
        <w:rPr>
          <w:szCs w:val="21"/>
        </w:rPr>
      </w:pPr>
      <w:r>
        <w:rPr>
          <w:rFonts w:ascii="黑体" w:hAnsi="黑体" w:eastAsia="黑体" w:cs="黑体"/>
          <w:szCs w:val="21"/>
        </w:rPr>
        <w:t xml:space="preserve">6.0.6  </w:t>
      </w:r>
      <w:r>
        <w:rPr>
          <w:szCs w:val="21"/>
        </w:rPr>
        <w:t>可采用取芯法对原路面面层结构进行评价，使用取芯法应符合下列要求：</w:t>
      </w:r>
    </w:p>
    <w:p>
      <w:pPr>
        <w:pStyle w:val="60"/>
        <w:numPr>
          <w:ilvl w:val="0"/>
          <w:numId w:val="23"/>
        </w:numPr>
        <w:ind w:left="840" w:hanging="420"/>
        <w:rPr>
          <w:szCs w:val="21"/>
        </w:rPr>
      </w:pPr>
      <w:r>
        <w:rPr>
          <w:szCs w:val="21"/>
        </w:rPr>
        <w:t>路面取芯可采用直径100mm或150mm的钻头。</w:t>
      </w:r>
    </w:p>
    <w:p>
      <w:pPr>
        <w:pStyle w:val="60"/>
        <w:numPr>
          <w:ilvl w:val="0"/>
          <w:numId w:val="23"/>
        </w:numPr>
        <w:ind w:left="840" w:hanging="420"/>
        <w:rPr>
          <w:szCs w:val="21"/>
        </w:rPr>
      </w:pPr>
      <w:r>
        <w:rPr>
          <w:szCs w:val="21"/>
        </w:rPr>
        <w:t>取芯点应位于典型病害处，对于纵裂、横裂等裂缝病害，骑缝取芯；对于坑槽、网裂等块状病害，在病害范围内取芯。</w:t>
      </w:r>
    </w:p>
    <w:p>
      <w:pPr>
        <w:pStyle w:val="60"/>
        <w:numPr>
          <w:ilvl w:val="0"/>
          <w:numId w:val="23"/>
        </w:numPr>
        <w:ind w:left="840" w:hanging="420"/>
        <w:rPr>
          <w:szCs w:val="21"/>
        </w:rPr>
      </w:pPr>
      <w:r>
        <w:rPr>
          <w:szCs w:val="21"/>
        </w:rPr>
        <w:t>车辙路段，应在同一横断面的波谷、波峰和无变形处分别取芯。</w:t>
      </w:r>
    </w:p>
    <w:p>
      <w:pPr>
        <w:pStyle w:val="60"/>
        <w:numPr>
          <w:ilvl w:val="0"/>
          <w:numId w:val="23"/>
        </w:numPr>
        <w:ind w:left="840" w:hanging="420"/>
        <w:rPr>
          <w:szCs w:val="21"/>
        </w:rPr>
      </w:pPr>
      <w:r>
        <w:rPr>
          <w:szCs w:val="21"/>
        </w:rPr>
        <w:t>取芯过程中，应详细记录芯样的完整性、厚度、层间黏结情况、下承层整体性等，必要时应对基层进行取芯。</w:t>
      </w:r>
    </w:p>
    <w:p>
      <w:pPr>
        <w:pStyle w:val="60"/>
        <w:numPr>
          <w:ilvl w:val="0"/>
          <w:numId w:val="0"/>
        </w:numPr>
        <w:rPr>
          <w:szCs w:val="21"/>
        </w:rPr>
      </w:pPr>
      <w:r>
        <w:rPr>
          <w:rFonts w:ascii="黑体" w:hAnsi="黑体" w:eastAsia="黑体" w:cs="黑体"/>
          <w:szCs w:val="21"/>
        </w:rPr>
        <w:t xml:space="preserve">6.0.7  </w:t>
      </w:r>
      <w:r>
        <w:rPr>
          <w:szCs w:val="21"/>
        </w:rPr>
        <w:t>原路面材料取样应符合下列规定：</w:t>
      </w:r>
    </w:p>
    <w:p>
      <w:pPr>
        <w:pStyle w:val="60"/>
        <w:numPr>
          <w:ilvl w:val="0"/>
          <w:numId w:val="24"/>
        </w:numPr>
        <w:ind w:left="840" w:hanging="420"/>
        <w:rPr>
          <w:szCs w:val="21"/>
        </w:rPr>
      </w:pPr>
      <w:r>
        <w:rPr>
          <w:szCs w:val="21"/>
        </w:rPr>
        <w:t>取样应尽可能少破碎集料，宜采用沥青路面热再生修补车，每个取样点样品质量不得少于100kg。</w:t>
      </w:r>
    </w:p>
    <w:p>
      <w:pPr>
        <w:pStyle w:val="60"/>
        <w:numPr>
          <w:ilvl w:val="0"/>
          <w:numId w:val="24"/>
        </w:numPr>
        <w:ind w:left="840" w:hanging="420"/>
        <w:rPr>
          <w:szCs w:val="21"/>
        </w:rPr>
      </w:pPr>
      <w:r>
        <w:rPr>
          <w:szCs w:val="21"/>
        </w:rPr>
        <w:t>取样宜每1~3km取一个代表性点；养护路段长度小于3km，或路面结构不一致，或修建时间、养护历史有差异时，应适当提高取样频率。</w:t>
      </w:r>
    </w:p>
    <w:p>
      <w:pPr>
        <w:pStyle w:val="60"/>
        <w:numPr>
          <w:ilvl w:val="0"/>
          <w:numId w:val="0"/>
        </w:numPr>
        <w:rPr>
          <w:szCs w:val="21"/>
        </w:rPr>
      </w:pPr>
      <w:r>
        <w:rPr>
          <w:rFonts w:ascii="黑体" w:hAnsi="黑体" w:eastAsia="黑体" w:cs="黑体"/>
          <w:szCs w:val="21"/>
        </w:rPr>
        <w:t xml:space="preserve">6.0.3  </w:t>
      </w:r>
      <w:r>
        <w:rPr>
          <w:szCs w:val="21"/>
        </w:rPr>
        <w:t>路面病害调查应符合下列规定：</w:t>
      </w:r>
    </w:p>
    <w:p>
      <w:pPr>
        <w:pStyle w:val="60"/>
        <w:numPr>
          <w:ilvl w:val="0"/>
          <w:numId w:val="25"/>
        </w:numPr>
        <w:ind w:left="840" w:hanging="420"/>
        <w:rPr>
          <w:szCs w:val="21"/>
        </w:rPr>
      </w:pPr>
      <w:r>
        <w:rPr>
          <w:szCs w:val="21"/>
        </w:rPr>
        <w:t>按照《城镇道路养护技术标准》CJJ 36对路面的病害进行现场调查。</w:t>
      </w:r>
    </w:p>
    <w:p>
      <w:pPr>
        <w:pStyle w:val="60"/>
        <w:numPr>
          <w:ilvl w:val="0"/>
          <w:numId w:val="25"/>
        </w:numPr>
        <w:ind w:left="840" w:hanging="420"/>
        <w:rPr>
          <w:szCs w:val="21"/>
        </w:rPr>
      </w:pPr>
      <w:r>
        <w:rPr>
          <w:szCs w:val="21"/>
        </w:rPr>
        <w:t>详细记录路面病害的类型、数量（范围）、破损程度及所在位置。</w:t>
      </w:r>
    </w:p>
    <w:p>
      <w:pPr>
        <w:pStyle w:val="60"/>
        <w:numPr>
          <w:ilvl w:val="0"/>
          <w:numId w:val="0"/>
        </w:numPr>
        <w:rPr>
          <w:szCs w:val="21"/>
        </w:rPr>
      </w:pPr>
      <w:r>
        <w:rPr>
          <w:rFonts w:ascii="黑体" w:hAnsi="黑体" w:eastAsia="黑体" w:cs="黑体"/>
          <w:szCs w:val="21"/>
        </w:rPr>
        <w:t xml:space="preserve">6.0.4  </w:t>
      </w:r>
      <w:r>
        <w:rPr>
          <w:szCs w:val="21"/>
        </w:rPr>
        <w:t>路面强度检测应符合下列规定：</w:t>
      </w:r>
    </w:p>
    <w:p>
      <w:pPr>
        <w:pStyle w:val="60"/>
        <w:numPr>
          <w:ilvl w:val="0"/>
          <w:numId w:val="26"/>
        </w:numPr>
        <w:ind w:left="840" w:hanging="420"/>
        <w:rPr>
          <w:szCs w:val="21"/>
        </w:rPr>
      </w:pPr>
      <w:r>
        <w:rPr>
          <w:szCs w:val="21"/>
        </w:rPr>
        <w:t>路面结构强度指标应作为判定沥青路面就地热再生技术适用性的首要指标，路面结构强度指标应采用弯沉值评价。</w:t>
      </w:r>
    </w:p>
    <w:p>
      <w:pPr>
        <w:pStyle w:val="60"/>
        <w:numPr>
          <w:ilvl w:val="0"/>
          <w:numId w:val="26"/>
        </w:numPr>
        <w:ind w:left="840" w:hanging="420"/>
        <w:rPr>
          <w:szCs w:val="21"/>
        </w:rPr>
      </w:pPr>
      <w:r>
        <w:rPr>
          <w:szCs w:val="21"/>
        </w:rPr>
        <w:t>弯沉值的检测设备，宜采用落锤式弯沉仪、贝克曼梁或自动弯沉检测仪等。</w:t>
      </w:r>
    </w:p>
    <w:p>
      <w:pPr>
        <w:pStyle w:val="60"/>
        <w:numPr>
          <w:ilvl w:val="0"/>
          <w:numId w:val="0"/>
        </w:numPr>
        <w:rPr>
          <w:szCs w:val="21"/>
        </w:rPr>
      </w:pPr>
      <w:r>
        <w:rPr>
          <w:rFonts w:ascii="黑体" w:hAnsi="黑体" w:eastAsia="黑体" w:cs="黑体"/>
          <w:szCs w:val="21"/>
        </w:rPr>
        <w:t xml:space="preserve">6.0.5  </w:t>
      </w:r>
      <w:r>
        <w:rPr>
          <w:szCs w:val="21"/>
        </w:rPr>
        <w:t>路面平整度、破损和抗滑等其他性能检测和评价应符合《城镇道路养护技术标准》CJJ 36的有关规定。</w:t>
      </w:r>
    </w:p>
    <w:p>
      <w:pPr>
        <w:pStyle w:val="60"/>
        <w:numPr>
          <w:ilvl w:val="0"/>
          <w:numId w:val="0"/>
        </w:numPr>
        <w:rPr>
          <w:szCs w:val="21"/>
        </w:rPr>
      </w:pPr>
      <w:r>
        <w:rPr>
          <w:rFonts w:ascii="黑体" w:hAnsi="黑体" w:eastAsia="黑体" w:cs="黑体"/>
          <w:szCs w:val="21"/>
        </w:rPr>
        <w:t xml:space="preserve">6.0.6  </w:t>
      </w:r>
      <w:r>
        <w:rPr>
          <w:szCs w:val="21"/>
        </w:rPr>
        <w:t>可采用取芯法对原路面面层结构进行评价，使用取芯法应符合下列要求：</w:t>
      </w:r>
    </w:p>
    <w:p>
      <w:pPr>
        <w:pStyle w:val="60"/>
        <w:numPr>
          <w:ilvl w:val="0"/>
          <w:numId w:val="27"/>
        </w:numPr>
        <w:ind w:left="840" w:hanging="420"/>
        <w:rPr>
          <w:szCs w:val="21"/>
        </w:rPr>
      </w:pPr>
      <w:r>
        <w:rPr>
          <w:szCs w:val="21"/>
        </w:rPr>
        <w:t>路面取芯可采用直径100mm或150mm的钻头。</w:t>
      </w:r>
    </w:p>
    <w:p>
      <w:pPr>
        <w:pStyle w:val="60"/>
        <w:numPr>
          <w:ilvl w:val="0"/>
          <w:numId w:val="27"/>
        </w:numPr>
        <w:ind w:left="840" w:hanging="420"/>
        <w:rPr>
          <w:szCs w:val="21"/>
        </w:rPr>
      </w:pPr>
      <w:r>
        <w:rPr>
          <w:szCs w:val="21"/>
        </w:rPr>
        <w:t>取芯点应位于典型病害处，对于纵裂、横裂等裂缝病害，骑缝取芯；对于坑槽、网裂等块状病害，在病害范围内取芯。</w:t>
      </w:r>
    </w:p>
    <w:p>
      <w:pPr>
        <w:pStyle w:val="60"/>
        <w:numPr>
          <w:ilvl w:val="0"/>
          <w:numId w:val="27"/>
        </w:numPr>
        <w:ind w:left="840" w:hanging="420"/>
        <w:rPr>
          <w:szCs w:val="21"/>
        </w:rPr>
      </w:pPr>
      <w:r>
        <w:rPr>
          <w:szCs w:val="21"/>
        </w:rPr>
        <w:t>车辙路段，应在同一横断面的波谷、波峰和无变形处分别取芯。</w:t>
      </w:r>
    </w:p>
    <w:p>
      <w:pPr>
        <w:pStyle w:val="60"/>
        <w:numPr>
          <w:ilvl w:val="0"/>
          <w:numId w:val="27"/>
        </w:numPr>
        <w:ind w:left="840" w:hanging="420"/>
        <w:rPr>
          <w:szCs w:val="21"/>
        </w:rPr>
      </w:pPr>
      <w:r>
        <w:rPr>
          <w:szCs w:val="21"/>
        </w:rPr>
        <w:t>取芯过程中，应详细记录芯样的完整性、厚度、层间黏结情况、下承层整体性等，必要时应对基层进行取芯。</w:t>
      </w:r>
    </w:p>
    <w:p>
      <w:pPr>
        <w:pStyle w:val="60"/>
        <w:numPr>
          <w:ilvl w:val="0"/>
          <w:numId w:val="0"/>
        </w:numPr>
        <w:rPr>
          <w:szCs w:val="21"/>
        </w:rPr>
      </w:pPr>
      <w:r>
        <w:rPr>
          <w:rFonts w:ascii="黑体" w:hAnsi="黑体" w:eastAsia="黑体" w:cs="黑体"/>
          <w:szCs w:val="21"/>
        </w:rPr>
        <w:t xml:space="preserve">6.0.7  </w:t>
      </w:r>
      <w:r>
        <w:rPr>
          <w:szCs w:val="21"/>
        </w:rPr>
        <w:t>原路面材料取样应符合下列规定：</w:t>
      </w:r>
    </w:p>
    <w:p>
      <w:pPr>
        <w:pStyle w:val="60"/>
        <w:numPr>
          <w:ilvl w:val="0"/>
          <w:numId w:val="28"/>
        </w:numPr>
        <w:ind w:left="840" w:hanging="420"/>
        <w:rPr>
          <w:szCs w:val="21"/>
        </w:rPr>
      </w:pPr>
      <w:r>
        <w:rPr>
          <w:szCs w:val="21"/>
        </w:rPr>
        <w:t>取样应尽可能少破碎集料，宜采用沥青路面热再生修补车，每个取样点样品质量不得少于100kg。</w:t>
      </w:r>
    </w:p>
    <w:p>
      <w:pPr>
        <w:pStyle w:val="60"/>
        <w:numPr>
          <w:ilvl w:val="0"/>
          <w:numId w:val="28"/>
        </w:numPr>
        <w:ind w:left="840" w:hanging="420"/>
        <w:rPr>
          <w:rFonts w:ascii="黑体" w:hAnsi="黑体" w:eastAsia="黑体" w:cs="黑体"/>
          <w:szCs w:val="21"/>
        </w:rPr>
      </w:pPr>
      <w:r>
        <w:rPr>
          <w:szCs w:val="21"/>
        </w:rPr>
        <w:t>取样宜每1~3km取一个代表性点；养护路段长度小于3km，或路面结构不一致，或修建时间、养护历史有差异时，应适当提高取样频率。</w:t>
      </w:r>
    </w:p>
    <w:p>
      <w:pPr>
        <w:pStyle w:val="60"/>
        <w:numPr>
          <w:ilvl w:val="0"/>
          <w:numId w:val="0"/>
        </w:numPr>
        <w:rPr>
          <w:rFonts w:ascii="黑体" w:hAnsi="黑体" w:eastAsia="黑体" w:cs="黑体"/>
          <w:szCs w:val="21"/>
        </w:rPr>
      </w:pPr>
      <w:r>
        <w:rPr>
          <w:rFonts w:ascii="黑体" w:hAnsi="黑体" w:eastAsia="黑体" w:cs="黑体"/>
          <w:szCs w:val="21"/>
        </w:rPr>
        <w:t xml:space="preserve">6.0.8  </w:t>
      </w:r>
      <w:r>
        <w:rPr>
          <w:szCs w:val="21"/>
        </w:rPr>
        <w:t>就地热回收沥青路面材料（H-RAP）的检测项目和方法应符合表</w:t>
      </w:r>
      <w:r>
        <w:rPr>
          <w:rFonts w:hint="eastAsia"/>
          <w:szCs w:val="21"/>
        </w:rPr>
        <w:t>3</w:t>
      </w:r>
      <w:r>
        <w:rPr>
          <w:szCs w:val="21"/>
        </w:rPr>
        <w:t>的要求。</w:t>
      </w:r>
    </w:p>
    <w:p>
      <w:pPr>
        <w:pStyle w:val="138"/>
        <w:spacing w:beforeLines="0" w:afterLines="0"/>
        <w:rPr>
          <w:szCs w:val="21"/>
        </w:rPr>
      </w:pPr>
      <w:r>
        <w:rPr>
          <w:szCs w:val="21"/>
        </w:rPr>
        <w:t>就地热回收沥青路面材料检测项目</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3430"/>
        <w:gridCol w:w="3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49" w:type="pct"/>
            <w:vAlign w:val="center"/>
          </w:tcPr>
          <w:p>
            <w:pPr>
              <w:pStyle w:val="25"/>
              <w:ind w:firstLine="0" w:firstLineChars="0"/>
              <w:jc w:val="center"/>
              <w:rPr>
                <w:sz w:val="18"/>
                <w:szCs w:val="18"/>
              </w:rPr>
            </w:pPr>
            <w:r>
              <w:rPr>
                <w:sz w:val="18"/>
                <w:szCs w:val="18"/>
              </w:rPr>
              <w:t>材料</w:t>
            </w:r>
          </w:p>
        </w:tc>
        <w:tc>
          <w:tcPr>
            <w:tcW w:w="1792" w:type="pct"/>
            <w:vAlign w:val="center"/>
          </w:tcPr>
          <w:p>
            <w:pPr>
              <w:pStyle w:val="25"/>
              <w:ind w:firstLine="0" w:firstLineChars="0"/>
              <w:jc w:val="center"/>
              <w:rPr>
                <w:sz w:val="18"/>
                <w:szCs w:val="18"/>
              </w:rPr>
            </w:pPr>
            <w:r>
              <w:rPr>
                <w:sz w:val="18"/>
                <w:szCs w:val="18"/>
              </w:rPr>
              <w:t>检测项目</w:t>
            </w:r>
          </w:p>
        </w:tc>
        <w:tc>
          <w:tcPr>
            <w:tcW w:w="1959" w:type="pct"/>
            <w:vAlign w:val="center"/>
          </w:tcPr>
          <w:p>
            <w:pPr>
              <w:pStyle w:val="25"/>
              <w:ind w:firstLine="0" w:firstLineChars="0"/>
              <w:jc w:val="center"/>
              <w:rPr>
                <w:sz w:val="18"/>
                <w:szCs w:val="18"/>
              </w:rPr>
            </w:pPr>
            <w:r>
              <w:rPr>
                <w:sz w:val="18"/>
                <w:szCs w:val="18"/>
              </w:rPr>
              <w:t>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249" w:type="pct"/>
            <w:vMerge w:val="restart"/>
            <w:vAlign w:val="center"/>
          </w:tcPr>
          <w:p>
            <w:pPr>
              <w:pStyle w:val="25"/>
              <w:ind w:firstLine="0" w:firstLineChars="0"/>
              <w:jc w:val="center"/>
              <w:rPr>
                <w:sz w:val="18"/>
                <w:szCs w:val="18"/>
              </w:rPr>
            </w:pPr>
            <w:r>
              <w:rPr>
                <w:sz w:val="18"/>
                <w:szCs w:val="18"/>
              </w:rPr>
              <w:t>H-RAP</w:t>
            </w:r>
          </w:p>
        </w:tc>
        <w:tc>
          <w:tcPr>
            <w:tcW w:w="1792" w:type="pct"/>
            <w:vAlign w:val="center"/>
          </w:tcPr>
          <w:p>
            <w:pPr>
              <w:pStyle w:val="25"/>
              <w:ind w:firstLine="0" w:firstLineChars="0"/>
              <w:jc w:val="center"/>
              <w:rPr>
                <w:sz w:val="18"/>
                <w:szCs w:val="18"/>
              </w:rPr>
            </w:pPr>
            <w:r>
              <w:rPr>
                <w:sz w:val="18"/>
                <w:szCs w:val="18"/>
              </w:rPr>
              <w:t>空隙率</w:t>
            </w:r>
          </w:p>
        </w:tc>
        <w:tc>
          <w:tcPr>
            <w:tcW w:w="1959" w:type="pct"/>
            <w:vMerge w:val="restart"/>
            <w:vAlign w:val="center"/>
          </w:tcPr>
          <w:p>
            <w:pPr>
              <w:pStyle w:val="25"/>
              <w:ind w:firstLine="0" w:firstLineChars="0"/>
              <w:jc w:val="center"/>
              <w:rPr>
                <w:sz w:val="18"/>
                <w:szCs w:val="18"/>
              </w:rPr>
            </w:pPr>
            <w:r>
              <w:rPr>
                <w:sz w:val="18"/>
                <w:szCs w:val="18"/>
              </w:rPr>
              <w:t>《公路工程沥青及沥青混合料试验标准》JTG E20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249" w:type="pct"/>
            <w:vMerge w:val="continue"/>
            <w:vAlign w:val="center"/>
          </w:tcPr>
          <w:p>
            <w:pPr>
              <w:pStyle w:val="25"/>
              <w:ind w:firstLine="0" w:firstLineChars="0"/>
              <w:jc w:val="center"/>
              <w:rPr>
                <w:sz w:val="18"/>
                <w:szCs w:val="18"/>
              </w:rPr>
            </w:pPr>
          </w:p>
        </w:tc>
        <w:tc>
          <w:tcPr>
            <w:tcW w:w="1792" w:type="pct"/>
            <w:vAlign w:val="center"/>
          </w:tcPr>
          <w:p>
            <w:pPr>
              <w:pStyle w:val="25"/>
              <w:ind w:firstLine="0" w:firstLineChars="0"/>
              <w:jc w:val="center"/>
              <w:rPr>
                <w:sz w:val="18"/>
                <w:szCs w:val="18"/>
              </w:rPr>
            </w:pPr>
            <w:r>
              <w:rPr>
                <w:sz w:val="18"/>
                <w:szCs w:val="18"/>
              </w:rPr>
              <w:t>马歇尔稳定度</w:t>
            </w:r>
          </w:p>
        </w:tc>
        <w:tc>
          <w:tcPr>
            <w:tcW w:w="1959" w:type="pct"/>
            <w:vMerge w:val="continue"/>
            <w:vAlign w:val="center"/>
          </w:tcPr>
          <w:p>
            <w:pPr>
              <w:pStyle w:val="25"/>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249" w:type="pct"/>
            <w:vMerge w:val="continue"/>
            <w:vAlign w:val="center"/>
          </w:tcPr>
          <w:p>
            <w:pPr>
              <w:pStyle w:val="25"/>
              <w:ind w:firstLine="0" w:firstLineChars="0"/>
              <w:jc w:val="center"/>
              <w:rPr>
                <w:sz w:val="18"/>
                <w:szCs w:val="18"/>
              </w:rPr>
            </w:pPr>
          </w:p>
        </w:tc>
        <w:tc>
          <w:tcPr>
            <w:tcW w:w="1792" w:type="pct"/>
            <w:vAlign w:val="center"/>
          </w:tcPr>
          <w:p>
            <w:pPr>
              <w:pStyle w:val="25"/>
              <w:ind w:firstLine="0" w:firstLineChars="0"/>
              <w:jc w:val="center"/>
              <w:rPr>
                <w:sz w:val="18"/>
                <w:szCs w:val="18"/>
              </w:rPr>
            </w:pPr>
            <w:r>
              <w:rPr>
                <w:sz w:val="18"/>
                <w:szCs w:val="18"/>
              </w:rPr>
              <w:t>流值</w:t>
            </w:r>
          </w:p>
        </w:tc>
        <w:tc>
          <w:tcPr>
            <w:tcW w:w="1959" w:type="pct"/>
            <w:vMerge w:val="continue"/>
            <w:vAlign w:val="center"/>
          </w:tcPr>
          <w:p>
            <w:pPr>
              <w:pStyle w:val="25"/>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249" w:type="pct"/>
            <w:vMerge w:val="continue"/>
            <w:vAlign w:val="center"/>
          </w:tcPr>
          <w:p>
            <w:pPr>
              <w:pStyle w:val="25"/>
              <w:ind w:firstLine="0" w:firstLineChars="0"/>
              <w:jc w:val="center"/>
              <w:rPr>
                <w:sz w:val="18"/>
                <w:szCs w:val="18"/>
              </w:rPr>
            </w:pPr>
          </w:p>
        </w:tc>
        <w:tc>
          <w:tcPr>
            <w:tcW w:w="1792" w:type="pct"/>
            <w:vAlign w:val="center"/>
          </w:tcPr>
          <w:p>
            <w:pPr>
              <w:pStyle w:val="25"/>
              <w:ind w:firstLine="0" w:firstLineChars="0"/>
              <w:jc w:val="center"/>
              <w:rPr>
                <w:sz w:val="18"/>
                <w:szCs w:val="18"/>
              </w:rPr>
            </w:pPr>
            <w:r>
              <w:rPr>
                <w:sz w:val="18"/>
                <w:szCs w:val="18"/>
              </w:rPr>
              <w:t>浸水马歇尔试验</w:t>
            </w:r>
          </w:p>
        </w:tc>
        <w:tc>
          <w:tcPr>
            <w:tcW w:w="1959" w:type="pct"/>
            <w:vMerge w:val="continue"/>
            <w:vAlign w:val="center"/>
          </w:tcPr>
          <w:p>
            <w:pPr>
              <w:pStyle w:val="25"/>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249" w:type="pct"/>
            <w:vMerge w:val="restart"/>
            <w:vAlign w:val="center"/>
          </w:tcPr>
          <w:p>
            <w:pPr>
              <w:pStyle w:val="25"/>
              <w:ind w:firstLine="0" w:firstLineChars="0"/>
              <w:jc w:val="center"/>
              <w:rPr>
                <w:sz w:val="18"/>
                <w:szCs w:val="18"/>
              </w:rPr>
            </w:pPr>
            <w:r>
              <w:rPr>
                <w:sz w:val="18"/>
                <w:szCs w:val="18"/>
              </w:rPr>
              <w:t>H-RAP中的沥青</w:t>
            </w:r>
          </w:p>
        </w:tc>
        <w:tc>
          <w:tcPr>
            <w:tcW w:w="1792" w:type="pct"/>
            <w:vAlign w:val="center"/>
          </w:tcPr>
          <w:p>
            <w:pPr>
              <w:pStyle w:val="25"/>
              <w:ind w:firstLine="0" w:firstLineChars="0"/>
              <w:jc w:val="center"/>
              <w:rPr>
                <w:sz w:val="18"/>
                <w:szCs w:val="18"/>
              </w:rPr>
            </w:pPr>
            <w:r>
              <w:rPr>
                <w:sz w:val="18"/>
                <w:szCs w:val="18"/>
              </w:rPr>
              <w:t>沥青含量</w:t>
            </w:r>
          </w:p>
        </w:tc>
        <w:tc>
          <w:tcPr>
            <w:tcW w:w="1959" w:type="pct"/>
            <w:vMerge w:val="continue"/>
            <w:vAlign w:val="center"/>
          </w:tcPr>
          <w:p>
            <w:pPr>
              <w:pStyle w:val="25"/>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249" w:type="pct"/>
            <w:vMerge w:val="continue"/>
            <w:vAlign w:val="center"/>
          </w:tcPr>
          <w:p>
            <w:pPr>
              <w:pStyle w:val="25"/>
              <w:ind w:firstLine="0" w:firstLineChars="0"/>
              <w:jc w:val="center"/>
              <w:rPr>
                <w:sz w:val="18"/>
                <w:szCs w:val="18"/>
              </w:rPr>
            </w:pPr>
          </w:p>
        </w:tc>
        <w:tc>
          <w:tcPr>
            <w:tcW w:w="1792" w:type="pct"/>
            <w:vAlign w:val="center"/>
          </w:tcPr>
          <w:p>
            <w:pPr>
              <w:pStyle w:val="25"/>
              <w:ind w:firstLine="0" w:firstLineChars="0"/>
              <w:jc w:val="center"/>
              <w:rPr>
                <w:sz w:val="18"/>
                <w:szCs w:val="18"/>
              </w:rPr>
            </w:pPr>
            <w:r>
              <w:rPr>
                <w:sz w:val="18"/>
                <w:szCs w:val="18"/>
              </w:rPr>
              <w:t>针入度</w:t>
            </w:r>
          </w:p>
        </w:tc>
        <w:tc>
          <w:tcPr>
            <w:tcW w:w="1959" w:type="pct"/>
            <w:vMerge w:val="continue"/>
            <w:vAlign w:val="center"/>
          </w:tcPr>
          <w:p>
            <w:pPr>
              <w:pStyle w:val="25"/>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249" w:type="pct"/>
            <w:vMerge w:val="continue"/>
            <w:vAlign w:val="center"/>
          </w:tcPr>
          <w:p>
            <w:pPr>
              <w:pStyle w:val="25"/>
              <w:ind w:firstLine="0" w:firstLineChars="0"/>
              <w:jc w:val="center"/>
              <w:rPr>
                <w:sz w:val="18"/>
                <w:szCs w:val="18"/>
              </w:rPr>
            </w:pPr>
          </w:p>
        </w:tc>
        <w:tc>
          <w:tcPr>
            <w:tcW w:w="1792" w:type="pct"/>
            <w:vAlign w:val="center"/>
          </w:tcPr>
          <w:p>
            <w:pPr>
              <w:pStyle w:val="25"/>
              <w:ind w:firstLine="0" w:firstLineChars="0"/>
              <w:jc w:val="center"/>
              <w:rPr>
                <w:sz w:val="18"/>
                <w:szCs w:val="18"/>
              </w:rPr>
            </w:pPr>
            <w:r>
              <w:rPr>
                <w:sz w:val="18"/>
                <w:szCs w:val="18"/>
              </w:rPr>
              <w:t>延度</w:t>
            </w:r>
          </w:p>
        </w:tc>
        <w:tc>
          <w:tcPr>
            <w:tcW w:w="1959" w:type="pct"/>
            <w:vMerge w:val="continue"/>
            <w:vAlign w:val="center"/>
          </w:tcPr>
          <w:p>
            <w:pPr>
              <w:pStyle w:val="25"/>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49" w:type="pct"/>
            <w:vMerge w:val="continue"/>
            <w:vAlign w:val="center"/>
          </w:tcPr>
          <w:p>
            <w:pPr>
              <w:pStyle w:val="25"/>
              <w:ind w:firstLine="0" w:firstLineChars="0"/>
              <w:jc w:val="center"/>
              <w:rPr>
                <w:sz w:val="18"/>
                <w:szCs w:val="18"/>
              </w:rPr>
            </w:pPr>
          </w:p>
        </w:tc>
        <w:tc>
          <w:tcPr>
            <w:tcW w:w="1792" w:type="pct"/>
            <w:vAlign w:val="center"/>
          </w:tcPr>
          <w:p>
            <w:pPr>
              <w:pStyle w:val="25"/>
              <w:ind w:firstLine="0" w:firstLineChars="0"/>
              <w:jc w:val="center"/>
              <w:rPr>
                <w:sz w:val="18"/>
                <w:szCs w:val="18"/>
              </w:rPr>
            </w:pPr>
            <w:r>
              <w:rPr>
                <w:sz w:val="18"/>
                <w:szCs w:val="18"/>
              </w:rPr>
              <w:t>软化点</w:t>
            </w:r>
          </w:p>
        </w:tc>
        <w:tc>
          <w:tcPr>
            <w:tcW w:w="1959" w:type="pct"/>
            <w:vMerge w:val="continue"/>
            <w:vAlign w:val="center"/>
          </w:tcPr>
          <w:p>
            <w:pPr>
              <w:pStyle w:val="25"/>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249" w:type="pct"/>
            <w:vAlign w:val="center"/>
          </w:tcPr>
          <w:p>
            <w:pPr>
              <w:pStyle w:val="25"/>
              <w:ind w:firstLine="0" w:firstLineChars="0"/>
              <w:jc w:val="center"/>
              <w:rPr>
                <w:sz w:val="18"/>
                <w:szCs w:val="18"/>
              </w:rPr>
            </w:pPr>
            <w:r>
              <w:rPr>
                <w:sz w:val="18"/>
                <w:szCs w:val="18"/>
              </w:rPr>
              <w:t>H-RAP中的集料</w:t>
            </w:r>
          </w:p>
        </w:tc>
        <w:tc>
          <w:tcPr>
            <w:tcW w:w="1792" w:type="pct"/>
            <w:vAlign w:val="center"/>
          </w:tcPr>
          <w:p>
            <w:pPr>
              <w:pStyle w:val="25"/>
              <w:ind w:firstLine="0" w:firstLineChars="0"/>
              <w:jc w:val="center"/>
              <w:rPr>
                <w:sz w:val="18"/>
                <w:szCs w:val="18"/>
              </w:rPr>
            </w:pPr>
            <w:r>
              <w:rPr>
                <w:sz w:val="18"/>
                <w:szCs w:val="18"/>
              </w:rPr>
              <w:t>级配</w:t>
            </w:r>
          </w:p>
        </w:tc>
        <w:tc>
          <w:tcPr>
            <w:tcW w:w="1959" w:type="pct"/>
            <w:vMerge w:val="continue"/>
            <w:vAlign w:val="center"/>
          </w:tcPr>
          <w:p>
            <w:pPr>
              <w:pStyle w:val="25"/>
              <w:ind w:firstLine="0" w:firstLineChars="0"/>
              <w:jc w:val="center"/>
              <w:rPr>
                <w:sz w:val="18"/>
                <w:szCs w:val="18"/>
              </w:rPr>
            </w:pPr>
          </w:p>
        </w:tc>
      </w:tr>
    </w:tbl>
    <w:p>
      <w:pPr>
        <w:pStyle w:val="60"/>
        <w:numPr>
          <w:ilvl w:val="0"/>
          <w:numId w:val="0"/>
        </w:numPr>
        <w:rPr>
          <w:szCs w:val="21"/>
        </w:rPr>
      </w:pPr>
      <w:r>
        <w:rPr>
          <w:rFonts w:ascii="黑体" w:hAnsi="黑体" w:eastAsia="黑体" w:cs="黑体"/>
          <w:szCs w:val="21"/>
        </w:rPr>
        <w:t xml:space="preserve">6.0.9  </w:t>
      </w:r>
      <w:r>
        <w:rPr>
          <w:szCs w:val="21"/>
        </w:rPr>
        <w:t>就地热再生工程实施流程如图1所示。</w:t>
      </w: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snapToGrid w:val="0"/>
        <w:jc w:val="center"/>
        <w:rPr>
          <w:b/>
          <w:color w:val="000000"/>
          <w:szCs w:val="21"/>
        </w:rPr>
      </w:pPr>
      <w:r>
        <w:rPr>
          <w:b/>
          <w:color w:val="000000"/>
          <w:szCs w:val="21"/>
        </w:rPr>
        <mc:AlternateContent>
          <mc:Choice Requires="wpg">
            <w:drawing>
              <wp:anchor distT="0" distB="0" distL="114300" distR="114300" simplePos="0" relativeHeight="251676672" behindDoc="0" locked="0" layoutInCell="1" allowOverlap="1">
                <wp:simplePos x="0" y="0"/>
                <wp:positionH relativeFrom="column">
                  <wp:posOffset>200025</wp:posOffset>
                </wp:positionH>
                <wp:positionV relativeFrom="paragraph">
                  <wp:posOffset>14605</wp:posOffset>
                </wp:positionV>
                <wp:extent cx="5570220" cy="4037330"/>
                <wp:effectExtent l="33655" t="12700" r="6350" b="7620"/>
                <wp:wrapNone/>
                <wp:docPr id="51" name="组合 51"/>
                <wp:cNvGraphicFramePr/>
                <a:graphic xmlns:a="http://schemas.openxmlformats.org/drawingml/2006/main">
                  <a:graphicData uri="http://schemas.microsoft.com/office/word/2010/wordprocessingGroup">
                    <wpg:wgp>
                      <wpg:cNvGrpSpPr/>
                      <wpg:grpSpPr>
                        <a:xfrm>
                          <a:off x="0" y="0"/>
                          <a:ext cx="5570220" cy="4037330"/>
                          <a:chOff x="1307" y="2220"/>
                          <a:chExt cx="8772" cy="6358"/>
                        </a:xfrm>
                      </wpg:grpSpPr>
                      <wpg:grpSp>
                        <wpg:cNvPr id="52" name="Group 17"/>
                        <wpg:cNvGrpSpPr/>
                        <wpg:grpSpPr>
                          <a:xfrm>
                            <a:off x="4147" y="2220"/>
                            <a:ext cx="5932" cy="1772"/>
                            <a:chOff x="4147" y="2220"/>
                            <a:chExt cx="5932" cy="1772"/>
                          </a:xfrm>
                        </wpg:grpSpPr>
                        <wps:wsp>
                          <wps:cNvPr id="53" name="直线 417"/>
                          <wps:cNvCnPr>
                            <a:cxnSpLocks noChangeShapeType="1"/>
                          </wps:cNvCnPr>
                          <wps:spPr bwMode="auto">
                            <a:xfrm>
                              <a:off x="4147" y="3106"/>
                              <a:ext cx="1515" cy="0"/>
                            </a:xfrm>
                            <a:prstGeom prst="line">
                              <a:avLst/>
                            </a:prstGeom>
                            <a:noFill/>
                            <a:ln w="9525">
                              <a:solidFill>
                                <a:srgbClr val="000000"/>
                              </a:solidFill>
                              <a:round/>
                            </a:ln>
                          </wps:spPr>
                          <wps:bodyPr/>
                        </wps:wsp>
                        <wps:wsp>
                          <wps:cNvPr id="54" name="直线 418"/>
                          <wps:cNvCnPr>
                            <a:cxnSpLocks noChangeShapeType="1"/>
                          </wps:cNvCnPr>
                          <wps:spPr bwMode="auto">
                            <a:xfrm>
                              <a:off x="5094" y="2515"/>
                              <a:ext cx="0" cy="1182"/>
                            </a:xfrm>
                            <a:prstGeom prst="line">
                              <a:avLst/>
                            </a:prstGeom>
                            <a:noFill/>
                            <a:ln w="9525">
                              <a:solidFill>
                                <a:srgbClr val="000000"/>
                              </a:solidFill>
                              <a:round/>
                            </a:ln>
                          </wps:spPr>
                          <wps:bodyPr/>
                        </wps:wsp>
                        <wps:wsp>
                          <wps:cNvPr id="55" name="直线 419"/>
                          <wps:cNvCnPr>
                            <a:cxnSpLocks noChangeShapeType="1"/>
                          </wps:cNvCnPr>
                          <wps:spPr bwMode="auto">
                            <a:xfrm>
                              <a:off x="5094" y="2515"/>
                              <a:ext cx="568" cy="0"/>
                            </a:xfrm>
                            <a:prstGeom prst="line">
                              <a:avLst/>
                            </a:prstGeom>
                            <a:noFill/>
                            <a:ln w="9525">
                              <a:solidFill>
                                <a:srgbClr val="000000"/>
                              </a:solidFill>
                              <a:round/>
                            </a:ln>
                          </wps:spPr>
                          <wps:bodyPr/>
                        </wps:wsp>
                        <wps:wsp>
                          <wps:cNvPr id="56" name="直线 420"/>
                          <wps:cNvCnPr>
                            <a:cxnSpLocks noChangeShapeType="1"/>
                          </wps:cNvCnPr>
                          <wps:spPr bwMode="auto">
                            <a:xfrm>
                              <a:off x="5094" y="3697"/>
                              <a:ext cx="568" cy="0"/>
                            </a:xfrm>
                            <a:prstGeom prst="line">
                              <a:avLst/>
                            </a:prstGeom>
                            <a:noFill/>
                            <a:ln w="9525">
                              <a:solidFill>
                                <a:srgbClr val="000000"/>
                              </a:solidFill>
                              <a:round/>
                            </a:ln>
                          </wps:spPr>
                          <wps:bodyPr/>
                        </wps:wsp>
                        <wps:wsp>
                          <wps:cNvPr id="57" name="矩形 421"/>
                          <wps:cNvSpPr>
                            <a:spLocks noChangeArrowheads="1"/>
                          </wps:cNvSpPr>
                          <wps:spPr bwMode="auto">
                            <a:xfrm>
                              <a:off x="5662" y="2220"/>
                              <a:ext cx="4417" cy="443"/>
                            </a:xfrm>
                            <a:prstGeom prst="rect">
                              <a:avLst/>
                            </a:prstGeom>
                            <a:solidFill>
                              <a:srgbClr val="FFFFFF"/>
                            </a:solidFill>
                            <a:ln w="9525">
                              <a:solidFill>
                                <a:srgbClr val="000000"/>
                              </a:solidFill>
                              <a:miter lim="800000"/>
                            </a:ln>
                          </wps:spPr>
                          <wps:txbx>
                            <w:txbxContent>
                              <w:p>
                                <w:pPr>
                                  <w:ind w:firstLine="105" w:firstLineChars="50"/>
                                </w:pPr>
                                <w:r>
                                  <w:rPr>
                                    <w:rFonts w:hint="eastAsia"/>
                                  </w:rPr>
                                  <w:t>资料调查：设计资料、施工资料、养护资料</w:t>
                                </w:r>
                              </w:p>
                            </w:txbxContent>
                          </wps:txbx>
                          <wps:bodyPr rot="0" vert="horz" wrap="square" lIns="91440" tIns="45720" rIns="91440" bIns="45720" anchor="t" anchorCtr="0" upright="1">
                            <a:noAutofit/>
                          </wps:bodyPr>
                        </wps:wsp>
                        <wps:wsp>
                          <wps:cNvPr id="58" name="矩形 422"/>
                          <wps:cNvSpPr>
                            <a:spLocks noChangeArrowheads="1"/>
                          </wps:cNvSpPr>
                          <wps:spPr bwMode="auto">
                            <a:xfrm>
                              <a:off x="5662" y="2876"/>
                              <a:ext cx="4417" cy="443"/>
                            </a:xfrm>
                            <a:prstGeom prst="rect">
                              <a:avLst/>
                            </a:prstGeom>
                            <a:solidFill>
                              <a:srgbClr val="FFFFFF"/>
                            </a:solidFill>
                            <a:ln w="9525">
                              <a:solidFill>
                                <a:srgbClr val="000000"/>
                              </a:solidFill>
                              <a:miter lim="800000"/>
                            </a:ln>
                          </wps:spPr>
                          <wps:txbx>
                            <w:txbxContent>
                              <w:p>
                                <w:pPr>
                                  <w:ind w:firstLine="105" w:firstLineChars="50"/>
                                </w:pPr>
                                <w:r>
                                  <w:rPr>
                                    <w:rFonts w:hint="eastAsia"/>
                                  </w:rPr>
                                  <w:t>路况调查：车辙、损坏调查、横坡等</w:t>
                                </w:r>
                              </w:p>
                            </w:txbxContent>
                          </wps:txbx>
                          <wps:bodyPr rot="0" vert="horz" wrap="square" lIns="91440" tIns="45720" rIns="91440" bIns="45720" anchor="t" anchorCtr="0" upright="1">
                            <a:noAutofit/>
                          </wps:bodyPr>
                        </wps:wsp>
                        <wps:wsp>
                          <wps:cNvPr id="59" name="矩形 423"/>
                          <wps:cNvSpPr>
                            <a:spLocks noChangeArrowheads="1"/>
                          </wps:cNvSpPr>
                          <wps:spPr bwMode="auto">
                            <a:xfrm>
                              <a:off x="5662" y="3549"/>
                              <a:ext cx="4417" cy="443"/>
                            </a:xfrm>
                            <a:prstGeom prst="rect">
                              <a:avLst/>
                            </a:prstGeom>
                            <a:solidFill>
                              <a:srgbClr val="FFFFFF"/>
                            </a:solidFill>
                            <a:ln w="9525">
                              <a:solidFill>
                                <a:srgbClr val="000000"/>
                              </a:solidFill>
                              <a:miter lim="800000"/>
                            </a:ln>
                          </wps:spPr>
                          <wps:txbx>
                            <w:txbxContent>
                              <w:p>
                                <w:pPr>
                                  <w:ind w:firstLine="105" w:firstLineChars="50"/>
                                </w:pPr>
                                <w:r>
                                  <w:rPr>
                                    <w:rFonts w:hint="eastAsia"/>
                                  </w:rPr>
                                  <w:t>路面评价：病害分析及路面评价</w:t>
                                </w:r>
                              </w:p>
                            </w:txbxContent>
                          </wps:txbx>
                          <wps:bodyPr rot="0" vert="horz" wrap="square" lIns="91440" tIns="45720" rIns="91440" bIns="45720" anchor="t" anchorCtr="0" upright="1">
                            <a:noAutofit/>
                          </wps:bodyPr>
                        </wps:wsp>
                      </wpg:grpSp>
                      <wpg:grpSp>
                        <wpg:cNvPr id="60" name="Group 25"/>
                        <wpg:cNvGrpSpPr/>
                        <wpg:grpSpPr>
                          <a:xfrm>
                            <a:off x="4279" y="5173"/>
                            <a:ext cx="4413" cy="1034"/>
                            <a:chOff x="4279" y="5173"/>
                            <a:chExt cx="4413" cy="1034"/>
                          </a:xfrm>
                        </wpg:grpSpPr>
                        <wps:wsp>
                          <wps:cNvPr id="61" name="直线 430"/>
                          <wps:cNvCnPr>
                            <a:cxnSpLocks noChangeShapeType="1"/>
                          </wps:cNvCnPr>
                          <wps:spPr bwMode="auto">
                            <a:xfrm>
                              <a:off x="4279" y="5668"/>
                              <a:ext cx="815" cy="0"/>
                            </a:xfrm>
                            <a:prstGeom prst="line">
                              <a:avLst/>
                            </a:prstGeom>
                            <a:noFill/>
                            <a:ln w="9525">
                              <a:solidFill>
                                <a:srgbClr val="000000"/>
                              </a:solidFill>
                              <a:round/>
                            </a:ln>
                          </wps:spPr>
                          <wps:bodyPr/>
                        </wps:wsp>
                        <wps:wsp>
                          <wps:cNvPr id="62" name="直线 431"/>
                          <wps:cNvCnPr>
                            <a:cxnSpLocks noChangeShapeType="1"/>
                          </wps:cNvCnPr>
                          <wps:spPr bwMode="auto">
                            <a:xfrm>
                              <a:off x="5094" y="5321"/>
                              <a:ext cx="0" cy="738"/>
                            </a:xfrm>
                            <a:prstGeom prst="line">
                              <a:avLst/>
                            </a:prstGeom>
                            <a:noFill/>
                            <a:ln w="9525">
                              <a:solidFill>
                                <a:srgbClr val="000000"/>
                              </a:solidFill>
                              <a:round/>
                            </a:ln>
                          </wps:spPr>
                          <wps:bodyPr/>
                        </wps:wsp>
                        <wps:wsp>
                          <wps:cNvPr id="63" name="直线 432"/>
                          <wps:cNvCnPr>
                            <a:cxnSpLocks noChangeShapeType="1"/>
                          </wps:cNvCnPr>
                          <wps:spPr bwMode="auto">
                            <a:xfrm>
                              <a:off x="5094" y="5321"/>
                              <a:ext cx="568" cy="0"/>
                            </a:xfrm>
                            <a:prstGeom prst="line">
                              <a:avLst/>
                            </a:prstGeom>
                            <a:noFill/>
                            <a:ln w="9525">
                              <a:solidFill>
                                <a:srgbClr val="000000"/>
                              </a:solidFill>
                              <a:round/>
                            </a:ln>
                          </wps:spPr>
                          <wps:bodyPr/>
                        </wps:wsp>
                        <wps:wsp>
                          <wps:cNvPr id="64" name="直线 433"/>
                          <wps:cNvCnPr>
                            <a:cxnSpLocks noChangeShapeType="1"/>
                          </wps:cNvCnPr>
                          <wps:spPr bwMode="auto">
                            <a:xfrm>
                              <a:off x="5094" y="6059"/>
                              <a:ext cx="568" cy="0"/>
                            </a:xfrm>
                            <a:prstGeom prst="line">
                              <a:avLst/>
                            </a:prstGeom>
                            <a:noFill/>
                            <a:ln w="9525">
                              <a:solidFill>
                                <a:srgbClr val="000000"/>
                              </a:solidFill>
                              <a:round/>
                            </a:ln>
                          </wps:spPr>
                          <wps:bodyPr/>
                        </wps:wsp>
                        <wps:wsp>
                          <wps:cNvPr id="65" name="矩形 434"/>
                          <wps:cNvSpPr>
                            <a:spLocks noChangeArrowheads="1"/>
                          </wps:cNvSpPr>
                          <wps:spPr bwMode="auto">
                            <a:xfrm>
                              <a:off x="5662" y="5173"/>
                              <a:ext cx="3030" cy="443"/>
                            </a:xfrm>
                            <a:prstGeom prst="rect">
                              <a:avLst/>
                            </a:prstGeom>
                            <a:solidFill>
                              <a:srgbClr val="FFFFFF"/>
                            </a:solidFill>
                            <a:ln w="9525">
                              <a:solidFill>
                                <a:srgbClr val="000000"/>
                              </a:solidFill>
                              <a:miter lim="800000"/>
                            </a:ln>
                          </wps:spPr>
                          <wps:txbx>
                            <w:txbxContent>
                              <w:p>
                                <w:pPr>
                                  <w:ind w:firstLine="105" w:firstLineChars="50"/>
                                  <w:rPr>
                                    <w:color w:val="000000"/>
                                  </w:rPr>
                                </w:pPr>
                                <w:r>
                                  <w:rPr>
                                    <w:rFonts w:hint="eastAsia"/>
                                    <w:color w:val="000000"/>
                                  </w:rPr>
                                  <w:t>路面病害类型、程度及位置</w:t>
                                </w:r>
                              </w:p>
                            </w:txbxContent>
                          </wps:txbx>
                          <wps:bodyPr rot="0" vert="horz" wrap="square" lIns="91440" tIns="45720" rIns="91440" bIns="45720" anchor="t" anchorCtr="0" upright="1">
                            <a:noAutofit/>
                          </wps:bodyPr>
                        </wps:wsp>
                        <wps:wsp>
                          <wps:cNvPr id="66" name="矩形 435"/>
                          <wps:cNvSpPr>
                            <a:spLocks noChangeArrowheads="1"/>
                          </wps:cNvSpPr>
                          <wps:spPr bwMode="auto">
                            <a:xfrm>
                              <a:off x="5662" y="5764"/>
                              <a:ext cx="3030" cy="443"/>
                            </a:xfrm>
                            <a:prstGeom prst="rect">
                              <a:avLst/>
                            </a:prstGeom>
                            <a:solidFill>
                              <a:srgbClr val="FFFFFF"/>
                            </a:solidFill>
                            <a:ln w="9525">
                              <a:solidFill>
                                <a:srgbClr val="000000"/>
                              </a:solidFill>
                              <a:miter lim="800000"/>
                            </a:ln>
                          </wps:spPr>
                          <wps:txbx>
                            <w:txbxContent>
                              <w:p>
                                <w:pPr>
                                  <w:ind w:firstLine="105" w:firstLineChars="50"/>
                                </w:pPr>
                                <w:r>
                                  <w:rPr>
                                    <w:rFonts w:hint="eastAsia"/>
                                  </w:rPr>
                                  <w:t>原路面面层材料质量</w:t>
                                </w:r>
                              </w:p>
                            </w:txbxContent>
                          </wps:txbx>
                          <wps:bodyPr rot="0" vert="horz" wrap="square" lIns="91440" tIns="45720" rIns="91440" bIns="45720" anchor="t" anchorCtr="0" upright="1">
                            <a:noAutofit/>
                          </wps:bodyPr>
                        </wps:wsp>
                      </wpg:grpSp>
                      <wpg:grpSp>
                        <wpg:cNvPr id="67" name="Group 32"/>
                        <wpg:cNvGrpSpPr/>
                        <wpg:grpSpPr>
                          <a:xfrm>
                            <a:off x="1307" y="2893"/>
                            <a:ext cx="8142" cy="5685"/>
                            <a:chOff x="1307" y="2893"/>
                            <a:chExt cx="8142" cy="5685"/>
                          </a:xfrm>
                        </wpg:grpSpPr>
                        <wps:wsp>
                          <wps:cNvPr id="68" name="文本框 562"/>
                          <wps:cNvSpPr txBox="1">
                            <a:spLocks noChangeArrowheads="1"/>
                          </wps:cNvSpPr>
                          <wps:spPr bwMode="auto">
                            <a:xfrm>
                              <a:off x="3375" y="5019"/>
                              <a:ext cx="450" cy="525"/>
                            </a:xfrm>
                            <a:prstGeom prst="rect">
                              <a:avLst/>
                            </a:prstGeom>
                            <a:solidFill>
                              <a:srgbClr val="FFFFFF"/>
                            </a:solidFill>
                            <a:ln>
                              <a:noFill/>
                            </a:ln>
                          </wps:spPr>
                          <wps:txbx>
                            <w:txbxContent>
                              <w:p>
                                <w:r>
                                  <w:rPr>
                                    <w:rFonts w:hint="eastAsia"/>
                                  </w:rPr>
                                  <w:t>是</w:t>
                                </w:r>
                              </w:p>
                            </w:txbxContent>
                          </wps:txbx>
                          <wps:bodyPr rot="0" vert="horz" wrap="square" lIns="91440" tIns="45720" rIns="91440" bIns="45720" anchor="t" anchorCtr="0" upright="1">
                            <a:noAutofit/>
                          </wps:bodyPr>
                        </wps:wsp>
                        <wps:wsp>
                          <wps:cNvPr id="69" name="直线 449"/>
                          <wps:cNvCnPr>
                            <a:cxnSpLocks noChangeShapeType="1"/>
                          </wps:cNvCnPr>
                          <wps:spPr bwMode="auto">
                            <a:xfrm>
                              <a:off x="5473" y="4583"/>
                              <a:ext cx="947" cy="0"/>
                            </a:xfrm>
                            <a:prstGeom prst="line">
                              <a:avLst/>
                            </a:prstGeom>
                            <a:noFill/>
                            <a:ln w="9525">
                              <a:solidFill>
                                <a:srgbClr val="000000"/>
                              </a:solidFill>
                              <a:round/>
                            </a:ln>
                          </wps:spPr>
                          <wps:bodyPr/>
                        </wps:wsp>
                        <wps:wsp>
                          <wps:cNvPr id="70" name="矩形 416"/>
                          <wps:cNvSpPr>
                            <a:spLocks noChangeArrowheads="1"/>
                          </wps:cNvSpPr>
                          <wps:spPr bwMode="auto">
                            <a:xfrm>
                              <a:off x="2632" y="2893"/>
                              <a:ext cx="1515" cy="443"/>
                            </a:xfrm>
                            <a:prstGeom prst="rect">
                              <a:avLst/>
                            </a:prstGeom>
                            <a:solidFill>
                              <a:srgbClr val="FFFFFF"/>
                            </a:solidFill>
                            <a:ln w="9525">
                              <a:solidFill>
                                <a:srgbClr val="000000"/>
                              </a:solidFill>
                              <a:miter lim="800000"/>
                            </a:ln>
                          </wps:spPr>
                          <wps:txbx>
                            <w:txbxContent>
                              <w:p>
                                <w:pPr>
                                  <w:jc w:val="center"/>
                                </w:pPr>
                                <w:r>
                                  <w:rPr>
                                    <w:rFonts w:hint="eastAsia"/>
                                  </w:rPr>
                                  <w:t>原路面调查</w:t>
                                </w:r>
                              </w:p>
                            </w:txbxContent>
                          </wps:txbx>
                          <wps:bodyPr rot="0" vert="horz" wrap="square" lIns="91440" tIns="45720" rIns="91440" bIns="45720" anchor="t" anchorCtr="0" upright="1">
                            <a:noAutofit/>
                          </wps:bodyPr>
                        </wps:wsp>
                        <wps:wsp>
                          <wps:cNvPr id="71" name="直线 424"/>
                          <wps:cNvCnPr>
                            <a:cxnSpLocks noChangeShapeType="1"/>
                          </wps:cNvCnPr>
                          <wps:spPr bwMode="auto">
                            <a:xfrm>
                              <a:off x="3390" y="3336"/>
                              <a:ext cx="0" cy="804"/>
                            </a:xfrm>
                            <a:prstGeom prst="line">
                              <a:avLst/>
                            </a:prstGeom>
                            <a:noFill/>
                            <a:ln w="9525">
                              <a:solidFill>
                                <a:srgbClr val="000000"/>
                              </a:solidFill>
                              <a:round/>
                              <a:tailEnd type="triangle" w="med" len="med"/>
                            </a:ln>
                          </wps:spPr>
                          <wps:bodyPr/>
                        </wps:wsp>
                        <wps:wsp>
                          <wps:cNvPr id="72" name="自选图形 425"/>
                          <wps:cNvSpPr>
                            <a:spLocks noChangeArrowheads="1"/>
                          </wps:cNvSpPr>
                          <wps:spPr bwMode="auto">
                            <a:xfrm>
                              <a:off x="1307" y="4140"/>
                              <a:ext cx="4166" cy="886"/>
                            </a:xfrm>
                            <a:prstGeom prst="flowChartDecision">
                              <a:avLst/>
                            </a:prstGeom>
                            <a:solidFill>
                              <a:srgbClr val="FFFFFF"/>
                            </a:solidFill>
                            <a:ln w="9525">
                              <a:solidFill>
                                <a:srgbClr val="000000"/>
                              </a:solidFill>
                              <a:miter lim="800000"/>
                            </a:ln>
                          </wps:spPr>
                          <wps:txbx>
                            <w:txbxContent>
                              <w:p>
                                <w:r>
                                  <w:rPr>
                                    <w:rFonts w:hint="eastAsia"/>
                                  </w:rPr>
                                  <w:t>热再生技术适用性</w:t>
                                </w:r>
                              </w:p>
                            </w:txbxContent>
                          </wps:txbx>
                          <wps:bodyPr rot="0" vert="horz" wrap="square" lIns="91440" tIns="45720" rIns="91440" bIns="45720" anchor="t" anchorCtr="0" upright="1">
                            <a:noAutofit/>
                          </wps:bodyPr>
                        </wps:wsp>
                        <wps:wsp>
                          <wps:cNvPr id="73" name="椭圆 426"/>
                          <wps:cNvSpPr>
                            <a:spLocks noChangeArrowheads="1"/>
                          </wps:cNvSpPr>
                          <wps:spPr bwMode="auto">
                            <a:xfrm>
                              <a:off x="6420" y="4140"/>
                              <a:ext cx="3029" cy="886"/>
                            </a:xfrm>
                            <a:prstGeom prst="ellipse">
                              <a:avLst/>
                            </a:prstGeom>
                            <a:solidFill>
                              <a:srgbClr val="FFFFFF"/>
                            </a:solidFill>
                            <a:ln w="9525">
                              <a:solidFill>
                                <a:srgbClr val="000000"/>
                              </a:solidFill>
                              <a:round/>
                            </a:ln>
                          </wps:spPr>
                          <wps:txbx>
                            <w:txbxContent>
                              <w:p>
                                <w:pPr>
                                  <w:spacing w:before="156" w:beforeLines="50"/>
                                  <w:jc w:val="center"/>
                                </w:pPr>
                                <w:r>
                                  <w:rPr>
                                    <w:rFonts w:hint="eastAsia"/>
                                  </w:rPr>
                                  <w:t>采用其他养护方式</w:t>
                                </w:r>
                              </w:p>
                            </w:txbxContent>
                          </wps:txbx>
                          <wps:bodyPr rot="0" vert="horz" wrap="square" lIns="91440" tIns="45720" rIns="91440" bIns="45720" anchor="t" anchorCtr="0" upright="1">
                            <a:noAutofit/>
                          </wps:bodyPr>
                        </wps:wsp>
                        <wps:wsp>
                          <wps:cNvPr id="74" name="矩形 427"/>
                          <wps:cNvSpPr>
                            <a:spLocks noChangeArrowheads="1"/>
                          </wps:cNvSpPr>
                          <wps:spPr bwMode="auto">
                            <a:xfrm>
                              <a:off x="5753" y="4179"/>
                              <a:ext cx="758" cy="443"/>
                            </a:xfrm>
                            <a:prstGeom prst="rect">
                              <a:avLst/>
                            </a:prstGeom>
                            <a:noFill/>
                            <a:ln>
                              <a:noFill/>
                            </a:ln>
                          </wps:spPr>
                          <wps:txbx>
                            <w:txbxContent>
                              <w:p>
                                <w:r>
                                  <w:rPr>
                                    <w:rFonts w:hint="eastAsia"/>
                                  </w:rPr>
                                  <w:t>否</w:t>
                                </w:r>
                              </w:p>
                            </w:txbxContent>
                          </wps:txbx>
                          <wps:bodyPr rot="0" vert="horz" wrap="square" lIns="91440" tIns="45720" rIns="91440" bIns="45720" anchor="t" anchorCtr="0" upright="1">
                            <a:noAutofit/>
                          </wps:bodyPr>
                        </wps:wsp>
                        <wps:wsp>
                          <wps:cNvPr id="75" name="直线 428"/>
                          <wps:cNvCnPr>
                            <a:cxnSpLocks noChangeShapeType="1"/>
                          </wps:cNvCnPr>
                          <wps:spPr bwMode="auto">
                            <a:xfrm>
                              <a:off x="3390" y="5026"/>
                              <a:ext cx="0" cy="443"/>
                            </a:xfrm>
                            <a:prstGeom prst="line">
                              <a:avLst/>
                            </a:prstGeom>
                            <a:noFill/>
                            <a:ln w="9525">
                              <a:solidFill>
                                <a:srgbClr val="000000"/>
                              </a:solidFill>
                              <a:round/>
                              <a:tailEnd type="triangle" w="med" len="med"/>
                            </a:ln>
                          </wps:spPr>
                          <wps:bodyPr/>
                        </wps:wsp>
                        <wps:wsp>
                          <wps:cNvPr id="76" name="矩形 429"/>
                          <wps:cNvSpPr>
                            <a:spLocks noChangeArrowheads="1"/>
                          </wps:cNvSpPr>
                          <wps:spPr bwMode="auto">
                            <a:xfrm>
                              <a:off x="2457" y="5469"/>
                              <a:ext cx="1822" cy="443"/>
                            </a:xfrm>
                            <a:prstGeom prst="rect">
                              <a:avLst/>
                            </a:prstGeom>
                            <a:solidFill>
                              <a:srgbClr val="FFFFFF"/>
                            </a:solidFill>
                            <a:ln w="9525">
                              <a:solidFill>
                                <a:srgbClr val="000000"/>
                              </a:solidFill>
                              <a:miter lim="800000"/>
                            </a:ln>
                          </wps:spPr>
                          <wps:txbx>
                            <w:txbxContent>
                              <w:p>
                                <w:pPr>
                                  <w:jc w:val="center"/>
                                </w:pPr>
                                <w:r>
                                  <w:rPr>
                                    <w:rFonts w:hint="eastAsia"/>
                                  </w:rPr>
                                  <w:t>详细调查</w:t>
                                </w:r>
                              </w:p>
                            </w:txbxContent>
                          </wps:txbx>
                          <wps:bodyPr rot="0" vert="horz" wrap="square" lIns="91440" tIns="45720" rIns="91440" bIns="45720" anchor="t" anchorCtr="0" upright="1">
                            <a:noAutofit/>
                          </wps:bodyPr>
                        </wps:wsp>
                        <wps:wsp>
                          <wps:cNvPr id="77" name="直线 436"/>
                          <wps:cNvCnPr>
                            <a:cxnSpLocks noChangeShapeType="1"/>
                          </wps:cNvCnPr>
                          <wps:spPr bwMode="auto">
                            <a:xfrm>
                              <a:off x="3390" y="5912"/>
                              <a:ext cx="0" cy="443"/>
                            </a:xfrm>
                            <a:prstGeom prst="line">
                              <a:avLst/>
                            </a:prstGeom>
                            <a:noFill/>
                            <a:ln w="9525">
                              <a:solidFill>
                                <a:srgbClr val="000000"/>
                              </a:solidFill>
                              <a:round/>
                              <a:tailEnd type="triangle" w="med" len="med"/>
                            </a:ln>
                          </wps:spPr>
                          <wps:bodyPr/>
                        </wps:wsp>
                        <wps:wsp>
                          <wps:cNvPr id="78" name="矩形 437"/>
                          <wps:cNvSpPr>
                            <a:spLocks noChangeArrowheads="1"/>
                          </wps:cNvSpPr>
                          <wps:spPr bwMode="auto">
                            <a:xfrm>
                              <a:off x="2457" y="6355"/>
                              <a:ext cx="1822" cy="443"/>
                            </a:xfrm>
                            <a:prstGeom prst="rect">
                              <a:avLst/>
                            </a:prstGeom>
                            <a:solidFill>
                              <a:srgbClr val="FFFFFF"/>
                            </a:solidFill>
                            <a:ln w="9525">
                              <a:solidFill>
                                <a:srgbClr val="000000"/>
                              </a:solidFill>
                              <a:miter lim="800000"/>
                            </a:ln>
                          </wps:spPr>
                          <wps:txbx>
                            <w:txbxContent>
                              <w:p>
                                <w:pPr>
                                  <w:jc w:val="center"/>
                                </w:pPr>
                                <w:r>
                                  <w:rPr>
                                    <w:rFonts w:hint="eastAsia"/>
                                  </w:rPr>
                                  <w:t>选择再生工艺</w:t>
                                </w:r>
                              </w:p>
                            </w:txbxContent>
                          </wps:txbx>
                          <wps:bodyPr rot="0" vert="horz" wrap="square" lIns="91440" tIns="45720" rIns="91440" bIns="45720" anchor="t" anchorCtr="0" upright="1">
                            <a:noAutofit/>
                          </wps:bodyPr>
                        </wps:wsp>
                        <wps:wsp>
                          <wps:cNvPr id="79" name="直线 438"/>
                          <wps:cNvCnPr>
                            <a:cxnSpLocks noChangeShapeType="1"/>
                          </wps:cNvCnPr>
                          <wps:spPr bwMode="auto">
                            <a:xfrm>
                              <a:off x="3390" y="6798"/>
                              <a:ext cx="0" cy="443"/>
                            </a:xfrm>
                            <a:prstGeom prst="line">
                              <a:avLst/>
                            </a:prstGeom>
                            <a:noFill/>
                            <a:ln w="9525">
                              <a:solidFill>
                                <a:srgbClr val="000000"/>
                              </a:solidFill>
                              <a:round/>
                              <a:tailEnd type="triangle" w="med" len="med"/>
                            </a:ln>
                          </wps:spPr>
                          <wps:bodyPr/>
                        </wps:wsp>
                        <wps:wsp>
                          <wps:cNvPr id="80" name="矩形 439"/>
                          <wps:cNvSpPr>
                            <a:spLocks noChangeArrowheads="1"/>
                          </wps:cNvSpPr>
                          <wps:spPr bwMode="auto">
                            <a:xfrm>
                              <a:off x="2457" y="7241"/>
                              <a:ext cx="1822" cy="443"/>
                            </a:xfrm>
                            <a:prstGeom prst="rect">
                              <a:avLst/>
                            </a:prstGeom>
                            <a:solidFill>
                              <a:srgbClr val="FFFFFF"/>
                            </a:solidFill>
                            <a:ln w="9525">
                              <a:solidFill>
                                <a:srgbClr val="000000"/>
                              </a:solidFill>
                              <a:miter lim="800000"/>
                            </a:ln>
                          </wps:spPr>
                          <wps:txbx>
                            <w:txbxContent>
                              <w:p>
                                <w:pPr>
                                  <w:jc w:val="center"/>
                                </w:pPr>
                                <w:r>
                                  <w:rPr>
                                    <w:rFonts w:hint="eastAsia"/>
                                  </w:rPr>
                                  <w:t>再生混合料设计</w:t>
                                </w:r>
                              </w:p>
                            </w:txbxContent>
                          </wps:txbx>
                          <wps:bodyPr rot="0" vert="horz" wrap="square" lIns="91440" tIns="45720" rIns="91440" bIns="45720" anchor="t" anchorCtr="0" upright="1">
                            <a:noAutofit/>
                          </wps:bodyPr>
                        </wps:wsp>
                        <wps:wsp>
                          <wps:cNvPr id="81" name="直线 440"/>
                          <wps:cNvCnPr>
                            <a:cxnSpLocks noChangeShapeType="1"/>
                          </wps:cNvCnPr>
                          <wps:spPr bwMode="auto">
                            <a:xfrm>
                              <a:off x="3390" y="7684"/>
                              <a:ext cx="0" cy="443"/>
                            </a:xfrm>
                            <a:prstGeom prst="line">
                              <a:avLst/>
                            </a:prstGeom>
                            <a:noFill/>
                            <a:ln w="9525">
                              <a:solidFill>
                                <a:srgbClr val="000000"/>
                              </a:solidFill>
                              <a:round/>
                              <a:tailEnd type="triangle" w="med" len="med"/>
                            </a:ln>
                          </wps:spPr>
                          <wps:bodyPr/>
                        </wps:wsp>
                        <wps:wsp>
                          <wps:cNvPr id="82" name="矩形 441"/>
                          <wps:cNvSpPr>
                            <a:spLocks noChangeArrowheads="1"/>
                          </wps:cNvSpPr>
                          <wps:spPr bwMode="auto">
                            <a:xfrm>
                              <a:off x="2457" y="8135"/>
                              <a:ext cx="1822" cy="443"/>
                            </a:xfrm>
                            <a:prstGeom prst="rect">
                              <a:avLst/>
                            </a:prstGeom>
                            <a:solidFill>
                              <a:srgbClr val="FFFFFF"/>
                            </a:solidFill>
                            <a:ln w="9525">
                              <a:solidFill>
                                <a:srgbClr val="000000"/>
                              </a:solidFill>
                              <a:miter lim="800000"/>
                            </a:ln>
                          </wps:spPr>
                          <wps:txbx>
                            <w:txbxContent>
                              <w:p>
                                <w:pPr>
                                  <w:jc w:val="center"/>
                                </w:pPr>
                                <w:r>
                                  <w:rPr>
                                    <w:rFonts w:hint="eastAsia"/>
                                  </w:rPr>
                                  <w:t>施工</w:t>
                                </w:r>
                              </w:p>
                            </w:txbxContent>
                          </wps:txbx>
                          <wps:bodyPr rot="0" vert="horz" wrap="square" lIns="91440" tIns="45720" rIns="91440" bIns="45720" anchor="t" anchorCtr="0" upright="1">
                            <a:noAutofit/>
                          </wps:bodyPr>
                        </wps:wsp>
                      </wpg:grpSp>
                      <wpg:grpSp>
                        <wpg:cNvPr id="83" name="Group 48"/>
                        <wpg:cNvGrpSpPr/>
                        <wpg:grpSpPr>
                          <a:xfrm>
                            <a:off x="4279" y="6650"/>
                            <a:ext cx="4793" cy="1720"/>
                            <a:chOff x="4279" y="6650"/>
                            <a:chExt cx="4793" cy="1720"/>
                          </a:xfrm>
                        </wpg:grpSpPr>
                        <wps:wsp>
                          <wps:cNvPr id="84" name="直线 442"/>
                          <wps:cNvCnPr>
                            <a:cxnSpLocks noChangeShapeType="1"/>
                          </wps:cNvCnPr>
                          <wps:spPr bwMode="auto">
                            <a:xfrm>
                              <a:off x="4279" y="7458"/>
                              <a:ext cx="815" cy="0"/>
                            </a:xfrm>
                            <a:prstGeom prst="line">
                              <a:avLst/>
                            </a:prstGeom>
                            <a:noFill/>
                            <a:ln w="9525">
                              <a:solidFill>
                                <a:srgbClr val="000000"/>
                              </a:solidFill>
                              <a:round/>
                            </a:ln>
                          </wps:spPr>
                          <wps:bodyPr/>
                        </wps:wsp>
                        <wps:wsp>
                          <wps:cNvPr id="85" name="直线 443"/>
                          <wps:cNvCnPr>
                            <a:cxnSpLocks noChangeShapeType="1"/>
                          </wps:cNvCnPr>
                          <wps:spPr bwMode="auto">
                            <a:xfrm>
                              <a:off x="5096" y="6945"/>
                              <a:ext cx="0" cy="1182"/>
                            </a:xfrm>
                            <a:prstGeom prst="line">
                              <a:avLst/>
                            </a:prstGeom>
                            <a:noFill/>
                            <a:ln w="9525">
                              <a:solidFill>
                                <a:srgbClr val="000000"/>
                              </a:solidFill>
                              <a:round/>
                            </a:ln>
                          </wps:spPr>
                          <wps:bodyPr/>
                        </wps:wsp>
                        <wps:wsp>
                          <wps:cNvPr id="86" name="直线 444"/>
                          <wps:cNvCnPr>
                            <a:cxnSpLocks noChangeShapeType="1"/>
                          </wps:cNvCnPr>
                          <wps:spPr bwMode="auto">
                            <a:xfrm>
                              <a:off x="5096" y="6945"/>
                              <a:ext cx="568" cy="0"/>
                            </a:xfrm>
                            <a:prstGeom prst="line">
                              <a:avLst/>
                            </a:prstGeom>
                            <a:noFill/>
                            <a:ln w="9525">
                              <a:solidFill>
                                <a:srgbClr val="000000"/>
                              </a:solidFill>
                              <a:round/>
                            </a:ln>
                          </wps:spPr>
                          <wps:bodyPr/>
                        </wps:wsp>
                        <wps:wsp>
                          <wps:cNvPr id="87" name="直线 445"/>
                          <wps:cNvCnPr>
                            <a:cxnSpLocks noChangeShapeType="1"/>
                          </wps:cNvCnPr>
                          <wps:spPr bwMode="auto">
                            <a:xfrm>
                              <a:off x="5096" y="8127"/>
                              <a:ext cx="568" cy="0"/>
                            </a:xfrm>
                            <a:prstGeom prst="line">
                              <a:avLst/>
                            </a:prstGeom>
                            <a:noFill/>
                            <a:ln w="9525">
                              <a:solidFill>
                                <a:srgbClr val="000000"/>
                              </a:solidFill>
                              <a:round/>
                            </a:ln>
                          </wps:spPr>
                          <wps:bodyPr/>
                        </wps:wsp>
                        <wps:wsp>
                          <wps:cNvPr id="88" name="矩形 446"/>
                          <wps:cNvSpPr>
                            <a:spLocks noChangeArrowheads="1"/>
                          </wps:cNvSpPr>
                          <wps:spPr bwMode="auto">
                            <a:xfrm>
                              <a:off x="5664" y="6650"/>
                              <a:ext cx="3408" cy="443"/>
                            </a:xfrm>
                            <a:prstGeom prst="rect">
                              <a:avLst/>
                            </a:prstGeom>
                            <a:solidFill>
                              <a:srgbClr val="FFFFFF"/>
                            </a:solidFill>
                            <a:ln w="9525">
                              <a:solidFill>
                                <a:srgbClr val="000000"/>
                              </a:solidFill>
                              <a:miter lim="800000"/>
                            </a:ln>
                          </wps:spPr>
                          <wps:txbx>
                            <w:txbxContent>
                              <w:p>
                                <w:pPr>
                                  <w:ind w:firstLine="105" w:firstLineChars="50"/>
                                </w:pPr>
                                <w:r>
                                  <w:rPr>
                                    <w:rFonts w:hint="eastAsia"/>
                                  </w:rPr>
                                  <w:t>确定再生剂类型、用量</w:t>
                                </w:r>
                              </w:p>
                            </w:txbxContent>
                          </wps:txbx>
                          <wps:bodyPr rot="0" vert="horz" wrap="square" lIns="91440" tIns="45720" rIns="91440" bIns="45720" anchor="t" anchorCtr="0" upright="1">
                            <a:noAutofit/>
                          </wps:bodyPr>
                        </wps:wsp>
                        <wps:wsp>
                          <wps:cNvPr id="89" name="矩形 447"/>
                          <wps:cNvSpPr>
                            <a:spLocks noChangeArrowheads="1"/>
                          </wps:cNvSpPr>
                          <wps:spPr bwMode="auto">
                            <a:xfrm>
                              <a:off x="5664" y="7293"/>
                              <a:ext cx="3408" cy="443"/>
                            </a:xfrm>
                            <a:prstGeom prst="rect">
                              <a:avLst/>
                            </a:prstGeom>
                            <a:solidFill>
                              <a:srgbClr val="FFFFFF"/>
                            </a:solidFill>
                            <a:ln w="9525">
                              <a:solidFill>
                                <a:srgbClr val="000000"/>
                              </a:solidFill>
                              <a:miter lim="800000"/>
                            </a:ln>
                          </wps:spPr>
                          <wps:txbx>
                            <w:txbxContent>
                              <w:p>
                                <w:pPr>
                                  <w:ind w:firstLine="105" w:firstLineChars="50"/>
                                </w:pPr>
                                <w:r>
                                  <w:rPr>
                                    <w:rFonts w:hint="eastAsia"/>
                                  </w:rPr>
                                  <w:t>确定新沥青混合料的级配和用量</w:t>
                                </w:r>
                              </w:p>
                            </w:txbxContent>
                          </wps:txbx>
                          <wps:bodyPr rot="0" vert="horz" wrap="square" lIns="91440" tIns="45720" rIns="91440" bIns="45720" anchor="t" anchorCtr="0" upright="1">
                            <a:noAutofit/>
                          </wps:bodyPr>
                        </wps:wsp>
                        <wps:wsp>
                          <wps:cNvPr id="90" name="矩形 448"/>
                          <wps:cNvSpPr>
                            <a:spLocks noChangeArrowheads="1"/>
                          </wps:cNvSpPr>
                          <wps:spPr bwMode="auto">
                            <a:xfrm>
                              <a:off x="5664" y="7927"/>
                              <a:ext cx="3408" cy="443"/>
                            </a:xfrm>
                            <a:prstGeom prst="rect">
                              <a:avLst/>
                            </a:prstGeom>
                            <a:solidFill>
                              <a:srgbClr val="FFFFFF"/>
                            </a:solidFill>
                            <a:ln w="9525">
                              <a:solidFill>
                                <a:srgbClr val="000000"/>
                              </a:solidFill>
                              <a:miter lim="800000"/>
                            </a:ln>
                          </wps:spPr>
                          <wps:txbx>
                            <w:txbxContent>
                              <w:p>
                                <w:pPr>
                                  <w:ind w:firstLine="105" w:firstLineChars="50"/>
                                </w:pPr>
                                <w:r>
                                  <w:rPr>
                                    <w:rFonts w:hint="eastAsia"/>
                                  </w:rPr>
                                  <w:t>检验再生混合料质量</w:t>
                                </w:r>
                              </w:p>
                            </w:txbxContent>
                          </wps:txbx>
                          <wps:bodyPr rot="0" vert="horz" wrap="square" lIns="91440" tIns="45720" rIns="91440" bIns="45720" anchor="t" anchorCtr="0" upright="1">
                            <a:noAutofit/>
                          </wps:bodyPr>
                        </wps:wsp>
                      </wpg:grpSp>
                    </wpg:wgp>
                  </a:graphicData>
                </a:graphic>
              </wp:anchor>
            </w:drawing>
          </mc:Choice>
          <mc:Fallback>
            <w:pict>
              <v:group id="_x0000_s1026" o:spid="_x0000_s1026" o:spt="203" style="position:absolute;left:0pt;margin-left:15.75pt;margin-top:1.15pt;height:317.9pt;width:438.6pt;z-index:251676672;mso-width-relative:page;mso-height-relative:page;" coordorigin="1307,2220" coordsize="8772,6358" o:gfxdata="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">
                <o:lock v:ext="edit" aspectratio="f"/>
                <v:group id="Group 17" o:spid="_x0000_s1026" o:spt="203" style="position:absolute;left:4147;top:2220;height:1772;width:5932;" coordorigin="4147,2220" coordsize="5932,1772"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line id="直线 417" o:spid="_x0000_s1026" o:spt="20" style="position:absolute;left:4147;top:3106;height:0;width:1515;" filled="f" stroked="t" coordsize="21600,21600" o:gfxdata="UEsDBAoAAAAAAIdO4kAAAAAAAAAAAAAAAAAEAAAAZHJzL1BLAwQUAAAACACHTuJAQYT3H74AAADb&#10;AAAADwAAAGRycy9kb3ducmV2LnhtbEWPQWvCQBSE74L/YXlCL2J2TbC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T3H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线 418" o:spid="_x0000_s1026" o:spt="20" style="position:absolute;left:5094;top:2515;height:1182;width:0;" filled="f" stroked="t" coordsize="21600,21600" o:gfxdata="UEsDBAoAAAAAAIdO4kAAAAAAAAAAAAAAAAAEAAAAZHJzL1BLAwQUAAAACACHTuJAzm1va7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rm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tb2u/&#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线 419" o:spid="_x0000_s1026" o:spt="20" style="position:absolute;left:5094;top:2515;height:0;width:568;" filled="f" stroked="t" coordsize="21600,21600" o:gfxdata="UEsDBAoAAAAAAIdO4kAAAAAAAAAAAAAAAAAEAAAAZHJzL1BLAwQUAAAACACHTuJAoSHK8L4AAADb&#10;AAAADwAAAGRycy9kb3ducmV2LnhtbEWPQWvCQBSE74L/YXlCL2J2jaS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SHK8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线 420" o:spid="_x0000_s1026" o:spt="20" style="position:absolute;left:5094;top:3697;height:0;width:568;" filled="f" stroked="t" coordsize="21600,21600" o:gfxdata="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HzVI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rect id="矩形 421" o:spid="_x0000_s1026" o:spt="1" style="position:absolute;left:5662;top:2220;height:443;width:4417;" fillcolor="#FFFFFF" filled="t" stroked="t" coordsize="21600,21600" o:gfxdata="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Hz8l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105" w:firstLineChars="50"/>
                          </w:pPr>
                          <w:r>
                            <w:rPr>
                              <w:rFonts w:hint="eastAsia"/>
                            </w:rPr>
                            <w:t>资料调查：设计资料、施工资料、养护资料</w:t>
                          </w:r>
                        </w:p>
                      </w:txbxContent>
                    </v:textbox>
                  </v:rect>
                  <v:rect id="矩形 422" o:spid="_x0000_s1026" o:spt="1" style="position:absolute;left:5662;top:2876;height:443;width:4417;" fillcolor="#FFFFFF" filled="t" stroked="t" coordsize="21600,21600" o:gfxdata="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gKtX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ind w:firstLine="105" w:firstLineChars="50"/>
                          </w:pPr>
                          <w:r>
                            <w:rPr>
                              <w:rFonts w:hint="eastAsia"/>
                            </w:rPr>
                            <w:t>路况调查：车辙、损坏调查、横坡等</w:t>
                          </w:r>
                        </w:p>
                      </w:txbxContent>
                    </v:textbox>
                  </v:rect>
                  <v:rect id="矩形 423" o:spid="_x0000_s1026" o:spt="1" style="position:absolute;left:5662;top:3549;height:443;width:4417;" fillcolor="#FFFFFF" filled="t" stroked="t" coordsize="21600,21600" o:gfxdata="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swOz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ind w:firstLine="105" w:firstLineChars="50"/>
                          </w:pPr>
                          <w:r>
                            <w:rPr>
                              <w:rFonts w:hint="eastAsia"/>
                            </w:rPr>
                            <w:t>路面评价：病害分析及路面评价</w:t>
                          </w:r>
                        </w:p>
                      </w:txbxContent>
                    </v:textbox>
                  </v:rect>
                </v:group>
                <v:group id="Group 25" o:spid="_x0000_s1026" o:spt="203" style="position:absolute;left:4279;top:5173;height:1034;width:4413;" coordorigin="4279,5173" coordsize="4413,1034" o:gfxdata="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qgjiaLoAAADbAAAADwAAAAAAAAABACAAAAAiAAAAZHJzL2Rvd25yZXYueG1sUEsB&#10;AhQAFAAAAAgAh07iQDMvBZ47AAAAOQAAABUAAAAAAAAAAQAgAAAACQEAAGRycy9ncm91cHNoYXBl&#10;eG1sLnhtbFBLBQYAAAAABgAGAGABAADGAwAAAAA=&#10;">
                  <o:lock v:ext="edit" aspectratio="f"/>
                  <v:line id="直线 430" o:spid="_x0000_s1026" o:spt="20" style="position:absolute;left:4279;top:5668;height:0;width:815;" filled="f" stroked="t" coordsize="21600,21600" o:gfxdata="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HYGT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线 431" o:spid="_x0000_s1026" o:spt="20" style="position:absolute;left:5094;top:5321;height:738;width:0;" filled="f" stroked="t" coordsize="21600,21600" o:gfxdata="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kmD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432" o:spid="_x0000_s1026" o:spt="20" style="position:absolute;left:5094;top:5321;height:0;width:568;" filled="f" stroked="t" coordsize="21600,21600" o:gfxdata="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6D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433" o:spid="_x0000_s1026" o:spt="20" style="position:absolute;left:5094;top:6059;height:0;width:568;" filled="f" stroked="t" coordsize="21600,21600" o:gfxdata="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Bpda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rect id="矩形 434" o:spid="_x0000_s1026" o:spt="1" style="position:absolute;left:5662;top:5173;height:443;width:3030;" fillcolor="#FFFFFF" filled="t" stroked="t" coordsize="21600,21600" o:gfxdata="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3tznS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105" w:firstLineChars="50"/>
                            <w:rPr>
                              <w:color w:val="000000"/>
                            </w:rPr>
                          </w:pPr>
                          <w:r>
                            <w:rPr>
                              <w:rFonts w:hint="eastAsia"/>
                              <w:color w:val="000000"/>
                            </w:rPr>
                            <w:t>路面病害类型、程度及位置</w:t>
                          </w:r>
                        </w:p>
                      </w:txbxContent>
                    </v:textbox>
                  </v:rect>
                  <v:rect id="矩形 435" o:spid="_x0000_s1026" o:spt="1" style="position:absolute;left:5662;top:5764;height:443;width:3030;" fillcolor="#FFFFFF" filled="t" stroked="t" coordsize="21600,21600" o:gfxdata="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0/UA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105" w:firstLineChars="50"/>
                          </w:pPr>
                          <w:r>
                            <w:rPr>
                              <w:rFonts w:hint="eastAsia"/>
                            </w:rPr>
                            <w:t>原路面面层材料质量</w:t>
                          </w:r>
                        </w:p>
                      </w:txbxContent>
                    </v:textbox>
                  </v:rect>
                </v:group>
                <v:group id="Group 32" o:spid="_x0000_s1026" o:spt="203" style="position:absolute;left:1307;top:2893;height:5685;width:8142;" coordorigin="1307,2893" coordsize="8142,5685" o:gfxdata="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l4XocvwAAANsAAAAPAAAAAAAAAAEAIAAAACIAAABkcnMvZG93bnJldi54&#10;bWxQSwECFAAUAAAACACHTuJAMy8FnjsAAAA5AAAAFQAAAAAAAAABACAAAAAOAQAAZHJzL2dyb3Vw&#10;c2hhcGV4bWwueG1sUEsFBgAAAAAGAAYAYAEAAMsDAAAAAA==&#10;">
                  <o:lock v:ext="edit" aspectratio="f"/>
                  <v:shape id="文本框 562" o:spid="_x0000_s1026" o:spt="202" type="#_x0000_t202" style="position:absolute;left:3375;top:5019;height:525;width:450;" fillcolor="#FFFFFF" filled="t" stroked="f" coordsize="21600,21600" o:gfxdata="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NCLXCbUAAADbAAAADwAA&#10;AAAAAAABACAAAAAiAAAAZHJzL2Rvd25yZXYueG1sUEsBAhQAFAAAAAgAh07iQDMvBZ47AAAAOQAA&#10;ABAAAAAAAAAAAQAgAAAABAEAAGRycy9zaGFwZXhtbC54bWxQSwUGAAAAAAYABgBbAQAArgMAAAAA&#10;">
                    <v:fill on="t" focussize="0,0"/>
                    <v:stroke on="f"/>
                    <v:imagedata o:title=""/>
                    <o:lock v:ext="edit" aspectratio="f"/>
                    <v:textbox>
                      <w:txbxContent>
                        <w:p>
                          <w:r>
                            <w:rPr>
                              <w:rFonts w:hint="eastAsia"/>
                            </w:rPr>
                            <w:t>是</w:t>
                          </w:r>
                        </w:p>
                      </w:txbxContent>
                    </v:textbox>
                  </v:shape>
                  <v:line id="直线 449" o:spid="_x0000_s1026" o:spt="20" style="position:absolute;left:5473;top:4583;height:0;width:947;" filled="f" stroked="t" coordsize="21600,21600" o:gfxdata="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gAKS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rect id="矩形 416" o:spid="_x0000_s1026" o:spt="1" style="position:absolute;left:2632;top:2893;height:443;width:1515;" fillcolor="#FFFFFF" filled="t" stroked="t" coordsize="21600,21600" o:gfxdata="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Q/sx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jc w:val="center"/>
                          </w:pPr>
                          <w:r>
                            <w:rPr>
                              <w:rFonts w:hint="eastAsia"/>
                            </w:rPr>
                            <w:t>原路面调查</w:t>
                          </w:r>
                        </w:p>
                      </w:txbxContent>
                    </v:textbox>
                  </v:rect>
                  <v:line id="直线 424" o:spid="_x0000_s1026" o:spt="20" style="position:absolute;left:3390;top:3336;height:804;width:0;" filled="f" stroked="t" coordsize="21600,21600" o:gfxdata="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zq8k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自选图形 425" o:spid="_x0000_s1026" o:spt="110" type="#_x0000_t110" style="position:absolute;left:1307;top:4140;height:886;width:4166;" fillcolor="#FFFFFF" filled="t" stroked="t" coordsize="21600,21600" o:gfxdata="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LoK+b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r>
                            <w:rPr>
                              <w:rFonts w:hint="eastAsia"/>
                            </w:rPr>
                            <w:t>热再生技术适用性</w:t>
                          </w:r>
                        </w:p>
                      </w:txbxContent>
                    </v:textbox>
                  </v:shape>
                  <v:shape id="椭圆 426" o:spid="_x0000_s1026" o:spt="3" type="#_x0000_t3" style="position:absolute;left:6420;top:4140;height:886;width:3029;" fillcolor="#FFFFFF" filled="t" stroked="t" coordsize="21600,21600" o:gfxdata="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aBhIy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pPr>
                            <w:spacing w:before="156" w:beforeLines="50"/>
                            <w:jc w:val="center"/>
                          </w:pPr>
                          <w:r>
                            <w:rPr>
                              <w:rFonts w:hint="eastAsia"/>
                            </w:rPr>
                            <w:t>采用其他养护方式</w:t>
                          </w:r>
                        </w:p>
                      </w:txbxContent>
                    </v:textbox>
                  </v:shape>
                  <v:rect id="矩形 427" o:spid="_x0000_s1026" o:spt="1" style="position:absolute;left:5753;top:4179;height:443;width:758;" filled="f" stroked="f" coordsize="21600,21600" o:gfxdata="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ttHs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否</w:t>
                          </w:r>
                        </w:p>
                      </w:txbxContent>
                    </v:textbox>
                  </v:rect>
                  <v:line id="直线 428" o:spid="_x0000_s1026" o:spt="20" style="position:absolute;left:3390;top:5026;height:443;width:0;" filled="f" stroked="t" coordsize="21600,21600" o:gfxdata="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QBup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29" o:spid="_x0000_s1026" o:spt="1" style="position:absolute;left:2457;top:5469;height:443;width:1822;" fillcolor="#FFFFFF" filled="t" stroked="t" coordsize="21600,21600" o:gfxdata="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ObG3r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pPr>
                          <w:r>
                            <w:rPr>
                              <w:rFonts w:hint="eastAsia"/>
                            </w:rPr>
                            <w:t>详细调查</w:t>
                          </w:r>
                        </w:p>
                      </w:txbxContent>
                    </v:textbox>
                  </v:rect>
                  <v:line id="直线 436" o:spid="_x0000_s1026" o:spt="20" style="position:absolute;left:3390;top:5912;height:443;width:0;" filled="f" stroked="t" coordsize="21600,21600" o:gfxdata="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ufgX+/&#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37" o:spid="_x0000_s1026" o:spt="1" style="position:absolute;left:2457;top:6355;height:443;width:1822;" fillcolor="#FFFFFF" filled="t" stroked="t" coordsize="21600,21600" o:gfxdata="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Nfc3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jc w:val="center"/>
                          </w:pPr>
                          <w:r>
                            <w:rPr>
                              <w:rFonts w:hint="eastAsia"/>
                            </w:rPr>
                            <w:t>选择再生工艺</w:t>
                          </w:r>
                        </w:p>
                      </w:txbxContent>
                    </v:textbox>
                  </v:rect>
                  <v:line id="直线 438" o:spid="_x0000_s1026" o:spt="20" style="position:absolute;left:3390;top:6798;height:443;width:0;" filled="f" stroked="t" coordsize="21600,21600" o:gfxdata="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VMsJa/&#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39" o:spid="_x0000_s1026" o:spt="1" style="position:absolute;left:2457;top:7241;height:443;width:1822;" fillcolor="#FFFFFF" filled="t" stroked="t" coordsize="21600,21600" o:gfxdata="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ZaLFrgAAADbAAAA&#10;DwAAAAAAAAABACAAAAAiAAAAZHJzL2Rvd25yZXYueG1sUEsBAhQAFAAAAAgAh07iQDMvBZ47AAAA&#10;OQAAABAAAAAAAAAAAQAgAAAABwEAAGRycy9zaGFwZXhtbC54bWxQSwUGAAAAAAYABgBbAQAAsQMA&#10;AAAA&#10;">
                    <v:fill on="t" focussize="0,0"/>
                    <v:stroke color="#000000" miterlimit="8" joinstyle="miter"/>
                    <v:imagedata o:title=""/>
                    <o:lock v:ext="edit" aspectratio="f"/>
                    <v:textbox>
                      <w:txbxContent>
                        <w:p>
                          <w:pPr>
                            <w:jc w:val="center"/>
                          </w:pPr>
                          <w:r>
                            <w:rPr>
                              <w:rFonts w:hint="eastAsia"/>
                            </w:rPr>
                            <w:t>再生混合料设计</w:t>
                          </w:r>
                        </w:p>
                      </w:txbxContent>
                    </v:textbox>
                  </v:rect>
                  <v:line id="直线 440" o:spid="_x0000_s1026" o:spt="20" style="position:absolute;left:3390;top:7684;height:443;width:0;" filled="f" stroked="t" coordsize="21600,21600" o:gfxdata="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Mt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441" o:spid="_x0000_s1026" o:spt="1" style="position:absolute;left:2457;top:8135;height:443;width:1822;" fillcolor="#FFFFFF" filled="t" stroked="t" coordsize="21600,21600" o:gfxdata="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IIsPq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jc w:val="center"/>
                          </w:pPr>
                          <w:r>
                            <w:rPr>
                              <w:rFonts w:hint="eastAsia"/>
                            </w:rPr>
                            <w:t>施工</w:t>
                          </w:r>
                        </w:p>
                      </w:txbxContent>
                    </v:textbox>
                  </v:rect>
                </v:group>
                <v:group id="Group 48" o:spid="_x0000_s1026" o:spt="203" style="position:absolute;left:4279;top:6650;height:1720;width:4793;" coordorigin="4279,6650" coordsize="4793,1720" o:gfxdata="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taa5b0AAADbAAAADwAAAAAAAAABACAAAAAiAAAAZHJzL2Rvd25yZXYueG1s&#10;UEsBAhQAFAAAAAgAh07iQDMvBZ47AAAAOQAAABUAAAAAAAAAAQAgAAAADAEAAGRycy9ncm91cHNo&#10;YXBleG1sLnhtbFBLBQYAAAAABgAGAGABAADJAwAAAAA=&#10;">
                  <o:lock v:ext="edit" aspectratio="f"/>
                  <v:line id="直线 442" o:spid="_x0000_s1026" o:spt="20" style="position:absolute;left:4279;top:7458;height:0;width:815;" filled="f" stroked="t" coordsize="21600,21600" o:gfxdata="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ANQy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443" o:spid="_x0000_s1026" o:spt="20" style="position:absolute;left:5096;top:6945;height:1182;width:0;" filled="f" stroked="t" coordsize="21600,21600" o:gfxdata="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9B5r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444" o:spid="_x0000_s1026" o:spt="20" style="position:absolute;left:5096;top:6945;height:0;width:568;" filled="f" stroked="t" coordsize="21600,21600" o:gfxdata="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5N4w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线 445" o:spid="_x0000_s1026" o:spt="20" style="position:absolute;left:5096;top:8127;height:0;width:568;" filled="f" stroked="t" coordsize="21600,21600" o:gfxdata="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Df3Vu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rect id="矩形 446" o:spid="_x0000_s1026" o:spt="1" style="position:absolute;left:5664;top:6650;height:443;width:3408;" fillcolor="#FFFFFF" filled="t" stroked="t" coordsize="21600,21600" o:gfxdata="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CHELgAAADbAAAA&#10;DwAAAAAAAAABACAAAAAiAAAAZHJzL2Rvd25yZXYueG1sUEsBAhQAFAAAAAgAh07iQDMvBZ47AAAA&#10;OQAAABAAAAAAAAAAAQAgAAAABwEAAGRycy9zaGFwZXhtbC54bWxQSwUGAAAAAAYABgBbAQAAsQMA&#10;AAAA&#10;">
                    <v:fill on="t" focussize="0,0"/>
                    <v:stroke color="#000000" miterlimit="8" joinstyle="miter"/>
                    <v:imagedata o:title=""/>
                    <o:lock v:ext="edit" aspectratio="f"/>
                    <v:textbox>
                      <w:txbxContent>
                        <w:p>
                          <w:pPr>
                            <w:ind w:firstLine="105" w:firstLineChars="50"/>
                          </w:pPr>
                          <w:r>
                            <w:rPr>
                              <w:rFonts w:hint="eastAsia"/>
                            </w:rPr>
                            <w:t>确定再生剂类型、用量</w:t>
                          </w:r>
                        </w:p>
                      </w:txbxContent>
                    </v:textbox>
                  </v:rect>
                  <v:rect id="矩形 447" o:spid="_x0000_s1026" o:spt="1" style="position:absolute;left:5664;top:7293;height:443;width:3408;" fillcolor="#FFFFFF" filled="t" stroked="t" coordsize="21600,21600" o:gfxdata="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wii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ind w:firstLine="105" w:firstLineChars="50"/>
                          </w:pPr>
                          <w:r>
                            <w:rPr>
                              <w:rFonts w:hint="eastAsia"/>
                            </w:rPr>
                            <w:t>确定新沥青混合料的级配和用量</w:t>
                          </w:r>
                        </w:p>
                      </w:txbxContent>
                    </v:textbox>
                  </v:rect>
                  <v:rect id="矩形 448" o:spid="_x0000_s1026" o:spt="1" style="position:absolute;left:5664;top:7927;height:443;width:3408;" fillcolor="#FFFFFF" filled="t" stroked="t" coordsize="21600,21600" o:gfxdata="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hPHcu5AAAA2w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ind w:firstLine="105" w:firstLineChars="50"/>
                          </w:pPr>
                          <w:r>
                            <w:rPr>
                              <w:rFonts w:hint="eastAsia"/>
                            </w:rPr>
                            <w:t>检验再生混合料质量</w:t>
                          </w:r>
                        </w:p>
                      </w:txbxContent>
                    </v:textbox>
                  </v:rect>
                </v:group>
              </v:group>
            </w:pict>
          </mc:Fallback>
        </mc:AlternateContent>
      </w:r>
    </w:p>
    <w:p>
      <w:pPr>
        <w:snapToGrid w:val="0"/>
        <w:jc w:val="center"/>
        <w:rPr>
          <w:b/>
          <w:color w:val="000000"/>
          <w:szCs w:val="21"/>
        </w:rPr>
      </w:pPr>
    </w:p>
    <w:p>
      <w:pPr>
        <w:snapToGrid w:val="0"/>
        <w:jc w:val="center"/>
        <w:rPr>
          <w:b/>
          <w:color w:val="000000"/>
          <w:szCs w:val="21"/>
        </w:rPr>
      </w:pPr>
    </w:p>
    <w:p>
      <w:pPr>
        <w:tabs>
          <w:tab w:val="left" w:pos="567"/>
          <w:tab w:val="left" w:pos="2127"/>
          <w:tab w:val="left" w:pos="3686"/>
        </w:tabs>
        <w:snapToGrid w:val="0"/>
        <w:rPr>
          <w:b/>
          <w:color w:val="000000"/>
          <w:szCs w:val="21"/>
        </w:rPr>
      </w:pPr>
    </w:p>
    <w:p>
      <w:pPr>
        <w:snapToGrid w:val="0"/>
        <w:jc w:val="center"/>
        <w:rPr>
          <w:b/>
          <w:color w:val="000000"/>
          <w:szCs w:val="21"/>
        </w:rPr>
      </w:pPr>
    </w:p>
    <w:p>
      <w:pPr>
        <w:snapToGrid w:val="0"/>
        <w:jc w:val="center"/>
        <w:rPr>
          <w:b/>
          <w:color w:val="000000"/>
          <w:szCs w:val="21"/>
        </w:rPr>
      </w:pPr>
    </w:p>
    <w:p>
      <w:pPr>
        <w:tabs>
          <w:tab w:val="left" w:pos="3119"/>
        </w:tabs>
        <w:snapToGrid w:val="0"/>
        <w:jc w:val="center"/>
        <w:rPr>
          <w:b/>
          <w:color w:val="000000"/>
          <w:szCs w:val="21"/>
        </w:rPr>
      </w:pPr>
    </w:p>
    <w:p>
      <w:pPr>
        <w:tabs>
          <w:tab w:val="left" w:pos="567"/>
          <w:tab w:val="left" w:pos="2268"/>
          <w:tab w:val="left" w:pos="3119"/>
        </w:tabs>
        <w:snapToGrid w:val="0"/>
        <w:jc w:val="center"/>
        <w:rPr>
          <w:b/>
          <w:color w:val="000000"/>
          <w:szCs w:val="21"/>
        </w:rPr>
      </w:pPr>
    </w:p>
    <w:p>
      <w:pPr>
        <w:tabs>
          <w:tab w:val="left" w:pos="3119"/>
        </w:tabs>
        <w:snapToGrid w:val="0"/>
        <w:jc w:val="center"/>
        <w:rPr>
          <w:b/>
          <w:color w:val="000000"/>
          <w:szCs w:val="21"/>
        </w:rPr>
      </w:pPr>
    </w:p>
    <w:p>
      <w:pPr>
        <w:tabs>
          <w:tab w:val="left" w:pos="3119"/>
        </w:tabs>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snapToGrid w:val="0"/>
        <w:jc w:val="center"/>
        <w:rPr>
          <w:b/>
          <w:color w:val="000000"/>
          <w:szCs w:val="21"/>
        </w:rPr>
      </w:pPr>
    </w:p>
    <w:p>
      <w:pPr>
        <w:pStyle w:val="138"/>
        <w:numPr>
          <w:ilvl w:val="0"/>
          <w:numId w:val="0"/>
        </w:numPr>
        <w:spacing w:before="156" w:after="156"/>
        <w:rPr>
          <w:szCs w:val="21"/>
        </w:rPr>
      </w:pPr>
      <w:r>
        <w:rPr>
          <w:szCs w:val="21"/>
        </w:rPr>
        <w:t>图1 就地热再生工程施工流程</w:t>
      </w:r>
    </w:p>
    <w:p>
      <w:pPr>
        <w:pStyle w:val="60"/>
        <w:numPr>
          <w:ilvl w:val="0"/>
          <w:numId w:val="0"/>
        </w:numPr>
        <w:rPr>
          <w:szCs w:val="21"/>
        </w:rPr>
      </w:pPr>
      <w:r>
        <w:rPr>
          <w:rFonts w:ascii="黑体" w:hAnsi="黑体" w:eastAsia="黑体" w:cs="黑体"/>
          <w:szCs w:val="21"/>
        </w:rPr>
        <w:t xml:space="preserve">6.0.10  </w:t>
      </w:r>
      <w:r>
        <w:rPr>
          <w:szCs w:val="21"/>
        </w:rPr>
        <w:t>就地热再生适用性评估</w:t>
      </w:r>
    </w:p>
    <w:p>
      <w:pPr>
        <w:pStyle w:val="60"/>
        <w:numPr>
          <w:ilvl w:val="0"/>
          <w:numId w:val="29"/>
        </w:numPr>
        <w:ind w:left="840" w:hanging="420"/>
        <w:rPr>
          <w:szCs w:val="21"/>
        </w:rPr>
      </w:pPr>
      <w:r>
        <w:rPr>
          <w:szCs w:val="21"/>
        </w:rPr>
        <w:t>选择适合就地热再生的养护路段时，应综合考虑路面病害类型及成因、旧沥青混合料室内再生性能验证及其他相关试验检测结果、养护目标及道路的长期养护规划等因素。</w:t>
      </w:r>
    </w:p>
    <w:p>
      <w:pPr>
        <w:pStyle w:val="60"/>
        <w:numPr>
          <w:ilvl w:val="0"/>
          <w:numId w:val="29"/>
        </w:numPr>
        <w:ind w:left="840" w:hanging="420"/>
        <w:rPr>
          <w:szCs w:val="21"/>
        </w:rPr>
      </w:pPr>
      <w:r>
        <w:rPr>
          <w:szCs w:val="21"/>
        </w:rPr>
        <w:t>路面结构强度整体符合要求，但局部路面结构强度不足，经补强预处理后可将该路段纳入就地热再生范围。</w:t>
      </w:r>
    </w:p>
    <w:p>
      <w:pPr>
        <w:pStyle w:val="57"/>
        <w:spacing w:before="312" w:after="312"/>
        <w:outlineLvl w:val="0"/>
      </w:pPr>
      <w:r>
        <w:rPr>
          <w:rFonts w:hint="eastAsia"/>
        </w:rPr>
        <w:t>就地热再生施工</w:t>
      </w:r>
    </w:p>
    <w:bookmarkEnd w:id="170"/>
    <w:bookmarkEnd w:id="171"/>
    <w:p>
      <w:pPr>
        <w:pStyle w:val="54"/>
        <w:widowControl w:val="0"/>
        <w:numPr>
          <w:ilvl w:val="0"/>
          <w:numId w:val="0"/>
        </w:numPr>
        <w:spacing w:beforeLines="0" w:afterLines="0"/>
        <w:jc w:val="both"/>
        <w:outlineLvl w:val="1"/>
      </w:pPr>
      <w:bookmarkStart w:id="172" w:name="_Toc49761401"/>
      <w:r>
        <w:t>7.1</w:t>
      </w:r>
      <w:r>
        <w:rPr>
          <w:rFonts w:hint="eastAsia"/>
        </w:rPr>
        <w:t xml:space="preserve"> </w:t>
      </w:r>
      <w:bookmarkEnd w:id="172"/>
      <w:r>
        <w:t xml:space="preserve"> </w:t>
      </w:r>
      <w:r>
        <w:rPr>
          <w:rFonts w:hint="eastAsia"/>
        </w:rPr>
        <w:t>一般规定</w:t>
      </w:r>
    </w:p>
    <w:p>
      <w:pPr>
        <w:pStyle w:val="60"/>
        <w:numPr>
          <w:ilvl w:val="0"/>
          <w:numId w:val="0"/>
        </w:numPr>
        <w:rPr>
          <w:rFonts w:ascii="黑体" w:hAnsi="黑体" w:eastAsia="黑体" w:cs="黑体"/>
          <w:szCs w:val="21"/>
        </w:rPr>
      </w:pPr>
      <w:bookmarkStart w:id="173" w:name="_Toc49761404"/>
      <w:bookmarkStart w:id="174" w:name="_Toc49760873"/>
      <w:r>
        <w:rPr>
          <w:rFonts w:hint="eastAsia" w:ascii="黑体" w:hAnsi="黑体" w:eastAsia="黑体" w:cs="黑体"/>
          <w:szCs w:val="21"/>
        </w:rPr>
        <w:t>7.1.1</w:t>
      </w:r>
      <w:r>
        <w:rPr>
          <w:rFonts w:ascii="黑体" w:hAnsi="黑体" w:eastAsia="黑体" w:cs="黑体"/>
          <w:szCs w:val="21"/>
        </w:rPr>
        <w:t xml:space="preserve">  </w:t>
      </w:r>
      <w:r>
        <w:rPr>
          <w:rFonts w:hint="eastAsia"/>
          <w:szCs w:val="21"/>
        </w:rPr>
        <w:t>就地热再生施工所用原材料经检验合格后方可使用。</w:t>
      </w:r>
    </w:p>
    <w:p>
      <w:pPr>
        <w:pStyle w:val="60"/>
        <w:numPr>
          <w:ilvl w:val="0"/>
          <w:numId w:val="0"/>
        </w:numPr>
        <w:rPr>
          <w:szCs w:val="21"/>
        </w:rPr>
      </w:pPr>
      <w:r>
        <w:rPr>
          <w:rFonts w:hint="eastAsia" w:ascii="黑体" w:hAnsi="黑体" w:eastAsia="黑体" w:cs="黑体"/>
          <w:szCs w:val="21"/>
        </w:rPr>
        <w:t>7.1.2</w:t>
      </w:r>
      <w:r>
        <w:rPr>
          <w:rFonts w:ascii="黑体" w:hAnsi="黑体" w:eastAsia="黑体" w:cs="黑体"/>
          <w:szCs w:val="21"/>
        </w:rPr>
        <w:t xml:space="preserve">  </w:t>
      </w:r>
      <w:r>
        <w:rPr>
          <w:rFonts w:hint="eastAsia"/>
          <w:szCs w:val="21"/>
        </w:rPr>
        <w:t>施工前应对原沥青路面材料进行取样，按6.0.8要求检测其相关指标，并进行就地热再生混合料配合比设计（参见本标准附录A）。再生沥青混合料配合比设计应符合设计要求</w:t>
      </w:r>
      <w:bookmarkEnd w:id="173"/>
      <w:bookmarkEnd w:id="174"/>
      <w:r>
        <w:rPr>
          <w:rFonts w:hint="eastAsia"/>
          <w:szCs w:val="21"/>
        </w:rPr>
        <w:t>。</w:t>
      </w:r>
    </w:p>
    <w:p>
      <w:pPr>
        <w:pStyle w:val="54"/>
        <w:numPr>
          <w:ilvl w:val="0"/>
          <w:numId w:val="0"/>
        </w:numPr>
        <w:spacing w:before="156" w:after="156"/>
        <w:outlineLvl w:val="1"/>
      </w:pPr>
      <w:r>
        <w:rPr>
          <w:rFonts w:hint="eastAsia"/>
        </w:rPr>
        <w:t xml:space="preserve">7.2 </w:t>
      </w:r>
      <w:r>
        <w:t xml:space="preserve"> </w:t>
      </w:r>
      <w:r>
        <w:rPr>
          <w:rFonts w:hint="eastAsia"/>
        </w:rPr>
        <w:t>施工作业准备</w:t>
      </w:r>
    </w:p>
    <w:p>
      <w:pPr>
        <w:pStyle w:val="60"/>
        <w:numPr>
          <w:ilvl w:val="0"/>
          <w:numId w:val="0"/>
        </w:numPr>
        <w:rPr>
          <w:szCs w:val="21"/>
        </w:rPr>
      </w:pPr>
      <w:r>
        <w:rPr>
          <w:rFonts w:ascii="黑体" w:hAnsi="黑体" w:eastAsia="黑体" w:cs="黑体"/>
          <w:szCs w:val="21"/>
        </w:rPr>
        <w:t xml:space="preserve">7.2.1  </w:t>
      </w:r>
      <w:r>
        <w:rPr>
          <w:szCs w:val="21"/>
        </w:rPr>
        <w:t>沥青混凝土路面就地热再生施工采用的设备种类及数量应符合表4的规定。</w:t>
      </w: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rFonts w:ascii="黑体" w:hAnsi="黑体" w:eastAsia="黑体" w:cs="黑体"/>
          <w:szCs w:val="21"/>
        </w:rPr>
      </w:pPr>
    </w:p>
    <w:p>
      <w:pPr>
        <w:pStyle w:val="138"/>
        <w:spacing w:before="156" w:after="156"/>
        <w:rPr>
          <w:szCs w:val="21"/>
        </w:rPr>
      </w:pPr>
      <w:r>
        <w:rPr>
          <w:szCs w:val="21"/>
        </w:rPr>
        <w:t>就地热再生施工设备要求</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4"/>
        <w:gridCol w:w="3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jc w:val="center"/>
        </w:trPr>
        <w:tc>
          <w:tcPr>
            <w:tcW w:w="3147" w:type="pct"/>
            <w:vAlign w:val="center"/>
          </w:tcPr>
          <w:p>
            <w:pPr>
              <w:pStyle w:val="25"/>
              <w:ind w:firstLine="0" w:firstLineChars="0"/>
              <w:jc w:val="center"/>
              <w:rPr>
                <w:b/>
                <w:bCs/>
                <w:sz w:val="18"/>
                <w:szCs w:val="18"/>
              </w:rPr>
            </w:pPr>
            <w:r>
              <w:rPr>
                <w:b/>
                <w:bCs/>
                <w:sz w:val="18"/>
                <w:szCs w:val="18"/>
              </w:rPr>
              <w:t>设备名称</w:t>
            </w:r>
          </w:p>
        </w:tc>
        <w:tc>
          <w:tcPr>
            <w:tcW w:w="1853" w:type="pct"/>
            <w:vAlign w:val="center"/>
          </w:tcPr>
          <w:p>
            <w:pPr>
              <w:pStyle w:val="25"/>
              <w:ind w:firstLine="0" w:firstLineChars="0"/>
              <w:jc w:val="center"/>
              <w:rPr>
                <w:b/>
                <w:bCs/>
                <w:sz w:val="18"/>
                <w:szCs w:val="18"/>
              </w:rPr>
            </w:pPr>
            <w:r>
              <w:rPr>
                <w:b/>
                <w:bCs/>
                <w:sz w:val="18"/>
                <w:szCs w:val="18"/>
              </w:rPr>
              <w:t>数量（台）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jc w:val="center"/>
        </w:trPr>
        <w:tc>
          <w:tcPr>
            <w:tcW w:w="3147" w:type="pct"/>
            <w:vAlign w:val="center"/>
          </w:tcPr>
          <w:p>
            <w:pPr>
              <w:pStyle w:val="25"/>
              <w:ind w:firstLine="0" w:firstLineChars="0"/>
              <w:jc w:val="center"/>
              <w:rPr>
                <w:sz w:val="18"/>
                <w:szCs w:val="18"/>
              </w:rPr>
            </w:pPr>
            <w:r>
              <w:rPr>
                <w:sz w:val="18"/>
                <w:szCs w:val="18"/>
              </w:rPr>
              <w:t>加热设备</w:t>
            </w:r>
          </w:p>
        </w:tc>
        <w:tc>
          <w:tcPr>
            <w:tcW w:w="1853" w:type="pct"/>
            <w:vAlign w:val="center"/>
          </w:tcPr>
          <w:p>
            <w:pPr>
              <w:pStyle w:val="25"/>
              <w:ind w:firstLine="0" w:firstLineChars="0"/>
              <w:jc w:val="center"/>
              <w:rPr>
                <w:sz w:val="18"/>
                <w:szCs w:val="18"/>
              </w:rPr>
            </w:pPr>
            <w:r>
              <w:rPr>
                <w:sz w:val="18"/>
                <w:szCs w:val="18"/>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3147" w:type="pct"/>
            <w:vAlign w:val="center"/>
          </w:tcPr>
          <w:p>
            <w:pPr>
              <w:pStyle w:val="25"/>
              <w:ind w:firstLine="0" w:firstLineChars="0"/>
              <w:jc w:val="center"/>
              <w:rPr>
                <w:sz w:val="18"/>
                <w:szCs w:val="18"/>
              </w:rPr>
            </w:pPr>
            <w:r>
              <w:rPr>
                <w:sz w:val="18"/>
                <w:szCs w:val="18"/>
              </w:rPr>
              <w:t>再生设备</w:t>
            </w:r>
          </w:p>
        </w:tc>
        <w:tc>
          <w:tcPr>
            <w:tcW w:w="1853" w:type="pct"/>
            <w:vAlign w:val="center"/>
          </w:tcPr>
          <w:p>
            <w:pPr>
              <w:pStyle w:val="25"/>
              <w:ind w:firstLine="0" w:firstLineChars="0"/>
              <w:jc w:val="center"/>
              <w:rPr>
                <w:sz w:val="18"/>
                <w:szCs w:val="18"/>
              </w:rPr>
            </w:pPr>
            <w:r>
              <w:rPr>
                <w:sz w:val="18"/>
                <w:szCs w:val="18"/>
              </w:rPr>
              <w:t xml:space="preserve">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jc w:val="center"/>
        </w:trPr>
        <w:tc>
          <w:tcPr>
            <w:tcW w:w="3147" w:type="pct"/>
            <w:vAlign w:val="center"/>
          </w:tcPr>
          <w:p>
            <w:pPr>
              <w:pStyle w:val="25"/>
              <w:ind w:firstLine="0" w:firstLineChars="0"/>
              <w:jc w:val="center"/>
              <w:rPr>
                <w:sz w:val="18"/>
                <w:szCs w:val="18"/>
              </w:rPr>
            </w:pPr>
            <w:r>
              <w:rPr>
                <w:sz w:val="18"/>
                <w:szCs w:val="18"/>
              </w:rPr>
              <w:t>双驱双振压路机</w:t>
            </w:r>
          </w:p>
        </w:tc>
        <w:tc>
          <w:tcPr>
            <w:tcW w:w="1853" w:type="pct"/>
            <w:vAlign w:val="center"/>
          </w:tcPr>
          <w:p>
            <w:pPr>
              <w:pStyle w:val="25"/>
              <w:ind w:firstLine="0" w:firstLineChars="0"/>
              <w:jc w:val="center"/>
              <w:rPr>
                <w:sz w:val="18"/>
                <w:szCs w:val="18"/>
              </w:rPr>
            </w:pPr>
            <w:r>
              <w:rPr>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jc w:val="center"/>
        </w:trPr>
        <w:tc>
          <w:tcPr>
            <w:tcW w:w="3147" w:type="pct"/>
            <w:vAlign w:val="center"/>
          </w:tcPr>
          <w:p>
            <w:pPr>
              <w:pStyle w:val="25"/>
              <w:ind w:firstLine="0" w:firstLineChars="0"/>
              <w:jc w:val="center"/>
              <w:rPr>
                <w:sz w:val="18"/>
                <w:szCs w:val="18"/>
              </w:rPr>
            </w:pPr>
            <w:r>
              <w:rPr>
                <w:sz w:val="18"/>
                <w:szCs w:val="18"/>
              </w:rPr>
              <w:t>26吨以上轮胎压路机</w:t>
            </w:r>
          </w:p>
        </w:tc>
        <w:tc>
          <w:tcPr>
            <w:tcW w:w="1853" w:type="pct"/>
            <w:vAlign w:val="center"/>
          </w:tcPr>
          <w:p>
            <w:pPr>
              <w:pStyle w:val="25"/>
              <w:ind w:firstLine="0" w:firstLineChars="0"/>
              <w:jc w:val="center"/>
              <w:rPr>
                <w:sz w:val="18"/>
                <w:szCs w:val="18"/>
              </w:rPr>
            </w:pPr>
            <w:r>
              <w:rPr>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3147" w:type="pct"/>
            <w:vAlign w:val="center"/>
          </w:tcPr>
          <w:p>
            <w:pPr>
              <w:pStyle w:val="25"/>
              <w:ind w:firstLine="0" w:firstLineChars="0"/>
              <w:jc w:val="center"/>
              <w:rPr>
                <w:sz w:val="18"/>
                <w:szCs w:val="18"/>
              </w:rPr>
            </w:pPr>
            <w:r>
              <w:rPr>
                <w:sz w:val="18"/>
                <w:szCs w:val="18"/>
              </w:rPr>
              <w:t>双钢轮压路机</w:t>
            </w:r>
          </w:p>
        </w:tc>
        <w:tc>
          <w:tcPr>
            <w:tcW w:w="1853" w:type="pct"/>
            <w:vAlign w:val="center"/>
          </w:tcPr>
          <w:p>
            <w:pPr>
              <w:pStyle w:val="25"/>
              <w:ind w:firstLine="0" w:firstLineChars="0"/>
              <w:jc w:val="center"/>
              <w:rPr>
                <w:sz w:val="18"/>
                <w:szCs w:val="18"/>
              </w:rPr>
            </w:pPr>
            <w:r>
              <w:rPr>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5000" w:type="pct"/>
            <w:gridSpan w:val="2"/>
            <w:vAlign w:val="center"/>
          </w:tcPr>
          <w:p>
            <w:pPr>
              <w:pStyle w:val="25"/>
              <w:ind w:firstLine="0" w:firstLineChars="0"/>
              <w:rPr>
                <w:sz w:val="18"/>
                <w:szCs w:val="18"/>
              </w:rPr>
            </w:pPr>
            <w:r>
              <w:rPr>
                <w:sz w:val="18"/>
                <w:szCs w:val="18"/>
              </w:rPr>
              <w:t>注：具体设备型号可根据实际情况及试铺路段施工确定。</w:t>
            </w:r>
          </w:p>
        </w:tc>
      </w:tr>
    </w:tbl>
    <w:p>
      <w:pPr>
        <w:pStyle w:val="60"/>
        <w:numPr>
          <w:ilvl w:val="0"/>
          <w:numId w:val="0"/>
        </w:numPr>
        <w:rPr>
          <w:rFonts w:ascii="黑体" w:hAnsi="黑体" w:eastAsia="黑体" w:cs="黑体"/>
          <w:szCs w:val="21"/>
        </w:rPr>
      </w:pPr>
      <w:r>
        <w:rPr>
          <w:rFonts w:ascii="黑体" w:hAnsi="黑体" w:eastAsia="黑体" w:cs="黑体"/>
          <w:szCs w:val="21"/>
        </w:rPr>
        <w:t xml:space="preserve">7.2.2  </w:t>
      </w:r>
      <w:r>
        <w:rPr>
          <w:szCs w:val="21"/>
        </w:rPr>
        <w:t>就地热再生施工前，必须对路面局部深层病害进行彻底处理。路面局部深层病害的预处理应符合下列规定：</w:t>
      </w:r>
    </w:p>
    <w:p>
      <w:pPr>
        <w:pStyle w:val="60"/>
        <w:numPr>
          <w:ilvl w:val="0"/>
          <w:numId w:val="30"/>
        </w:numPr>
        <w:ind w:left="840" w:hanging="420"/>
        <w:rPr>
          <w:szCs w:val="21"/>
        </w:rPr>
      </w:pPr>
      <w:r>
        <w:rPr>
          <w:szCs w:val="21"/>
        </w:rPr>
        <w:t>深层病害预处理的深度和范围应根据路面破损程度、层位确定。</w:t>
      </w:r>
    </w:p>
    <w:p>
      <w:pPr>
        <w:pStyle w:val="60"/>
        <w:numPr>
          <w:ilvl w:val="0"/>
          <w:numId w:val="30"/>
        </w:numPr>
        <w:ind w:left="840" w:hanging="420"/>
        <w:rPr>
          <w:szCs w:val="21"/>
        </w:rPr>
      </w:pPr>
      <w:r>
        <w:rPr>
          <w:szCs w:val="21"/>
        </w:rPr>
        <w:t>深层病害预处理后的路面应符合设计要求。</w:t>
      </w:r>
    </w:p>
    <w:p>
      <w:pPr>
        <w:pStyle w:val="60"/>
        <w:numPr>
          <w:ilvl w:val="0"/>
          <w:numId w:val="30"/>
        </w:numPr>
        <w:ind w:left="840" w:hanging="420"/>
        <w:rPr>
          <w:szCs w:val="21"/>
        </w:rPr>
      </w:pPr>
      <w:r>
        <w:rPr>
          <w:szCs w:val="21"/>
        </w:rPr>
        <w:t>深层病害预处理应避免污染沥青路面。</w:t>
      </w:r>
    </w:p>
    <w:p>
      <w:pPr>
        <w:pStyle w:val="60"/>
        <w:numPr>
          <w:ilvl w:val="0"/>
          <w:numId w:val="0"/>
        </w:numPr>
        <w:rPr>
          <w:rFonts w:ascii="黑体" w:hAnsi="黑体" w:eastAsia="黑体" w:cs="黑体"/>
          <w:szCs w:val="21"/>
        </w:rPr>
      </w:pPr>
      <w:r>
        <w:rPr>
          <w:rFonts w:ascii="黑体" w:hAnsi="黑体" w:eastAsia="黑体" w:cs="黑体"/>
          <w:szCs w:val="21"/>
        </w:rPr>
        <w:t xml:space="preserve">7.2.3  </w:t>
      </w:r>
      <w:r>
        <w:rPr>
          <w:szCs w:val="21"/>
        </w:rPr>
        <w:t>施工前应对破损、沉陷的检查井进行调整或修复。</w:t>
      </w:r>
    </w:p>
    <w:p>
      <w:pPr>
        <w:pStyle w:val="60"/>
        <w:numPr>
          <w:ilvl w:val="0"/>
          <w:numId w:val="0"/>
        </w:numPr>
        <w:rPr>
          <w:rFonts w:ascii="黑体" w:hAnsi="黑体" w:eastAsia="黑体" w:cs="黑体"/>
          <w:szCs w:val="21"/>
        </w:rPr>
      </w:pPr>
      <w:r>
        <w:rPr>
          <w:rFonts w:ascii="黑体" w:hAnsi="黑体" w:eastAsia="黑体" w:cs="黑体"/>
          <w:szCs w:val="21"/>
        </w:rPr>
        <w:t xml:space="preserve">7.2.4  </w:t>
      </w:r>
      <w:r>
        <w:rPr>
          <w:szCs w:val="21"/>
        </w:rPr>
        <w:t>就地热再生施工前应进行下列准备：</w:t>
      </w:r>
    </w:p>
    <w:p>
      <w:pPr>
        <w:pStyle w:val="60"/>
        <w:numPr>
          <w:ilvl w:val="0"/>
          <w:numId w:val="31"/>
        </w:numPr>
        <w:ind w:left="840" w:hanging="420"/>
        <w:rPr>
          <w:szCs w:val="21"/>
        </w:rPr>
      </w:pPr>
      <w:r>
        <w:rPr>
          <w:szCs w:val="21"/>
        </w:rPr>
        <w:t>若路面存在热熔型标线等影响施工质量的杂物或路面辅助设施与材料，施工前应进行清理（或施工中加热后清除）。</w:t>
      </w:r>
    </w:p>
    <w:p>
      <w:pPr>
        <w:pStyle w:val="60"/>
        <w:numPr>
          <w:ilvl w:val="0"/>
          <w:numId w:val="31"/>
        </w:numPr>
        <w:ind w:left="840" w:hanging="420"/>
        <w:rPr>
          <w:szCs w:val="21"/>
        </w:rPr>
      </w:pPr>
      <w:r>
        <w:rPr>
          <w:szCs w:val="21"/>
        </w:rPr>
        <w:t>若路面存在对热再生施工有影响的市政设施或其它障碍物，如护栏、标线、混凝土基础、外露或浅层管线等，施工前应将其移除或重新布设。</w:t>
      </w:r>
    </w:p>
    <w:p>
      <w:pPr>
        <w:pStyle w:val="60"/>
        <w:numPr>
          <w:ilvl w:val="0"/>
          <w:numId w:val="31"/>
        </w:numPr>
        <w:ind w:left="840" w:hanging="420"/>
        <w:rPr>
          <w:rFonts w:ascii="黑体" w:hAnsi="黑体" w:eastAsia="黑体" w:cs="黑体"/>
          <w:szCs w:val="21"/>
        </w:rPr>
      </w:pPr>
      <w:r>
        <w:rPr>
          <w:szCs w:val="21"/>
        </w:rPr>
        <w:t>若路面设置有天然气等可燃、易爆气体检查井，施工前必须依据《城镇燃气输配工程施工及验收标准》CJJ 33相关规定对其进行密闭性检测，确保施工安全。</w:t>
      </w:r>
    </w:p>
    <w:p>
      <w:pPr>
        <w:pStyle w:val="60"/>
        <w:numPr>
          <w:ilvl w:val="0"/>
          <w:numId w:val="31"/>
        </w:numPr>
        <w:ind w:left="840" w:hanging="420"/>
        <w:rPr>
          <w:szCs w:val="21"/>
        </w:rPr>
      </w:pPr>
      <w:r>
        <w:rPr>
          <w:szCs w:val="21"/>
        </w:rPr>
        <w:t>施工前应采用隔热板、防火布或其它隔热、密封措施保护施工路段内的桥涵伸缩缝、绿化带、树木、燃气井等。</w:t>
      </w:r>
    </w:p>
    <w:p>
      <w:pPr>
        <w:pStyle w:val="60"/>
        <w:numPr>
          <w:ilvl w:val="0"/>
          <w:numId w:val="0"/>
        </w:numPr>
        <w:rPr>
          <w:szCs w:val="21"/>
        </w:rPr>
      </w:pPr>
      <w:r>
        <w:rPr>
          <w:rFonts w:ascii="黑体" w:hAnsi="黑体" w:eastAsia="黑体" w:cs="黑体"/>
          <w:szCs w:val="21"/>
        </w:rPr>
        <w:t xml:space="preserve">7.2.5  </w:t>
      </w:r>
      <w:r>
        <w:rPr>
          <w:szCs w:val="21"/>
        </w:rPr>
        <w:t>施工前应完成现场交通组织和机械设备的调试等工作。</w:t>
      </w:r>
    </w:p>
    <w:p>
      <w:pPr>
        <w:pStyle w:val="54"/>
        <w:numPr>
          <w:ilvl w:val="0"/>
          <w:numId w:val="0"/>
        </w:numPr>
        <w:spacing w:before="156" w:after="156"/>
        <w:outlineLvl w:val="1"/>
      </w:pPr>
      <w:r>
        <w:t>7.3  铺筑试验段</w:t>
      </w:r>
    </w:p>
    <w:p>
      <w:pPr>
        <w:pStyle w:val="60"/>
        <w:numPr>
          <w:ilvl w:val="0"/>
          <w:numId w:val="0"/>
        </w:numPr>
        <w:rPr>
          <w:rFonts w:ascii="黑体" w:hAnsi="黑体" w:eastAsia="黑体" w:cs="黑体"/>
          <w:szCs w:val="21"/>
        </w:rPr>
      </w:pPr>
      <w:r>
        <w:rPr>
          <w:rFonts w:ascii="黑体" w:hAnsi="黑体" w:eastAsia="黑体" w:cs="黑体"/>
          <w:szCs w:val="21"/>
        </w:rPr>
        <w:t xml:space="preserve">7.3.1  </w:t>
      </w:r>
      <w:r>
        <w:rPr>
          <w:szCs w:val="21"/>
        </w:rPr>
        <w:t>为确定就地热再生各施工参数，正式施工前应铺筑试验路段。对再生施工工艺、质量控制、施工管理及施工安全等方面进行检验。试铺路段面积不宜小于2000m2，试验段施工检验合格后再正式施工。</w:t>
      </w:r>
    </w:p>
    <w:p>
      <w:pPr>
        <w:pStyle w:val="60"/>
        <w:numPr>
          <w:ilvl w:val="0"/>
          <w:numId w:val="0"/>
        </w:numPr>
        <w:rPr>
          <w:rFonts w:ascii="黑体" w:hAnsi="黑体" w:eastAsia="黑体" w:cs="黑体"/>
          <w:szCs w:val="21"/>
        </w:rPr>
      </w:pPr>
      <w:r>
        <w:rPr>
          <w:rFonts w:ascii="黑体" w:hAnsi="黑体" w:eastAsia="黑体" w:cs="黑体"/>
          <w:szCs w:val="21"/>
        </w:rPr>
        <w:t xml:space="preserve">7.3.2  </w:t>
      </w:r>
      <w:r>
        <w:rPr>
          <w:szCs w:val="21"/>
        </w:rPr>
        <w:t>通过铺筑试铺路段应完成以下工作：</w:t>
      </w:r>
    </w:p>
    <w:p>
      <w:pPr>
        <w:pStyle w:val="60"/>
        <w:numPr>
          <w:ilvl w:val="0"/>
          <w:numId w:val="32"/>
        </w:numPr>
        <w:ind w:left="840" w:hanging="420"/>
        <w:rPr>
          <w:szCs w:val="21"/>
        </w:rPr>
      </w:pPr>
      <w:r>
        <w:rPr>
          <w:szCs w:val="21"/>
        </w:rPr>
        <w:t>检验再生设备的性能能否满足就地热再生施工需要；</w:t>
      </w:r>
    </w:p>
    <w:p>
      <w:pPr>
        <w:pStyle w:val="60"/>
        <w:numPr>
          <w:ilvl w:val="0"/>
          <w:numId w:val="32"/>
        </w:numPr>
        <w:ind w:left="840" w:hanging="420"/>
        <w:rPr>
          <w:szCs w:val="21"/>
        </w:rPr>
      </w:pPr>
      <w:r>
        <w:rPr>
          <w:szCs w:val="21"/>
        </w:rPr>
        <w:t>确定再生设备组合、加热时间、加热温度及施工速度等工艺参数；</w:t>
      </w:r>
    </w:p>
    <w:p>
      <w:pPr>
        <w:pStyle w:val="60"/>
        <w:numPr>
          <w:ilvl w:val="0"/>
          <w:numId w:val="32"/>
        </w:numPr>
        <w:ind w:left="840" w:hanging="420"/>
        <w:rPr>
          <w:szCs w:val="21"/>
        </w:rPr>
      </w:pPr>
      <w:r>
        <w:rPr>
          <w:szCs w:val="21"/>
        </w:rPr>
        <w:t>确定施工过程中沥青再生剂、新沥青添加量及新沥青混合料的级配、油石比和掺量，验证再生沥青混合料配合比设计；</w:t>
      </w:r>
    </w:p>
    <w:p>
      <w:pPr>
        <w:pStyle w:val="60"/>
        <w:numPr>
          <w:ilvl w:val="0"/>
          <w:numId w:val="32"/>
        </w:numPr>
        <w:ind w:left="840" w:hanging="420"/>
        <w:rPr>
          <w:szCs w:val="21"/>
        </w:rPr>
      </w:pPr>
      <w:r>
        <w:rPr>
          <w:szCs w:val="21"/>
        </w:rPr>
        <w:t>确定压实度、松铺系数等施工参数；</w:t>
      </w:r>
    </w:p>
    <w:p>
      <w:pPr>
        <w:pStyle w:val="60"/>
        <w:numPr>
          <w:ilvl w:val="0"/>
          <w:numId w:val="32"/>
        </w:numPr>
        <w:ind w:left="840" w:hanging="420"/>
        <w:rPr>
          <w:rFonts w:ascii="黑体" w:hAnsi="黑体" w:eastAsia="黑体" w:cs="黑体"/>
          <w:szCs w:val="21"/>
        </w:rPr>
      </w:pPr>
      <w:r>
        <w:rPr>
          <w:szCs w:val="21"/>
        </w:rPr>
        <w:t>检验施工组织及交通方案的可行性。</w:t>
      </w:r>
    </w:p>
    <w:p>
      <w:pPr>
        <w:pStyle w:val="54"/>
        <w:numPr>
          <w:ilvl w:val="0"/>
          <w:numId w:val="0"/>
        </w:numPr>
        <w:spacing w:before="156" w:after="156"/>
        <w:outlineLvl w:val="1"/>
      </w:pPr>
      <w:r>
        <w:t>7.4  施工过程</w:t>
      </w:r>
    </w:p>
    <w:p>
      <w:pPr>
        <w:pStyle w:val="60"/>
        <w:numPr>
          <w:ilvl w:val="0"/>
          <w:numId w:val="0"/>
        </w:numPr>
        <w:rPr>
          <w:rFonts w:ascii="黑体" w:hAnsi="黑体" w:eastAsia="黑体" w:cs="黑体"/>
          <w:szCs w:val="21"/>
        </w:rPr>
      </w:pPr>
      <w:r>
        <w:rPr>
          <w:rFonts w:ascii="黑体" w:hAnsi="黑体" w:eastAsia="黑体" w:cs="黑体"/>
          <w:szCs w:val="21"/>
        </w:rPr>
        <w:t xml:space="preserve">7.4.1  </w:t>
      </w:r>
      <w:r>
        <w:rPr>
          <w:szCs w:val="21"/>
        </w:rPr>
        <w:t>整形就地热再生施工工艺流程如图2所示，并应符合下列要求：</w:t>
      </w:r>
    </w:p>
    <w:p>
      <w:pPr>
        <w:jc w:val="center"/>
        <w:rPr>
          <w:b/>
          <w:color w:val="000000"/>
          <w:szCs w:val="21"/>
        </w:rPr>
      </w:pPr>
      <w:r>
        <w:rPr>
          <w:b/>
          <w:color w:val="000000"/>
          <w:szCs w:val="21"/>
        </w:rPr>
        <mc:AlternateContent>
          <mc:Choice Requires="wpg">
            <w:drawing>
              <wp:inline distT="0" distB="0" distL="0" distR="0">
                <wp:extent cx="2191385" cy="3566160"/>
                <wp:effectExtent l="12700" t="12700" r="5715" b="12065"/>
                <wp:docPr id="37" name="组合 37"/>
                <wp:cNvGraphicFramePr/>
                <a:graphic xmlns:a="http://schemas.openxmlformats.org/drawingml/2006/main">
                  <a:graphicData uri="http://schemas.microsoft.com/office/word/2010/wordprocessingGroup">
                    <wpg:wgp>
                      <wpg:cNvGrpSpPr/>
                      <wpg:grpSpPr>
                        <a:xfrm>
                          <a:off x="0" y="0"/>
                          <a:ext cx="2191385" cy="3566160"/>
                          <a:chOff x="4500" y="3156"/>
                          <a:chExt cx="2160" cy="5616"/>
                        </a:xfrm>
                      </wpg:grpSpPr>
                      <wps:wsp>
                        <wps:cNvPr id="38" name="文本框 4"/>
                        <wps:cNvSpPr txBox="1">
                          <a:spLocks noChangeArrowheads="1"/>
                        </wps:cNvSpPr>
                        <wps:spPr bwMode="auto">
                          <a:xfrm>
                            <a:off x="4500" y="3156"/>
                            <a:ext cx="2160" cy="562"/>
                          </a:xfrm>
                          <a:prstGeom prst="rect">
                            <a:avLst/>
                          </a:prstGeom>
                          <a:noFill/>
                          <a:ln w="9525">
                            <a:solidFill>
                              <a:srgbClr val="000000"/>
                            </a:solidFill>
                            <a:miter lim="800000"/>
                          </a:ln>
                        </wps:spPr>
                        <wps:txbx>
                          <w:txbxContent>
                            <w:p>
                              <w:pPr>
                                <w:spacing w:line="360" w:lineRule="auto"/>
                                <w:ind w:firstLine="210" w:firstLineChars="100"/>
                                <w:jc w:val="center"/>
                                <w:rPr>
                                  <w:rFonts w:ascii="宋体" w:hAnsi="宋体"/>
                                </w:rPr>
                              </w:pPr>
                              <w:r>
                                <w:rPr>
                                  <w:rFonts w:hint="eastAsia" w:ascii="宋体" w:hAnsi="宋体"/>
                                </w:rPr>
                                <w:t>施工准备</w:t>
                              </w:r>
                            </w:p>
                          </w:txbxContent>
                        </wps:txbx>
                        <wps:bodyPr rot="0" vert="horz" wrap="square" lIns="91440" tIns="45720" rIns="91440" bIns="45720" anchor="t" anchorCtr="0" upright="1">
                          <a:noAutofit/>
                        </wps:bodyPr>
                      </wps:wsp>
                      <wps:wsp>
                        <wps:cNvPr id="39" name="文本框 6"/>
                        <wps:cNvSpPr txBox="1">
                          <a:spLocks noChangeArrowheads="1"/>
                        </wps:cNvSpPr>
                        <wps:spPr bwMode="auto">
                          <a:xfrm>
                            <a:off x="4500" y="3998"/>
                            <a:ext cx="2160" cy="562"/>
                          </a:xfrm>
                          <a:prstGeom prst="rect">
                            <a:avLst/>
                          </a:prstGeom>
                          <a:solidFill>
                            <a:srgbClr val="FFFFFF"/>
                          </a:solidFill>
                          <a:ln w="9525">
                            <a:solidFill>
                              <a:srgbClr val="000000"/>
                            </a:solidFill>
                            <a:miter lim="800000"/>
                          </a:ln>
                        </wps:spPr>
                        <wps:txbx>
                          <w:txbxContent>
                            <w:p>
                              <w:pPr>
                                <w:spacing w:line="360" w:lineRule="auto"/>
                                <w:ind w:firstLine="210" w:firstLineChars="100"/>
                                <w:jc w:val="center"/>
                                <w:rPr>
                                  <w:rFonts w:ascii="宋体" w:hAnsi="宋体"/>
                                </w:rPr>
                              </w:pPr>
                              <w:r>
                                <w:rPr>
                                  <w:rFonts w:hint="eastAsia" w:ascii="宋体" w:hAnsi="宋体"/>
                                </w:rPr>
                                <w:t>原路面加热</w:t>
                              </w:r>
                            </w:p>
                          </w:txbxContent>
                        </wps:txbx>
                        <wps:bodyPr rot="0" vert="horz" wrap="square" lIns="91440" tIns="45720" rIns="91440" bIns="45720" anchor="t" anchorCtr="0" upright="1">
                          <a:noAutofit/>
                        </wps:bodyPr>
                      </wps:wsp>
                      <wps:wsp>
                        <wps:cNvPr id="40" name="文本框 8"/>
                        <wps:cNvSpPr txBox="1">
                          <a:spLocks noChangeArrowheads="1"/>
                        </wps:cNvSpPr>
                        <wps:spPr bwMode="auto">
                          <a:xfrm>
                            <a:off x="4500" y="4841"/>
                            <a:ext cx="2160" cy="561"/>
                          </a:xfrm>
                          <a:prstGeom prst="rect">
                            <a:avLst/>
                          </a:prstGeom>
                          <a:solidFill>
                            <a:srgbClr val="FFFFFF"/>
                          </a:solidFill>
                          <a:ln w="9525">
                            <a:solidFill>
                              <a:srgbClr val="000000"/>
                            </a:solidFill>
                            <a:miter lim="800000"/>
                          </a:ln>
                        </wps:spPr>
                        <wps:txbx>
                          <w:txbxContent>
                            <w:p>
                              <w:pPr>
                                <w:spacing w:line="360" w:lineRule="auto"/>
                                <w:ind w:firstLine="210" w:firstLineChars="100"/>
                                <w:jc w:val="center"/>
                                <w:rPr>
                                  <w:rFonts w:ascii="宋体" w:hAnsi="宋体"/>
                                </w:rPr>
                              </w:pPr>
                              <w:r>
                                <w:rPr>
                                  <w:rFonts w:hint="eastAsia" w:ascii="宋体" w:hAnsi="宋体"/>
                                </w:rPr>
                                <w:t>喷洒再生剂</w:t>
                              </w:r>
                            </w:p>
                          </w:txbxContent>
                        </wps:txbx>
                        <wps:bodyPr rot="0" vert="horz" wrap="square" lIns="91440" tIns="45720" rIns="91440" bIns="45720" anchor="t" anchorCtr="0" upright="1">
                          <a:noAutofit/>
                        </wps:bodyPr>
                      </wps:wsp>
                      <wps:wsp>
                        <wps:cNvPr id="41" name="文本框 10"/>
                        <wps:cNvSpPr txBox="1">
                          <a:spLocks noChangeArrowheads="1"/>
                        </wps:cNvSpPr>
                        <wps:spPr bwMode="auto">
                          <a:xfrm>
                            <a:off x="4500" y="5683"/>
                            <a:ext cx="2160" cy="562"/>
                          </a:xfrm>
                          <a:prstGeom prst="rect">
                            <a:avLst/>
                          </a:prstGeom>
                          <a:solidFill>
                            <a:srgbClr val="FFFFFF"/>
                          </a:solidFill>
                          <a:ln w="9525">
                            <a:solidFill>
                              <a:srgbClr val="000000"/>
                            </a:solidFill>
                            <a:miter lim="800000"/>
                          </a:ln>
                        </wps:spPr>
                        <wps:txbx>
                          <w:txbxContent>
                            <w:p>
                              <w:pPr>
                                <w:spacing w:line="360" w:lineRule="auto"/>
                                <w:ind w:firstLine="210" w:firstLineChars="100"/>
                                <w:jc w:val="center"/>
                                <w:rPr>
                                  <w:rFonts w:ascii="宋体" w:hAnsi="宋体"/>
                                  <w:sz w:val="24"/>
                                </w:rPr>
                              </w:pPr>
                              <w:r>
                                <w:rPr>
                                  <w:rFonts w:hint="eastAsia" w:ascii="宋体" w:hAnsi="宋体"/>
                                </w:rPr>
                                <w:t>路面翻松</w:t>
                              </w:r>
                              <w:r>
                                <w:rPr>
                                  <w:rFonts w:hint="eastAsia" w:ascii="宋体" w:hAnsi="宋体"/>
                                  <w:color w:val="000000"/>
                                </w:rPr>
                                <w:t>、熨平</w:t>
                              </w:r>
                              <w:r>
                                <w:rPr>
                                  <w:rFonts w:hint="eastAsia" w:ascii="宋体" w:hAnsi="宋体"/>
                                  <w:sz w:val="24"/>
                                </w:rPr>
                                <w:t xml:space="preserve"> </w:t>
                              </w:r>
                            </w:p>
                          </w:txbxContent>
                        </wps:txbx>
                        <wps:bodyPr rot="0" vert="horz" wrap="square" lIns="91440" tIns="45720" rIns="91440" bIns="45720" anchor="t" anchorCtr="0" upright="1">
                          <a:noAutofit/>
                        </wps:bodyPr>
                      </wps:wsp>
                      <wps:wsp>
                        <wps:cNvPr id="42" name="文本框 12"/>
                        <wps:cNvSpPr txBox="1">
                          <a:spLocks noChangeArrowheads="1"/>
                        </wps:cNvSpPr>
                        <wps:spPr bwMode="auto">
                          <a:xfrm>
                            <a:off x="4500" y="6526"/>
                            <a:ext cx="2160" cy="561"/>
                          </a:xfrm>
                          <a:prstGeom prst="rect">
                            <a:avLst/>
                          </a:prstGeom>
                          <a:solidFill>
                            <a:srgbClr val="FFFFFF"/>
                          </a:solidFill>
                          <a:ln w="9525">
                            <a:solidFill>
                              <a:srgbClr val="000000"/>
                            </a:solidFill>
                            <a:miter lim="800000"/>
                          </a:ln>
                        </wps:spPr>
                        <wps:txbx>
                          <w:txbxContent>
                            <w:p>
                              <w:pPr>
                                <w:spacing w:line="360" w:lineRule="auto"/>
                                <w:ind w:firstLine="210" w:firstLineChars="100"/>
                                <w:jc w:val="center"/>
                                <w:rPr>
                                  <w:rFonts w:ascii="宋体" w:hAnsi="宋体"/>
                                </w:rPr>
                              </w:pPr>
                              <w:r>
                                <w:rPr>
                                  <w:rFonts w:hint="eastAsia" w:ascii="宋体" w:hAnsi="宋体"/>
                                  <w:color w:val="000000"/>
                                </w:rPr>
                                <w:t>再生混</w:t>
                              </w:r>
                              <w:r>
                                <w:rPr>
                                  <w:rFonts w:hint="eastAsia" w:ascii="宋体" w:hAnsi="宋体"/>
                                </w:rPr>
                                <w:t>合料再加热</w:t>
                              </w:r>
                            </w:p>
                          </w:txbxContent>
                        </wps:txbx>
                        <wps:bodyPr rot="0" vert="horz" wrap="square" lIns="91440" tIns="45720" rIns="91440" bIns="45720" anchor="t" anchorCtr="0" upright="1">
                          <a:noAutofit/>
                        </wps:bodyPr>
                      </wps:wsp>
                      <wps:wsp>
                        <wps:cNvPr id="43" name="文本框 14"/>
                        <wps:cNvSpPr txBox="1">
                          <a:spLocks noChangeArrowheads="1"/>
                        </wps:cNvSpPr>
                        <wps:spPr bwMode="auto">
                          <a:xfrm>
                            <a:off x="4500" y="7368"/>
                            <a:ext cx="2160" cy="562"/>
                          </a:xfrm>
                          <a:prstGeom prst="rect">
                            <a:avLst/>
                          </a:prstGeom>
                          <a:solidFill>
                            <a:srgbClr val="FFFFFF"/>
                          </a:solidFill>
                          <a:ln w="9525">
                            <a:solidFill>
                              <a:srgbClr val="000000"/>
                            </a:solidFill>
                            <a:miter lim="800000"/>
                          </a:ln>
                        </wps:spPr>
                        <wps:txbx>
                          <w:txbxContent>
                            <w:p>
                              <w:pPr>
                                <w:spacing w:line="360" w:lineRule="auto"/>
                                <w:ind w:firstLine="210" w:firstLineChars="100"/>
                                <w:jc w:val="center"/>
                                <w:rPr>
                                  <w:rFonts w:ascii="宋体" w:hAnsi="宋体"/>
                                </w:rPr>
                              </w:pPr>
                              <w:r>
                                <w:rPr>
                                  <w:rFonts w:hint="eastAsia" w:ascii="宋体" w:hAnsi="宋体"/>
                                </w:rPr>
                                <w:t>新沥青混合料摊铺、碾压</w:t>
                              </w:r>
                            </w:p>
                          </w:txbxContent>
                        </wps:txbx>
                        <wps:bodyPr rot="0" vert="horz" wrap="square" lIns="91440" tIns="45720" rIns="91440" bIns="45720" anchor="t" anchorCtr="0" upright="1">
                          <a:noAutofit/>
                        </wps:bodyPr>
                      </wps:wsp>
                      <wps:wsp>
                        <wps:cNvPr id="44" name="直线 301"/>
                        <wps:cNvCnPr>
                          <a:cxnSpLocks noChangeShapeType="1"/>
                        </wps:cNvCnPr>
                        <wps:spPr bwMode="auto">
                          <a:xfrm>
                            <a:off x="5580" y="3718"/>
                            <a:ext cx="0" cy="280"/>
                          </a:xfrm>
                          <a:prstGeom prst="line">
                            <a:avLst/>
                          </a:prstGeom>
                          <a:noFill/>
                          <a:ln w="9525">
                            <a:solidFill>
                              <a:srgbClr val="000000"/>
                            </a:solidFill>
                            <a:round/>
                            <a:tailEnd type="triangle" w="med" len="med"/>
                          </a:ln>
                        </wps:spPr>
                        <wps:bodyPr/>
                      </wps:wsp>
                      <wps:wsp>
                        <wps:cNvPr id="45" name="直线 302"/>
                        <wps:cNvCnPr>
                          <a:cxnSpLocks noChangeShapeType="1"/>
                        </wps:cNvCnPr>
                        <wps:spPr bwMode="auto">
                          <a:xfrm>
                            <a:off x="5580" y="4560"/>
                            <a:ext cx="0" cy="281"/>
                          </a:xfrm>
                          <a:prstGeom prst="line">
                            <a:avLst/>
                          </a:prstGeom>
                          <a:noFill/>
                          <a:ln w="9525">
                            <a:solidFill>
                              <a:srgbClr val="000000"/>
                            </a:solidFill>
                            <a:round/>
                            <a:tailEnd type="triangle" w="med" len="med"/>
                          </a:ln>
                        </wps:spPr>
                        <wps:bodyPr/>
                      </wps:wsp>
                      <wps:wsp>
                        <wps:cNvPr id="46" name="直线 303"/>
                        <wps:cNvCnPr>
                          <a:cxnSpLocks noChangeShapeType="1"/>
                        </wps:cNvCnPr>
                        <wps:spPr bwMode="auto">
                          <a:xfrm>
                            <a:off x="5580" y="5402"/>
                            <a:ext cx="0" cy="281"/>
                          </a:xfrm>
                          <a:prstGeom prst="line">
                            <a:avLst/>
                          </a:prstGeom>
                          <a:noFill/>
                          <a:ln w="9525">
                            <a:solidFill>
                              <a:srgbClr val="000000"/>
                            </a:solidFill>
                            <a:round/>
                            <a:tailEnd type="triangle" w="med" len="med"/>
                          </a:ln>
                        </wps:spPr>
                        <wps:bodyPr/>
                      </wps:wsp>
                      <wps:wsp>
                        <wps:cNvPr id="47" name="直线 304"/>
                        <wps:cNvCnPr>
                          <a:cxnSpLocks noChangeShapeType="1"/>
                        </wps:cNvCnPr>
                        <wps:spPr bwMode="auto">
                          <a:xfrm>
                            <a:off x="5580" y="6245"/>
                            <a:ext cx="0" cy="281"/>
                          </a:xfrm>
                          <a:prstGeom prst="line">
                            <a:avLst/>
                          </a:prstGeom>
                          <a:noFill/>
                          <a:ln w="9525">
                            <a:solidFill>
                              <a:srgbClr val="000000"/>
                            </a:solidFill>
                            <a:round/>
                            <a:tailEnd type="triangle" w="med" len="med"/>
                          </a:ln>
                        </wps:spPr>
                        <wps:bodyPr/>
                      </wps:wsp>
                      <wps:wsp>
                        <wps:cNvPr id="48" name="直线 305"/>
                        <wps:cNvCnPr>
                          <a:cxnSpLocks noChangeShapeType="1"/>
                        </wps:cNvCnPr>
                        <wps:spPr bwMode="auto">
                          <a:xfrm>
                            <a:off x="5580" y="7087"/>
                            <a:ext cx="0" cy="281"/>
                          </a:xfrm>
                          <a:prstGeom prst="line">
                            <a:avLst/>
                          </a:prstGeom>
                          <a:noFill/>
                          <a:ln w="9525">
                            <a:solidFill>
                              <a:srgbClr val="000000"/>
                            </a:solidFill>
                            <a:round/>
                            <a:tailEnd type="triangle" w="med" len="med"/>
                          </a:ln>
                        </wps:spPr>
                        <wps:bodyPr/>
                      </wps:wsp>
                      <wps:wsp>
                        <wps:cNvPr id="49" name="文本框 306"/>
                        <wps:cNvSpPr txBox="1">
                          <a:spLocks noChangeArrowheads="1"/>
                        </wps:cNvSpPr>
                        <wps:spPr bwMode="auto">
                          <a:xfrm>
                            <a:off x="4500" y="8210"/>
                            <a:ext cx="2160" cy="562"/>
                          </a:xfrm>
                          <a:prstGeom prst="rect">
                            <a:avLst/>
                          </a:prstGeom>
                          <a:solidFill>
                            <a:srgbClr val="FFFFFF"/>
                          </a:solidFill>
                          <a:ln w="9525">
                            <a:solidFill>
                              <a:srgbClr val="000000"/>
                            </a:solidFill>
                            <a:miter lim="800000"/>
                          </a:ln>
                        </wps:spPr>
                        <wps:txbx>
                          <w:txbxContent>
                            <w:p>
                              <w:pPr>
                                <w:spacing w:line="360" w:lineRule="auto"/>
                                <w:ind w:firstLine="210" w:firstLineChars="100"/>
                                <w:jc w:val="center"/>
                                <w:rPr>
                                  <w:rFonts w:ascii="宋体" w:hAnsi="宋体"/>
                                </w:rPr>
                              </w:pPr>
                              <w:r>
                                <w:rPr>
                                  <w:rFonts w:hint="eastAsia" w:ascii="宋体" w:hAnsi="宋体"/>
                                </w:rPr>
                                <w:t>开放交通</w:t>
                              </w:r>
                            </w:p>
                          </w:txbxContent>
                        </wps:txbx>
                        <wps:bodyPr rot="0" vert="horz" wrap="square" lIns="91440" tIns="45720" rIns="91440" bIns="45720" anchor="t" anchorCtr="0" upright="1">
                          <a:noAutofit/>
                        </wps:bodyPr>
                      </wps:wsp>
                      <wps:wsp>
                        <wps:cNvPr id="50" name="直线 307"/>
                        <wps:cNvCnPr>
                          <a:cxnSpLocks noChangeShapeType="1"/>
                        </wps:cNvCnPr>
                        <wps:spPr bwMode="auto">
                          <a:xfrm>
                            <a:off x="5580" y="7930"/>
                            <a:ext cx="0" cy="280"/>
                          </a:xfrm>
                          <a:prstGeom prst="line">
                            <a:avLst/>
                          </a:prstGeom>
                          <a:noFill/>
                          <a:ln w="9525">
                            <a:solidFill>
                              <a:srgbClr val="000000"/>
                            </a:solidFill>
                            <a:round/>
                            <a:tailEnd type="triangle" w="med" len="med"/>
                          </a:ln>
                        </wps:spPr>
                        <wps:bodyPr/>
                      </wps:wsp>
                    </wpg:wgp>
                  </a:graphicData>
                </a:graphic>
              </wp:inline>
            </w:drawing>
          </mc:Choice>
          <mc:Fallback>
            <w:pict>
              <v:group id="_x0000_s1026" o:spid="_x0000_s1026" o:spt="203" style="height:280.8pt;width:172.55pt;" coordorigin="4500,3156" coordsize="2160,5616" o:gfxdata="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">
                <o:lock v:ext="edit" aspectratio="f"/>
                <v:shape id="文本框 4" o:spid="_x0000_s1026" o:spt="202" type="#_x0000_t202" style="position:absolute;left:4500;top:3156;height:562;width:2160;" filled="f" stroked="t" coordsize="21600,21600" o:gfxdata="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QP1TvQAA&#10;ANsAAAAPAAAAAAAAAAEAIAAAACIAAABkcnMvZG93bnJldi54bWxQSwECFAAUAAAACACHTuJAMy8F&#10;njsAAAA5AAAAEAAAAAAAAAABACAAAAAMAQAAZHJzL3NoYXBleG1sLnhtbFBLBQYAAAAABgAGAFsB&#10;AAC2AwAAAAA=&#10;">
                  <v:fill on="f" focussize="0,0"/>
                  <v:stroke color="#000000" miterlimit="8" joinstyle="miter"/>
                  <v:imagedata o:title=""/>
                  <o:lock v:ext="edit" aspectratio="f"/>
                  <v:textbox>
                    <w:txbxContent>
                      <w:p>
                        <w:pPr>
                          <w:spacing w:line="360" w:lineRule="auto"/>
                          <w:ind w:firstLine="210" w:firstLineChars="100"/>
                          <w:jc w:val="center"/>
                          <w:rPr>
                            <w:rFonts w:ascii="宋体" w:hAnsi="宋体"/>
                          </w:rPr>
                        </w:pPr>
                        <w:r>
                          <w:rPr>
                            <w:rFonts w:hint="eastAsia" w:ascii="宋体" w:hAnsi="宋体"/>
                          </w:rPr>
                          <w:t>施工准备</w:t>
                        </w:r>
                      </w:p>
                    </w:txbxContent>
                  </v:textbox>
                </v:shape>
                <v:shape id="文本框 6" o:spid="_x0000_s1026" o:spt="202" type="#_x0000_t202" style="position:absolute;left:4500;top:3998;height:562;width:2160;" fillcolor="#FFFFFF" filled="t" stroked="t" coordsize="21600,21600" o:gfxdata="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8sqJ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spacing w:line="360" w:lineRule="auto"/>
                          <w:ind w:firstLine="210" w:firstLineChars="100"/>
                          <w:jc w:val="center"/>
                          <w:rPr>
                            <w:rFonts w:ascii="宋体" w:hAnsi="宋体"/>
                          </w:rPr>
                        </w:pPr>
                        <w:r>
                          <w:rPr>
                            <w:rFonts w:hint="eastAsia" w:ascii="宋体" w:hAnsi="宋体"/>
                          </w:rPr>
                          <w:t>原路面加热</w:t>
                        </w:r>
                      </w:p>
                    </w:txbxContent>
                  </v:textbox>
                </v:shape>
                <v:shape id="文本框 8" o:spid="_x0000_s1026" o:spt="202" type="#_x0000_t202" style="position:absolute;left:4500;top:4841;height:561;width:2160;" fillcolor="#FFFFFF" filled="t" stroked="t" coordsize="21600,21600" o:gfxdata="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9/DE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spacing w:line="360" w:lineRule="auto"/>
                          <w:ind w:firstLine="210" w:firstLineChars="100"/>
                          <w:jc w:val="center"/>
                          <w:rPr>
                            <w:rFonts w:ascii="宋体" w:hAnsi="宋体"/>
                          </w:rPr>
                        </w:pPr>
                        <w:r>
                          <w:rPr>
                            <w:rFonts w:hint="eastAsia" w:ascii="宋体" w:hAnsi="宋体"/>
                          </w:rPr>
                          <w:t>喷洒再生剂</w:t>
                        </w:r>
                      </w:p>
                    </w:txbxContent>
                  </v:textbox>
                </v:shape>
                <v:shape id="文本框 10" o:spid="_x0000_s1026" o:spt="202" type="#_x0000_t202" style="position:absolute;left:4500;top:5683;height:562;width:2160;" fillcolor="#FFFFFF" filled="t" stroked="t" coordsize="21600,21600" o:gfxdata="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u1Vf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spacing w:line="360" w:lineRule="auto"/>
                          <w:ind w:firstLine="210" w:firstLineChars="100"/>
                          <w:jc w:val="center"/>
                          <w:rPr>
                            <w:rFonts w:ascii="宋体" w:hAnsi="宋体"/>
                            <w:sz w:val="24"/>
                          </w:rPr>
                        </w:pPr>
                        <w:r>
                          <w:rPr>
                            <w:rFonts w:hint="eastAsia" w:ascii="宋体" w:hAnsi="宋体"/>
                          </w:rPr>
                          <w:t>路面翻松</w:t>
                        </w:r>
                        <w:r>
                          <w:rPr>
                            <w:rFonts w:hint="eastAsia" w:ascii="宋体" w:hAnsi="宋体"/>
                            <w:color w:val="000000"/>
                          </w:rPr>
                          <w:t>、熨平</w:t>
                        </w:r>
                        <w:r>
                          <w:rPr>
                            <w:rFonts w:hint="eastAsia" w:ascii="宋体" w:hAnsi="宋体"/>
                            <w:sz w:val="24"/>
                          </w:rPr>
                          <w:t xml:space="preserve"> </w:t>
                        </w:r>
                      </w:p>
                    </w:txbxContent>
                  </v:textbox>
                </v:shape>
                <v:shape id="文本框 12" o:spid="_x0000_s1026" o:spt="202" type="#_x0000_t202" style="position:absolute;left:4500;top:6526;height:561;width:2160;" fillcolor="#FFFFFF" filled="t" stroked="t" coordsize="21600,21600" o:gfxdata="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Vpyyi/&#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pPr>
                          <w:spacing w:line="360" w:lineRule="auto"/>
                          <w:ind w:firstLine="210" w:firstLineChars="100"/>
                          <w:jc w:val="center"/>
                          <w:rPr>
                            <w:rFonts w:ascii="宋体" w:hAnsi="宋体"/>
                          </w:rPr>
                        </w:pPr>
                        <w:r>
                          <w:rPr>
                            <w:rFonts w:hint="eastAsia" w:ascii="宋体" w:hAnsi="宋体"/>
                            <w:color w:val="000000"/>
                          </w:rPr>
                          <w:t>再生混</w:t>
                        </w:r>
                        <w:r>
                          <w:rPr>
                            <w:rFonts w:hint="eastAsia" w:ascii="宋体" w:hAnsi="宋体"/>
                          </w:rPr>
                          <w:t>合料再加热</w:t>
                        </w:r>
                      </w:p>
                    </w:txbxContent>
                  </v:textbox>
                </v:shape>
                <v:shape id="文本框 14" o:spid="_x0000_s1026" o:spt="202" type="#_x0000_t202" style="position:absolute;left:4500;top:7368;height:562;width:2160;" fillcolor="#FFFFFF" filled="t" stroked="t" coordsize="21600,21600" o:gfxdata="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JW6z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spacing w:line="360" w:lineRule="auto"/>
                          <w:ind w:firstLine="210" w:firstLineChars="100"/>
                          <w:jc w:val="center"/>
                          <w:rPr>
                            <w:rFonts w:ascii="宋体" w:hAnsi="宋体"/>
                          </w:rPr>
                        </w:pPr>
                        <w:r>
                          <w:rPr>
                            <w:rFonts w:hint="eastAsia" w:ascii="宋体" w:hAnsi="宋体"/>
                          </w:rPr>
                          <w:t>新沥青混合料摊铺、碾压</w:t>
                        </w:r>
                      </w:p>
                    </w:txbxContent>
                  </v:textbox>
                </v:shape>
                <v:line id="直线 301" o:spid="_x0000_s1026" o:spt="20" style="position:absolute;left:5580;top:3718;height:280;width:0;" filled="f" stroked="t" coordsize="21600,21600" o:gfxdata="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SHVt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302" o:spid="_x0000_s1026" o:spt="20" style="position:absolute;left:5580;top:4560;height:281;width:0;" filled="f" stroked="t" coordsize="21600,21600" o:gfxdata="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tcC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303" o:spid="_x0000_s1026" o:spt="20" style="position:absolute;left:5580;top:5402;height:281;width:0;" filled="f" stroked="t" coordsize="21600,21600" o:gfxdata="UEsDBAoAAAAAAIdO4kAAAAAAAAAAAAAAAAAEAAAAZHJzL1BLAwQUAAAACACHTuJAmr/uWb8AAADb&#10;AAAADwAAAGRycy9kb3ducmV2LnhtbEWPT2vCQBTE74LfYXmCN92kF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q/7l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304" o:spid="_x0000_s1026" o:spt="20" style="position:absolute;left:5580;top:6245;height:281;width:0;" filled="f" stroked="t" coordsize="21600,21600" o:gfxdata="UEsDBAoAAAAAAIdO4kAAAAAAAAAAAAAAAAAEAAAAZHJzL1BLAwQUAAAACACHTuJA9fNLwr8AAADb&#10;AAAADwAAAGRycy9kb3ducmV2LnhtbEWPT2vCQBTE7wW/w/KE3uomUmq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zS8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305" o:spid="_x0000_s1026" o:spt="20" style="position:absolute;left:5580;top:7087;height:281;width:0;" filled="f" stroked="t" coordsize="21600,21600" o:gfxdata="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Gzfs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文本框 306" o:spid="_x0000_s1026" o:spt="202" type="#_x0000_t202" style="position:absolute;left:4500;top:8210;height:562;width:2160;" fillcolor="#FFFFFF" filled="t" stroked="t" coordsize="21600,21600" o:gfxdata="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1ZWb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spacing w:line="360" w:lineRule="auto"/>
                          <w:ind w:firstLine="210" w:firstLineChars="100"/>
                          <w:jc w:val="center"/>
                          <w:rPr>
                            <w:rFonts w:ascii="宋体" w:hAnsi="宋体"/>
                          </w:rPr>
                        </w:pPr>
                        <w:r>
                          <w:rPr>
                            <w:rFonts w:hint="eastAsia" w:ascii="宋体" w:hAnsi="宋体"/>
                          </w:rPr>
                          <w:t>开放交通</w:t>
                        </w:r>
                      </w:p>
                    </w:txbxContent>
                  </v:textbox>
                </v:shape>
                <v:line id="直线 307" o:spid="_x0000_s1026" o:spt="20" style="position:absolute;left:5580;top:7930;height:280;width:0;" filled="f" stroked="t" coordsize="21600,21600" o:gfxdata="UEsDBAoAAAAAAIdO4kAAAAAAAAAAAAAAAAAEAAAAZHJzL1BLAwQUAAAACACHTuJA/8NFa7sAAADb&#10;AAAADwAAAGRycy9kb3ducmV2LnhtbEVPy4rCMBTdC/MP4Q6407SC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NFa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w10:wrap type="none"/>
                <w10:anchorlock/>
              </v:group>
            </w:pict>
          </mc:Fallback>
        </mc:AlternateContent>
      </w:r>
    </w:p>
    <w:p>
      <w:pPr>
        <w:ind w:right="26"/>
        <w:jc w:val="center"/>
        <w:rPr>
          <w:rFonts w:eastAsia="黑体"/>
          <w:color w:val="000000"/>
          <w:szCs w:val="21"/>
        </w:rPr>
      </w:pPr>
      <w:r>
        <w:rPr>
          <w:rFonts w:eastAsia="黑体"/>
          <w:color w:val="000000"/>
          <w:szCs w:val="21"/>
        </w:rPr>
        <w:t>图</w:t>
      </w:r>
      <w:r>
        <w:rPr>
          <w:rFonts w:eastAsia="黑体"/>
          <w:bCs/>
          <w:color w:val="000000"/>
          <w:szCs w:val="21"/>
        </w:rPr>
        <w:t>2</w:t>
      </w:r>
      <w:r>
        <w:rPr>
          <w:rFonts w:eastAsia="黑体"/>
          <w:color w:val="000000"/>
          <w:szCs w:val="21"/>
        </w:rPr>
        <w:t xml:space="preserve"> 整形再生施工工艺流程</w:t>
      </w:r>
    </w:p>
    <w:p>
      <w:pPr>
        <w:pStyle w:val="60"/>
        <w:numPr>
          <w:ilvl w:val="0"/>
          <w:numId w:val="0"/>
        </w:numPr>
        <w:rPr>
          <w:rFonts w:ascii="黑体" w:hAnsi="黑体" w:eastAsia="黑体" w:cs="黑体"/>
          <w:szCs w:val="21"/>
        </w:rPr>
      </w:pPr>
      <w:r>
        <w:rPr>
          <w:rFonts w:ascii="黑体" w:hAnsi="黑体" w:eastAsia="黑体" w:cs="黑体"/>
          <w:szCs w:val="21"/>
        </w:rPr>
        <w:t xml:space="preserve">7.4.1.1  </w:t>
      </w:r>
      <w:r>
        <w:rPr>
          <w:szCs w:val="21"/>
        </w:rPr>
        <w:t>施工准备应符合下列规定：</w:t>
      </w:r>
    </w:p>
    <w:p>
      <w:pPr>
        <w:pStyle w:val="60"/>
        <w:numPr>
          <w:ilvl w:val="0"/>
          <w:numId w:val="33"/>
        </w:numPr>
        <w:ind w:left="840" w:hanging="420"/>
        <w:rPr>
          <w:szCs w:val="21"/>
        </w:rPr>
      </w:pPr>
      <w:r>
        <w:rPr>
          <w:szCs w:val="21"/>
        </w:rPr>
        <w:t>准备施工阶段需做好交通组织、路面深层病害的预处理和机械设备的调试、准备等。对路边绿化设施，应进行有效防护。</w:t>
      </w:r>
    </w:p>
    <w:p>
      <w:pPr>
        <w:pStyle w:val="60"/>
        <w:numPr>
          <w:ilvl w:val="0"/>
          <w:numId w:val="33"/>
        </w:numPr>
        <w:ind w:left="840" w:hanging="420"/>
        <w:rPr>
          <w:rFonts w:ascii="黑体" w:hAnsi="黑体" w:eastAsia="黑体" w:cs="黑体"/>
          <w:szCs w:val="21"/>
        </w:rPr>
      </w:pPr>
      <w:r>
        <w:rPr>
          <w:szCs w:val="21"/>
        </w:rPr>
        <w:t xml:space="preserve">应在施工起点后延50m（不在施工范围内）处开始划施工基准线，方便设备提前就位；按现有标线作为施工参考基准，基准线应平滑、顺直、清晰，保证驾驶员、操作手易于观察。   </w:t>
      </w:r>
    </w:p>
    <w:p>
      <w:pPr>
        <w:pStyle w:val="60"/>
        <w:numPr>
          <w:ilvl w:val="0"/>
          <w:numId w:val="0"/>
        </w:numPr>
        <w:rPr>
          <w:rFonts w:ascii="黑体" w:hAnsi="黑体" w:eastAsia="黑体" w:cs="黑体"/>
          <w:szCs w:val="21"/>
        </w:rPr>
      </w:pPr>
      <w:r>
        <w:rPr>
          <w:rFonts w:ascii="黑体" w:hAnsi="黑体" w:eastAsia="黑体" w:cs="黑体"/>
          <w:szCs w:val="21"/>
        </w:rPr>
        <w:t xml:space="preserve">7.4.1.2  </w:t>
      </w:r>
      <w:r>
        <w:rPr>
          <w:szCs w:val="21"/>
        </w:rPr>
        <w:t>原路面加热应符合下列规定：</w:t>
      </w:r>
    </w:p>
    <w:p>
      <w:pPr>
        <w:pStyle w:val="60"/>
        <w:numPr>
          <w:ilvl w:val="0"/>
          <w:numId w:val="34"/>
        </w:numPr>
        <w:ind w:left="840" w:hanging="420"/>
        <w:rPr>
          <w:szCs w:val="21"/>
        </w:rPr>
      </w:pPr>
      <w:r>
        <w:rPr>
          <w:rFonts w:hint="eastAsia"/>
          <w:szCs w:val="21"/>
        </w:rPr>
        <w:t>宜采用间歇式热辐射等加热技术对原路面加热，保证原路面的加热温度和深度。并应根据已加热原路面的路表温度，实时控制调整加热强度，路表加热温度宜小于190℃，瞬间温度应不大于240℃。不得因加热温度不足影响施工质量或加热温度过高造成沥青严重老化。</w:t>
      </w:r>
    </w:p>
    <w:p>
      <w:pPr>
        <w:pStyle w:val="60"/>
        <w:numPr>
          <w:ilvl w:val="0"/>
          <w:numId w:val="34"/>
        </w:numPr>
        <w:ind w:left="840" w:hanging="420"/>
        <w:rPr>
          <w:szCs w:val="21"/>
        </w:rPr>
      </w:pPr>
      <w:r>
        <w:rPr>
          <w:szCs w:val="21"/>
        </w:rPr>
        <w:t>各加热车辆统一按照设定的施工速度匀速行驶。</w:t>
      </w:r>
    </w:p>
    <w:p>
      <w:pPr>
        <w:pStyle w:val="60"/>
        <w:numPr>
          <w:ilvl w:val="0"/>
          <w:numId w:val="34"/>
        </w:numPr>
        <w:ind w:left="840" w:hanging="420"/>
        <w:rPr>
          <w:szCs w:val="21"/>
        </w:rPr>
      </w:pPr>
      <w:r>
        <w:rPr>
          <w:szCs w:val="21"/>
        </w:rPr>
        <w:t>应采用保温装置对加热后的路面进行保温，确保热量向下渗透，减少热量损失。</w:t>
      </w:r>
    </w:p>
    <w:p>
      <w:pPr>
        <w:pStyle w:val="60"/>
        <w:numPr>
          <w:ilvl w:val="0"/>
          <w:numId w:val="34"/>
        </w:numPr>
        <w:ind w:left="840" w:hanging="420"/>
        <w:rPr>
          <w:rFonts w:ascii="黑体" w:hAnsi="黑体" w:eastAsia="黑体" w:cs="黑体"/>
          <w:szCs w:val="21"/>
        </w:rPr>
      </w:pPr>
      <w:r>
        <w:rPr>
          <w:szCs w:val="21"/>
        </w:rPr>
        <w:t>施工环境气温低于5℃时，应通过增加加热设备数量或提高加热效率保证施工过程温度控制满足相关要求。</w:t>
      </w:r>
    </w:p>
    <w:p>
      <w:pPr>
        <w:pStyle w:val="60"/>
        <w:numPr>
          <w:ilvl w:val="0"/>
          <w:numId w:val="0"/>
        </w:numPr>
        <w:rPr>
          <w:rFonts w:ascii="黑体" w:hAnsi="黑体" w:eastAsia="黑体" w:cs="黑体"/>
          <w:szCs w:val="21"/>
        </w:rPr>
      </w:pPr>
      <w:r>
        <w:rPr>
          <w:rFonts w:ascii="黑体" w:hAnsi="黑体" w:eastAsia="黑体" w:cs="黑体"/>
          <w:szCs w:val="21"/>
        </w:rPr>
        <w:t xml:space="preserve">7.4.1.3  </w:t>
      </w:r>
      <w:r>
        <w:rPr>
          <w:szCs w:val="21"/>
        </w:rPr>
        <w:t>沥青再生剂的喷洒应符合下列要求：</w:t>
      </w:r>
    </w:p>
    <w:p>
      <w:pPr>
        <w:pStyle w:val="60"/>
        <w:numPr>
          <w:ilvl w:val="0"/>
          <w:numId w:val="35"/>
        </w:numPr>
        <w:ind w:left="840" w:hanging="420"/>
        <w:rPr>
          <w:szCs w:val="21"/>
        </w:rPr>
      </w:pPr>
      <w:r>
        <w:rPr>
          <w:szCs w:val="21"/>
        </w:rPr>
        <w:t>再生剂的喷洒量应根据原路面沥青材料的检测试验结果进行控制，宜采用自动喷洒控制系统精确计量。</w:t>
      </w:r>
      <w:r>
        <w:rPr>
          <w:rFonts w:hint="eastAsia"/>
          <w:szCs w:val="21"/>
        </w:rPr>
        <w:t>再生剂添加量应符合设计要求，允许偏差设计值的±5%。</w:t>
      </w:r>
    </w:p>
    <w:p>
      <w:pPr>
        <w:pStyle w:val="60"/>
        <w:numPr>
          <w:ilvl w:val="0"/>
          <w:numId w:val="35"/>
        </w:numPr>
        <w:ind w:left="840" w:hanging="420"/>
        <w:rPr>
          <w:szCs w:val="21"/>
        </w:rPr>
      </w:pPr>
      <w:r>
        <w:rPr>
          <w:szCs w:val="21"/>
        </w:rPr>
        <w:t>喷洒方式宜采用旋转盘式等洒布技术，确保喷洒均匀，喷洒控制系统应与再生设备行驶速度相匹配。</w:t>
      </w:r>
    </w:p>
    <w:p>
      <w:pPr>
        <w:pStyle w:val="60"/>
        <w:numPr>
          <w:ilvl w:val="0"/>
          <w:numId w:val="35"/>
        </w:numPr>
        <w:ind w:left="840" w:hanging="420"/>
        <w:rPr>
          <w:rFonts w:ascii="黑体" w:hAnsi="黑体" w:eastAsia="黑体" w:cs="黑体"/>
          <w:szCs w:val="21"/>
        </w:rPr>
      </w:pPr>
      <w:r>
        <w:rPr>
          <w:szCs w:val="21"/>
        </w:rPr>
        <w:t>沥青再生剂应喷洒在原路面沥青混合料上，不应喷洒在新添加的沥青混合料上。</w:t>
      </w:r>
    </w:p>
    <w:p>
      <w:pPr>
        <w:pStyle w:val="60"/>
        <w:numPr>
          <w:ilvl w:val="0"/>
          <w:numId w:val="0"/>
        </w:numPr>
        <w:rPr>
          <w:szCs w:val="21"/>
        </w:rPr>
      </w:pPr>
      <w:r>
        <w:rPr>
          <w:rFonts w:ascii="黑体" w:hAnsi="黑体" w:eastAsia="黑体" w:cs="黑体"/>
          <w:szCs w:val="21"/>
        </w:rPr>
        <w:t xml:space="preserve">7.4.1.4  </w:t>
      </w:r>
      <w:r>
        <w:rPr>
          <w:szCs w:val="21"/>
        </w:rPr>
        <w:t>原路面翻松、熨平应符合下列规定：</w:t>
      </w:r>
    </w:p>
    <w:p>
      <w:pPr>
        <w:pStyle w:val="60"/>
        <w:numPr>
          <w:ilvl w:val="0"/>
          <w:numId w:val="36"/>
        </w:numPr>
        <w:ind w:left="840" w:hanging="420"/>
        <w:rPr>
          <w:szCs w:val="21"/>
        </w:rPr>
      </w:pPr>
      <w:r>
        <w:rPr>
          <w:szCs w:val="21"/>
        </w:rPr>
        <w:t>应用机械的翻松结构，在已经充分加热、均匀喷洒再生剂的路面上，以均匀速度将原路面均匀翻松。</w:t>
      </w:r>
      <w:r>
        <w:rPr>
          <w:rFonts w:hint="eastAsia"/>
          <w:szCs w:val="21"/>
        </w:rPr>
        <w:t>翻松深度应符合设计值的+0.5~-0.5cm。</w:t>
      </w:r>
      <w:r>
        <w:rPr>
          <w:szCs w:val="21"/>
        </w:rPr>
        <w:t>翻松时严禁打碎原路面的粗集料、翻起中面层集料，保持原路面混合料级配不变。</w:t>
      </w:r>
    </w:p>
    <w:p>
      <w:pPr>
        <w:pStyle w:val="60"/>
        <w:numPr>
          <w:ilvl w:val="0"/>
          <w:numId w:val="36"/>
        </w:numPr>
        <w:ind w:left="840" w:hanging="420"/>
        <w:rPr>
          <w:rFonts w:ascii="黑体" w:hAnsi="黑体" w:eastAsia="黑体" w:cs="黑体"/>
          <w:szCs w:val="21"/>
        </w:rPr>
      </w:pPr>
      <w:r>
        <w:rPr>
          <w:szCs w:val="21"/>
        </w:rPr>
        <w:t>应使用再生设备自带熨平装置整形翻松后的路面，消除原路面变形。</w:t>
      </w:r>
    </w:p>
    <w:p>
      <w:pPr>
        <w:pStyle w:val="60"/>
        <w:numPr>
          <w:ilvl w:val="0"/>
          <w:numId w:val="0"/>
        </w:numPr>
        <w:rPr>
          <w:rFonts w:ascii="黑体" w:hAnsi="黑体" w:eastAsia="黑体" w:cs="黑体"/>
          <w:szCs w:val="21"/>
        </w:rPr>
      </w:pPr>
      <w:r>
        <w:rPr>
          <w:rFonts w:ascii="黑体" w:hAnsi="黑体" w:eastAsia="黑体" w:cs="黑体"/>
          <w:szCs w:val="21"/>
        </w:rPr>
        <w:t xml:space="preserve">7.4.1.5  </w:t>
      </w:r>
      <w:r>
        <w:rPr>
          <w:szCs w:val="21"/>
        </w:rPr>
        <w:t>摊铺新沥青混合料前，应对路面再生混合料再次进行加热，以实现层间热黏结。</w:t>
      </w:r>
    </w:p>
    <w:p>
      <w:pPr>
        <w:pStyle w:val="60"/>
        <w:numPr>
          <w:ilvl w:val="0"/>
          <w:numId w:val="0"/>
        </w:numPr>
        <w:rPr>
          <w:rFonts w:ascii="黑体" w:hAnsi="黑体" w:eastAsia="黑体" w:cs="黑体"/>
          <w:szCs w:val="21"/>
        </w:rPr>
      </w:pPr>
      <w:r>
        <w:rPr>
          <w:rFonts w:ascii="黑体" w:hAnsi="黑体" w:eastAsia="黑体" w:cs="黑体"/>
          <w:szCs w:val="21"/>
        </w:rPr>
        <w:t xml:space="preserve">7.4.1.6  </w:t>
      </w:r>
      <w:r>
        <w:rPr>
          <w:szCs w:val="21"/>
        </w:rPr>
        <w:t>根据路面情况摊铺新沥青混合料，新添加沥青混合料与下层再生沥青层同时碾压，从而达到层间热黏结的效果。</w:t>
      </w:r>
    </w:p>
    <w:p>
      <w:pPr>
        <w:pStyle w:val="60"/>
        <w:numPr>
          <w:ilvl w:val="0"/>
          <w:numId w:val="0"/>
        </w:numPr>
        <w:rPr>
          <w:rFonts w:ascii="黑体" w:hAnsi="黑体" w:eastAsia="黑体" w:cs="黑体"/>
          <w:szCs w:val="21"/>
        </w:rPr>
      </w:pPr>
      <w:r>
        <w:rPr>
          <w:rFonts w:ascii="黑体" w:hAnsi="黑体" w:eastAsia="黑体" w:cs="黑体"/>
          <w:szCs w:val="21"/>
        </w:rPr>
        <w:t xml:space="preserve">7.4.1.7  </w:t>
      </w:r>
      <w:r>
        <w:rPr>
          <w:szCs w:val="21"/>
        </w:rPr>
        <w:t>纵向接缝应符合下列规定：</w:t>
      </w:r>
    </w:p>
    <w:p>
      <w:pPr>
        <w:pStyle w:val="60"/>
        <w:numPr>
          <w:ilvl w:val="0"/>
          <w:numId w:val="37"/>
        </w:numPr>
        <w:ind w:left="840" w:hanging="420"/>
        <w:rPr>
          <w:szCs w:val="21"/>
        </w:rPr>
      </w:pPr>
      <w:r>
        <w:rPr>
          <w:szCs w:val="21"/>
        </w:rPr>
        <w:t>纵向接缝应采用热接缝，不得采用封水性差的冷接缝方式。</w:t>
      </w:r>
    </w:p>
    <w:p>
      <w:pPr>
        <w:pStyle w:val="60"/>
        <w:numPr>
          <w:ilvl w:val="0"/>
          <w:numId w:val="37"/>
        </w:numPr>
        <w:ind w:left="840" w:hanging="420"/>
        <w:rPr>
          <w:rFonts w:ascii="黑体" w:hAnsi="黑体" w:eastAsia="黑体" w:cs="黑体"/>
          <w:szCs w:val="21"/>
        </w:rPr>
      </w:pPr>
      <w:r>
        <w:rPr>
          <w:szCs w:val="21"/>
        </w:rPr>
        <w:t>施工时设备的加热宽度应大于翻松宽度，使施工缝两侧的沥青混合料相互嵌挤，实现热黏结。</w:t>
      </w:r>
    </w:p>
    <w:p>
      <w:pPr>
        <w:pStyle w:val="60"/>
        <w:numPr>
          <w:ilvl w:val="0"/>
          <w:numId w:val="0"/>
        </w:numPr>
        <w:rPr>
          <w:rFonts w:ascii="黑体" w:hAnsi="黑体" w:eastAsia="黑体" w:cs="黑体"/>
          <w:szCs w:val="21"/>
        </w:rPr>
      </w:pPr>
      <w:r>
        <w:rPr>
          <w:rFonts w:ascii="黑体" w:hAnsi="黑体" w:eastAsia="黑体" w:cs="黑体"/>
          <w:szCs w:val="21"/>
        </w:rPr>
        <w:t xml:space="preserve">7.4.1.8  </w:t>
      </w:r>
      <w:r>
        <w:rPr>
          <w:szCs w:val="21"/>
        </w:rPr>
        <w:t>碾压工序结束后，应待路表温度自然降至50℃以下后，方可开放交通。</w:t>
      </w:r>
    </w:p>
    <w:p>
      <w:pPr>
        <w:pStyle w:val="60"/>
        <w:numPr>
          <w:ilvl w:val="0"/>
          <w:numId w:val="0"/>
        </w:numPr>
        <w:rPr>
          <w:rFonts w:ascii="黑体" w:hAnsi="黑体" w:eastAsia="黑体" w:cs="黑体"/>
          <w:szCs w:val="21"/>
        </w:rPr>
      </w:pPr>
      <w:r>
        <w:rPr>
          <w:rFonts w:ascii="黑体" w:hAnsi="黑体" w:eastAsia="黑体" w:cs="黑体"/>
          <w:szCs w:val="21"/>
        </w:rPr>
        <w:t xml:space="preserve">7.4.2   </w:t>
      </w:r>
      <w:r>
        <w:rPr>
          <w:szCs w:val="21"/>
        </w:rPr>
        <w:t>复拌就地热再生施工工艺流程如图</w:t>
      </w:r>
      <w:r>
        <w:rPr>
          <w:rFonts w:hint="eastAsia"/>
          <w:szCs w:val="21"/>
        </w:rPr>
        <w:t>3</w:t>
      </w:r>
      <w:r>
        <w:rPr>
          <w:szCs w:val="21"/>
        </w:rPr>
        <w:t>所示，并应符合下列要求：</w:t>
      </w:r>
    </w:p>
    <w:p>
      <w:pPr>
        <w:pStyle w:val="60"/>
        <w:numPr>
          <w:ilvl w:val="0"/>
          <w:numId w:val="38"/>
        </w:numPr>
        <w:ind w:left="840" w:hanging="420"/>
        <w:rPr>
          <w:szCs w:val="21"/>
        </w:rPr>
      </w:pPr>
      <w:r>
        <w:rPr>
          <w:szCs w:val="21"/>
        </w:rPr>
        <w:t>施工准备应按本标准第7.4.1条第1款执行。</w:t>
      </w:r>
    </w:p>
    <w:p>
      <w:pPr>
        <w:pStyle w:val="60"/>
        <w:numPr>
          <w:ilvl w:val="0"/>
          <w:numId w:val="38"/>
        </w:numPr>
        <w:ind w:left="840" w:hanging="420"/>
        <w:rPr>
          <w:szCs w:val="21"/>
        </w:rPr>
      </w:pPr>
      <w:r>
        <w:rPr>
          <w:szCs w:val="21"/>
        </w:rPr>
        <w:t>原路面加热应按本标准第7.4.1条第2款执行。</w:t>
      </w:r>
    </w:p>
    <w:p>
      <w:pPr>
        <w:pStyle w:val="60"/>
        <w:numPr>
          <w:ilvl w:val="0"/>
          <w:numId w:val="38"/>
        </w:numPr>
        <w:ind w:left="840" w:hanging="420"/>
        <w:rPr>
          <w:szCs w:val="21"/>
        </w:rPr>
      </w:pPr>
      <w:r>
        <w:rPr>
          <w:szCs w:val="21"/>
        </w:rPr>
        <w:t>原路面翻松应按本标准第7.4.1条第4款第1项执行。</w:t>
      </w:r>
    </w:p>
    <w:p>
      <w:pPr>
        <w:pStyle w:val="60"/>
        <w:numPr>
          <w:ilvl w:val="0"/>
          <w:numId w:val="38"/>
        </w:numPr>
        <w:ind w:left="840" w:hanging="420"/>
        <w:rPr>
          <w:szCs w:val="21"/>
        </w:rPr>
      </w:pPr>
      <w:r>
        <w:rPr>
          <w:szCs w:val="21"/>
        </w:rPr>
        <w:t>沥青再生剂、新沥青喷洒应按本标准第7.4.1条第3款执行。</w:t>
      </w:r>
    </w:p>
    <w:p>
      <w:pPr>
        <w:pStyle w:val="60"/>
        <w:numPr>
          <w:ilvl w:val="0"/>
          <w:numId w:val="38"/>
        </w:numPr>
        <w:ind w:left="840" w:hanging="420"/>
        <w:rPr>
          <w:szCs w:val="21"/>
        </w:rPr>
      </w:pPr>
      <w:r>
        <w:rPr>
          <w:szCs w:val="21"/>
        </w:rPr>
        <w:t>应将翻松、喷洒再生剂、新沥青后的原路面沥青混合料收集成一个梯形截面的料带。</w:t>
      </w:r>
    </w:p>
    <w:p>
      <w:pPr>
        <w:pStyle w:val="60"/>
        <w:numPr>
          <w:ilvl w:val="0"/>
          <w:numId w:val="38"/>
        </w:numPr>
        <w:ind w:left="840" w:hanging="420"/>
        <w:rPr>
          <w:szCs w:val="21"/>
        </w:rPr>
      </w:pPr>
      <w:r>
        <w:rPr>
          <w:szCs w:val="21"/>
        </w:rPr>
        <w:t>应将新沥青混合料添加到原路面收集而成的料带上，并对料带进行提升，提升过程中混合料应处于封闭的空间，以保证混合料温度符合拌和要求。待原路面沥青混合料与新添加混合料充分拌和后，形成复拌再生沥青混合料。</w:t>
      </w:r>
    </w:p>
    <w:p>
      <w:pPr>
        <w:pStyle w:val="60"/>
        <w:numPr>
          <w:ilvl w:val="0"/>
          <w:numId w:val="38"/>
        </w:numPr>
        <w:ind w:left="840" w:hanging="420"/>
        <w:rPr>
          <w:szCs w:val="21"/>
        </w:rPr>
      </w:pPr>
      <w:r>
        <w:rPr>
          <w:szCs w:val="21"/>
        </w:rPr>
        <w:t>摊铺前宜对路面全断面宽度的下承层进行再加热，顶面温度不低于100℃，确保实现层间热黏结。</w:t>
      </w:r>
    </w:p>
    <w:p>
      <w:pPr>
        <w:pStyle w:val="60"/>
        <w:numPr>
          <w:ilvl w:val="0"/>
          <w:numId w:val="38"/>
        </w:numPr>
        <w:ind w:left="840" w:hanging="420"/>
        <w:rPr>
          <w:szCs w:val="21"/>
        </w:rPr>
      </w:pPr>
      <w:r>
        <w:rPr>
          <w:szCs w:val="21"/>
        </w:rPr>
        <w:t>应将复拌再生沥青混合料输送到摊铺机进行摊铺，并完成碾压作业。</w:t>
      </w:r>
      <w:r>
        <w:rPr>
          <w:rFonts w:hint="eastAsia"/>
          <w:szCs w:val="21"/>
        </w:rPr>
        <w:t>再生沥青混合料摊铺温度，对普通沥青混合料，应不小于120℃；对改性沥青混合料，应不小于130℃；对SMA沥青马蹄脂混合料，应不小于135℃。</w:t>
      </w:r>
    </w:p>
    <w:p>
      <w:pPr>
        <w:pStyle w:val="60"/>
        <w:numPr>
          <w:ilvl w:val="0"/>
          <w:numId w:val="38"/>
        </w:numPr>
        <w:ind w:left="840" w:hanging="420"/>
        <w:rPr>
          <w:szCs w:val="21"/>
        </w:rPr>
      </w:pPr>
      <w:r>
        <w:rPr>
          <w:szCs w:val="21"/>
        </w:rPr>
        <w:t>纵向接缝应按本标准第7.4.1条第7款执行。</w:t>
      </w:r>
    </w:p>
    <w:p>
      <w:pPr>
        <w:pStyle w:val="60"/>
        <w:numPr>
          <w:ilvl w:val="0"/>
          <w:numId w:val="38"/>
        </w:numPr>
        <w:ind w:left="840" w:hanging="420"/>
        <w:rPr>
          <w:szCs w:val="21"/>
        </w:rPr>
      </w:pPr>
      <w:r>
        <w:rPr>
          <w:szCs w:val="21"/>
        </w:rPr>
        <w:t>碾压工序结束后，应待路表温度降至50℃以下后，方可开放交通。</w:t>
      </w: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r>
        <w:rPr>
          <w:color w:val="000000"/>
          <w:szCs w:val="21"/>
        </w:rPr>
        <mc:AlternateContent>
          <mc:Choice Requires="wps">
            <w:drawing>
              <wp:anchor distT="0" distB="0" distL="114300" distR="114300" simplePos="0" relativeHeight="251680768" behindDoc="0" locked="0" layoutInCell="1" allowOverlap="1">
                <wp:simplePos x="0" y="0"/>
                <wp:positionH relativeFrom="column">
                  <wp:posOffset>2237105</wp:posOffset>
                </wp:positionH>
                <wp:positionV relativeFrom="paragraph">
                  <wp:posOffset>198120</wp:posOffset>
                </wp:positionV>
                <wp:extent cx="1371600" cy="379730"/>
                <wp:effectExtent l="0" t="0" r="19050" b="20320"/>
                <wp:wrapNone/>
                <wp:docPr id="36"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371600" cy="379730"/>
                        </a:xfrm>
                        <a:prstGeom prst="rect">
                          <a:avLst/>
                        </a:prstGeom>
                        <a:noFill/>
                        <a:ln w="9525">
                          <a:solidFill>
                            <a:srgbClr val="000000"/>
                          </a:solidFill>
                          <a:miter lim="800000"/>
                        </a:ln>
                      </wps:spPr>
                      <wps:txbx>
                        <w:txbxContent>
                          <w:p>
                            <w:pPr>
                              <w:spacing w:line="360" w:lineRule="auto"/>
                              <w:jc w:val="center"/>
                              <w:rPr>
                                <w:rFonts w:ascii="宋体" w:hAnsi="宋体"/>
                              </w:rPr>
                            </w:pPr>
                            <w:r>
                              <w:rPr>
                                <w:rFonts w:hint="eastAsia" w:ascii="宋体" w:hAnsi="宋体"/>
                              </w:rPr>
                              <w:t>施工准备</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6.15pt;margin-top:15.6pt;height:29.9pt;width:108pt;z-index:251680768;mso-width-relative:page;mso-height-relative:page;" filled="f" stroked="t" coordsize="21600,21600" o:gfxdata="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83CwddYAAAAJAQAADwAAAAAAAAABACAAAAAiAAAAZHJz&#10;L2Rvd25yZXYueG1sUEsBAhQAFAAAAAgAh07iQC3Sp+A/AgAAYAQAAA4AAAAAAAAAAQAgAAAAJQEA&#10;AGRycy9lMm9Eb2MueG1sUEsFBgAAAAAGAAYAWQEAANYFAAAAAA==&#10;">
                <v:fill on="f" focussize="0,0"/>
                <v:stroke color="#000000" miterlimit="8" joinstyle="miter"/>
                <v:imagedata o:title=""/>
                <o:lock v:ext="edit" aspectratio="f"/>
                <v:textbox>
                  <w:txbxContent>
                    <w:p>
                      <w:pPr>
                        <w:spacing w:line="360" w:lineRule="auto"/>
                        <w:jc w:val="center"/>
                        <w:rPr>
                          <w:rFonts w:ascii="宋体" w:hAnsi="宋体"/>
                        </w:rPr>
                      </w:pPr>
                      <w:r>
                        <w:rPr>
                          <w:rFonts w:hint="eastAsia" w:ascii="宋体" w:hAnsi="宋体"/>
                        </w:rPr>
                        <w:t>施工准备</w:t>
                      </w:r>
                    </w:p>
                  </w:txbxContent>
                </v:textbox>
              </v:shape>
            </w:pict>
          </mc:Fallback>
        </mc:AlternateContent>
      </w:r>
    </w:p>
    <w:p>
      <w:pPr>
        <w:rPr>
          <w:color w:val="000000"/>
          <w:szCs w:val="21"/>
        </w:rPr>
      </w:pPr>
    </w:p>
    <w:p>
      <w:pPr>
        <w:rPr>
          <w:color w:val="000000"/>
          <w:szCs w:val="21"/>
        </w:rPr>
      </w:pPr>
      <w:r>
        <w:rPr>
          <w:color w:val="000000"/>
          <w:szCs w:val="21"/>
        </w:rPr>
        <mc:AlternateContent>
          <mc:Choice Requires="wps">
            <w:drawing>
              <wp:anchor distT="0" distB="0" distL="114300" distR="114300" simplePos="0" relativeHeight="251681792" behindDoc="0" locked="0" layoutInCell="1" allowOverlap="1">
                <wp:simplePos x="0" y="0"/>
                <wp:positionH relativeFrom="column">
                  <wp:posOffset>2912110</wp:posOffset>
                </wp:positionH>
                <wp:positionV relativeFrom="paragraph">
                  <wp:posOffset>198120</wp:posOffset>
                </wp:positionV>
                <wp:extent cx="0" cy="186690"/>
                <wp:effectExtent l="76200" t="0" r="57150" b="60960"/>
                <wp:wrapNone/>
                <wp:docPr id="35" name="直接连接符 35"/>
                <wp:cNvGraphicFramePr/>
                <a:graphic xmlns:a="http://schemas.openxmlformats.org/drawingml/2006/main">
                  <a:graphicData uri="http://schemas.microsoft.com/office/word/2010/wordprocessingShape">
                    <wps:wsp>
                      <wps:cNvCnPr>
                        <a:cxnSpLocks noChangeShapeType="1"/>
                      </wps:cNvCnPr>
                      <wps:spPr bwMode="auto">
                        <a:xfrm>
                          <a:off x="0" y="0"/>
                          <a:ext cx="0" cy="18669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29.3pt;margin-top:15.6pt;height:14.7pt;width:0pt;z-index:251681792;mso-width-relative:page;mso-height-relative:page;" filled="f" stroked="t" coordsize="21600,21600" o:gfxdata="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qO51dgAAAAJAQAADwAAAAAAAAABACAAAAAiAAAAZHJzL2Rvd25y&#10;ZXYueG1sUEsBAhQAFAAAAAgAh07iQHiSojL+AQAA2QMAAA4AAAAAAAAAAQAgAAAAJwEAAGRycy9l&#10;Mm9Eb2MueG1sUEsFBgAAAAAGAAYAWQEAAJcFAAAAAA==&#10;">
                <v:fill on="f" focussize="0,0"/>
                <v:stroke color="#000000" joinstyle="round" endarrow="block"/>
                <v:imagedata o:title=""/>
                <o:lock v:ext="edit" aspectratio="f"/>
              </v:line>
            </w:pict>
          </mc:Fallback>
        </mc:AlternateContent>
      </w:r>
    </w:p>
    <w:p>
      <w:pPr>
        <w:rPr>
          <w:color w:val="000000"/>
          <w:szCs w:val="21"/>
        </w:rPr>
      </w:pPr>
      <w:r>
        <w:rPr>
          <w:color w:val="000000"/>
          <w:szCs w:val="21"/>
        </w:rPr>
        <mc:AlternateContent>
          <mc:Choice Requires="wps">
            <w:drawing>
              <wp:anchor distT="0" distB="0" distL="114300" distR="114300" simplePos="0" relativeHeight="251679744" behindDoc="0" locked="0" layoutInCell="1" allowOverlap="1">
                <wp:simplePos x="0" y="0"/>
                <wp:positionH relativeFrom="column">
                  <wp:posOffset>2250440</wp:posOffset>
                </wp:positionH>
                <wp:positionV relativeFrom="paragraph">
                  <wp:posOffset>199390</wp:posOffset>
                </wp:positionV>
                <wp:extent cx="1371600" cy="379730"/>
                <wp:effectExtent l="0" t="0" r="19050" b="20320"/>
                <wp:wrapNone/>
                <wp:docPr id="34" name="文本框 34"/>
                <wp:cNvGraphicFramePr/>
                <a:graphic xmlns:a="http://schemas.openxmlformats.org/drawingml/2006/main">
                  <a:graphicData uri="http://schemas.microsoft.com/office/word/2010/wordprocessingShape">
                    <wps:wsp>
                      <wps:cNvSpPr txBox="1">
                        <a:spLocks noChangeArrowheads="1"/>
                      </wps:cNvSpPr>
                      <wps:spPr bwMode="auto">
                        <a:xfrm>
                          <a:off x="0" y="0"/>
                          <a:ext cx="1371600" cy="379730"/>
                        </a:xfrm>
                        <a:prstGeom prst="rect">
                          <a:avLst/>
                        </a:prstGeom>
                        <a:solidFill>
                          <a:srgbClr val="FFFFFF"/>
                        </a:solidFill>
                        <a:ln w="9525">
                          <a:solidFill>
                            <a:srgbClr val="000000"/>
                          </a:solidFill>
                          <a:miter lim="800000"/>
                        </a:ln>
                      </wps:spPr>
                      <wps:txbx>
                        <w:txbxContent>
                          <w:p>
                            <w:pPr>
                              <w:spacing w:line="360" w:lineRule="auto"/>
                              <w:jc w:val="center"/>
                              <w:rPr>
                                <w:rFonts w:ascii="宋体" w:hAnsi="宋体"/>
                              </w:rPr>
                            </w:pPr>
                            <w:r>
                              <w:rPr>
                                <w:rFonts w:hint="eastAsia" w:ascii="宋体" w:hAnsi="宋体"/>
                              </w:rPr>
                              <w:t>原路面加热</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7.2pt;margin-top:15.7pt;height:29.9pt;width:108pt;z-index:251679744;mso-width-relative:page;mso-height-relative:page;" fillcolor="#FFFFFF" filled="t" stroked="t" coordsize="21600,21600" o:gfxdata="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arIoHYAAAACQEAAA8AAAAAAAAAAQAgAAAAIgAA&#10;AGRycy9kb3ducmV2LnhtbFBLAQIUABQAAAAIAIdO4kBywwbQQQIAAIkEAAAOAAAAAAAAAAEAIAAA&#10;ACcBAABkcnMvZTJvRG9jLnhtbFBLBQYAAAAABgAGAFkBAADaBQAAAAA=&#10;">
                <v:fill on="t" focussize="0,0"/>
                <v:stroke color="#000000" miterlimit="8" joinstyle="miter"/>
                <v:imagedata o:title=""/>
                <o:lock v:ext="edit" aspectratio="f"/>
                <v:textbox>
                  <w:txbxContent>
                    <w:p>
                      <w:pPr>
                        <w:spacing w:line="360" w:lineRule="auto"/>
                        <w:jc w:val="center"/>
                        <w:rPr>
                          <w:rFonts w:ascii="宋体" w:hAnsi="宋体"/>
                        </w:rPr>
                      </w:pPr>
                      <w:r>
                        <w:rPr>
                          <w:rFonts w:hint="eastAsia" w:ascii="宋体" w:hAnsi="宋体"/>
                        </w:rPr>
                        <w:t>原路面加热</w:t>
                      </w:r>
                    </w:p>
                  </w:txbxContent>
                </v:textbox>
              </v:shape>
            </w:pict>
          </mc:Fallback>
        </mc:AlternateContent>
      </w:r>
    </w:p>
    <w:p>
      <w:pPr>
        <w:rPr>
          <w:color w:val="000000"/>
          <w:szCs w:val="21"/>
        </w:rPr>
      </w:pPr>
    </w:p>
    <w:p>
      <w:pPr>
        <w:rPr>
          <w:color w:val="000000"/>
          <w:szCs w:val="21"/>
        </w:rPr>
      </w:pPr>
      <w:r>
        <w:rPr>
          <w:color w:val="000000"/>
          <w:szCs w:val="21"/>
        </w:rPr>
        <mc:AlternateContent>
          <mc:Choice Requires="wps">
            <w:drawing>
              <wp:anchor distT="0" distB="0" distL="114300" distR="114300" simplePos="0" relativeHeight="251662336" behindDoc="0" locked="0" layoutInCell="1" allowOverlap="1">
                <wp:simplePos x="0" y="0"/>
                <wp:positionH relativeFrom="column">
                  <wp:posOffset>2919730</wp:posOffset>
                </wp:positionH>
                <wp:positionV relativeFrom="paragraph">
                  <wp:posOffset>182880</wp:posOffset>
                </wp:positionV>
                <wp:extent cx="0" cy="226060"/>
                <wp:effectExtent l="76200" t="0" r="57150" b="59690"/>
                <wp:wrapNone/>
                <wp:docPr id="33" name="直接连接符 33"/>
                <wp:cNvGraphicFramePr/>
                <a:graphic xmlns:a="http://schemas.openxmlformats.org/drawingml/2006/main">
                  <a:graphicData uri="http://schemas.microsoft.com/office/word/2010/wordprocessingShape">
                    <wps:wsp>
                      <wps:cNvCnPr>
                        <a:cxnSpLocks noChangeShapeType="1"/>
                      </wps:cNvCnPr>
                      <wps:spPr bwMode="auto">
                        <a:xfrm>
                          <a:off x="0" y="0"/>
                          <a:ext cx="0" cy="22606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29.9pt;margin-top:14.4pt;height:17.8pt;width:0pt;z-index:251662336;mso-width-relative:page;mso-height-relative:page;" filled="f" stroked="t" coordsize="21600,21600" o:gfxdata="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EdNhXZAAAACQEAAA8AAAAAAAAAAQAgAAAAIgAAAGRycy9kb3du&#10;cmV2LnhtbFBLAQIUABQAAAAIAIdO4kBUNnJp/gEAANkDAAAOAAAAAAAAAAEAIAAAACgBAABkcnMv&#10;ZTJvRG9jLnhtbFBLBQYAAAAABgAGAFkBAACYBQAAAAA=&#10;">
                <v:fill on="f" focussize="0,0"/>
                <v:stroke color="#000000" joinstyle="round" endarrow="block"/>
                <v:imagedata o:title=""/>
                <o:lock v:ext="edit" aspectratio="f"/>
              </v:line>
            </w:pict>
          </mc:Fallback>
        </mc:AlternateContent>
      </w:r>
    </w:p>
    <w:p>
      <w:pPr>
        <w:rPr>
          <w:color w:val="000000"/>
          <w:szCs w:val="21"/>
        </w:rPr>
      </w:pPr>
    </w:p>
    <w:p>
      <w:pPr>
        <w:rPr>
          <w:color w:val="000000"/>
          <w:szCs w:val="21"/>
        </w:rPr>
      </w:pPr>
      <w:r>
        <w:rPr>
          <w:color w:val="000000"/>
          <w:szCs w:val="21"/>
        </w:rPr>
        <mc:AlternateContent>
          <mc:Choice Requires="wps">
            <w:drawing>
              <wp:anchor distT="0" distB="0" distL="114300" distR="114300" simplePos="0" relativeHeight="251661312" behindDoc="0" locked="0" layoutInCell="1" allowOverlap="1">
                <wp:simplePos x="0" y="0"/>
                <wp:positionH relativeFrom="column">
                  <wp:posOffset>2254250</wp:posOffset>
                </wp:positionH>
                <wp:positionV relativeFrom="paragraph">
                  <wp:posOffset>5080</wp:posOffset>
                </wp:positionV>
                <wp:extent cx="1371600" cy="379730"/>
                <wp:effectExtent l="0" t="0" r="19050" b="20320"/>
                <wp:wrapNone/>
                <wp:docPr id="32" name="文本框 32"/>
                <wp:cNvGraphicFramePr/>
                <a:graphic xmlns:a="http://schemas.openxmlformats.org/drawingml/2006/main">
                  <a:graphicData uri="http://schemas.microsoft.com/office/word/2010/wordprocessingShape">
                    <wps:wsp>
                      <wps:cNvSpPr txBox="1">
                        <a:spLocks noChangeArrowheads="1"/>
                      </wps:cNvSpPr>
                      <wps:spPr bwMode="auto">
                        <a:xfrm>
                          <a:off x="0" y="0"/>
                          <a:ext cx="1371600" cy="379730"/>
                        </a:xfrm>
                        <a:prstGeom prst="rect">
                          <a:avLst/>
                        </a:prstGeom>
                        <a:solidFill>
                          <a:srgbClr val="FFFFFF"/>
                        </a:solidFill>
                        <a:ln w="9525">
                          <a:solidFill>
                            <a:srgbClr val="000000"/>
                          </a:solidFill>
                          <a:miter lim="800000"/>
                        </a:ln>
                      </wps:spPr>
                      <wps:txbx>
                        <w:txbxContent>
                          <w:p>
                            <w:pPr>
                              <w:spacing w:line="360" w:lineRule="auto"/>
                              <w:jc w:val="center"/>
                              <w:rPr>
                                <w:rFonts w:ascii="宋体" w:hAnsi="宋体"/>
                              </w:rPr>
                            </w:pPr>
                            <w:r>
                              <w:rPr>
                                <w:rFonts w:hint="eastAsia" w:ascii="宋体" w:hAnsi="宋体"/>
                              </w:rPr>
                              <w:t xml:space="preserve">原路面翻松 </w:t>
                            </w:r>
                          </w:p>
                          <w:p>
                            <w:pPr>
                              <w:rPr>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7.5pt;margin-top:0.4pt;height:29.9pt;width:108pt;z-index:251661312;mso-width-relative:page;mso-height-relative:page;" fillcolor="#FFFFFF" filled="t" stroked="t" coordsize="21600,21600" o:gfxdata="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MkTN9YAAAAHAQAADwAAAAAAAAABACAAAAAiAAAA&#10;ZHJzL2Rvd25yZXYueG1sUEsBAhQAFAAAAAgAh07iQJr48OBCAgAAiQQAAA4AAAAAAAAAAQAgAAAA&#10;JQEAAGRycy9lMm9Eb2MueG1sUEsFBgAAAAAGAAYAWQEAANkFAAAAAA==&#10;">
                <v:fill on="t" focussize="0,0"/>
                <v:stroke color="#000000" miterlimit="8" joinstyle="miter"/>
                <v:imagedata o:title=""/>
                <o:lock v:ext="edit" aspectratio="f"/>
                <v:textbox>
                  <w:txbxContent>
                    <w:p>
                      <w:pPr>
                        <w:spacing w:line="360" w:lineRule="auto"/>
                        <w:jc w:val="center"/>
                        <w:rPr>
                          <w:rFonts w:ascii="宋体" w:hAnsi="宋体"/>
                        </w:rPr>
                      </w:pPr>
                      <w:r>
                        <w:rPr>
                          <w:rFonts w:hint="eastAsia" w:ascii="宋体" w:hAnsi="宋体"/>
                        </w:rPr>
                        <w:t xml:space="preserve">原路面翻松 </w:t>
                      </w:r>
                    </w:p>
                    <w:p>
                      <w:pPr>
                        <w:rPr>
                          <w:sz w:val="24"/>
                        </w:rPr>
                      </w:pPr>
                    </w:p>
                  </w:txbxContent>
                </v:textbox>
              </v:shape>
            </w:pict>
          </mc:Fallback>
        </mc:AlternateContent>
      </w:r>
    </w:p>
    <w:p>
      <w:pPr>
        <w:rPr>
          <w:color w:val="000000"/>
          <w:szCs w:val="21"/>
        </w:rPr>
      </w:pPr>
      <w:r>
        <w:rPr>
          <w:color w:val="000000"/>
          <w:szCs w:val="21"/>
        </w:rPr>
        <mc:AlternateContent>
          <mc:Choice Requires="wps">
            <w:drawing>
              <wp:anchor distT="0" distB="0" distL="114300" distR="114300" simplePos="0" relativeHeight="251663360" behindDoc="0" locked="0" layoutInCell="1" allowOverlap="1">
                <wp:simplePos x="0" y="0"/>
                <wp:positionH relativeFrom="column">
                  <wp:posOffset>2946400</wp:posOffset>
                </wp:positionH>
                <wp:positionV relativeFrom="paragraph">
                  <wp:posOffset>172085</wp:posOffset>
                </wp:positionV>
                <wp:extent cx="0" cy="189865"/>
                <wp:effectExtent l="76200" t="0" r="57150" b="57785"/>
                <wp:wrapNone/>
                <wp:docPr id="31" name="直接连接符 31"/>
                <wp:cNvGraphicFramePr/>
                <a:graphic xmlns:a="http://schemas.openxmlformats.org/drawingml/2006/main">
                  <a:graphicData uri="http://schemas.microsoft.com/office/word/2010/wordprocessingShape">
                    <wps:wsp>
                      <wps:cNvCnPr>
                        <a:cxnSpLocks noChangeShapeType="1"/>
                      </wps:cNvCnPr>
                      <wps:spPr bwMode="auto">
                        <a:xfrm>
                          <a:off x="0" y="0"/>
                          <a:ext cx="0" cy="189865"/>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32pt;margin-top:13.55pt;height:14.95pt;width:0pt;z-index:251663360;mso-width-relative:page;mso-height-relative:page;" filled="f" stroked="t" coordsize="21600,21600" o:gfxdata="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uZOx7ZAAAACQEAAA8AAAAAAAAAAQAgAAAAIgAAAGRycy9kb3ducmV2&#10;LnhtbFBLAQIUABQAAAAIAIdO4kCu/1g6+wEAANkDAAAOAAAAAAAAAAEAIAAAACgBAABkcnMvZTJv&#10;RG9jLnhtbFBLBQYAAAAABgAGAFkBAACVBQAAAAA=&#10;">
                <v:fill on="f" focussize="0,0"/>
                <v:stroke color="#000000" joinstyle="round" endarrow="block"/>
                <v:imagedata o:title=""/>
                <o:lock v:ext="edit" aspectratio="f"/>
              </v:line>
            </w:pict>
          </mc:Fallback>
        </mc:AlternateContent>
      </w:r>
    </w:p>
    <w:p>
      <w:pPr>
        <w:rPr>
          <w:color w:val="000000"/>
          <w:szCs w:val="21"/>
        </w:rPr>
      </w:pPr>
      <w:r>
        <w:rPr>
          <w:color w:val="000000"/>
          <w:szCs w:val="21"/>
        </w:rPr>
        <mc:AlternateContent>
          <mc:Choice Requires="wps">
            <w:drawing>
              <wp:anchor distT="0" distB="0" distL="114300" distR="114300" simplePos="0" relativeHeight="251669504" behindDoc="0" locked="0" layoutInCell="1" allowOverlap="1">
                <wp:simplePos x="0" y="0"/>
                <wp:positionH relativeFrom="column">
                  <wp:posOffset>2190115</wp:posOffset>
                </wp:positionH>
                <wp:positionV relativeFrom="paragraph">
                  <wp:posOffset>146685</wp:posOffset>
                </wp:positionV>
                <wp:extent cx="1543050" cy="379730"/>
                <wp:effectExtent l="0" t="0" r="19050" b="20320"/>
                <wp:wrapNone/>
                <wp:docPr id="30" name="文本框 30"/>
                <wp:cNvGraphicFramePr/>
                <a:graphic xmlns:a="http://schemas.openxmlformats.org/drawingml/2006/main">
                  <a:graphicData uri="http://schemas.microsoft.com/office/word/2010/wordprocessingShape">
                    <wps:wsp>
                      <wps:cNvSpPr txBox="1">
                        <a:spLocks noChangeArrowheads="1"/>
                      </wps:cNvSpPr>
                      <wps:spPr bwMode="auto">
                        <a:xfrm>
                          <a:off x="0" y="0"/>
                          <a:ext cx="1543050" cy="379730"/>
                        </a:xfrm>
                        <a:prstGeom prst="rect">
                          <a:avLst/>
                        </a:prstGeom>
                        <a:solidFill>
                          <a:srgbClr val="FFFFFF"/>
                        </a:solidFill>
                        <a:ln w="9525">
                          <a:solidFill>
                            <a:srgbClr val="000000"/>
                          </a:solidFill>
                          <a:miter lim="800000"/>
                        </a:ln>
                      </wps:spPr>
                      <wps:txbx>
                        <w:txbxContent>
                          <w:p>
                            <w:pPr>
                              <w:spacing w:line="360" w:lineRule="auto"/>
                              <w:jc w:val="center"/>
                              <w:rPr>
                                <w:rFonts w:ascii="宋体" w:hAnsi="宋体"/>
                              </w:rPr>
                            </w:pPr>
                            <w:r>
                              <w:rPr>
                                <w:rFonts w:hint="eastAsia" w:ascii="宋体" w:hAnsi="宋体"/>
                              </w:rPr>
                              <w:t>喷洒再生剂、热沥青</w:t>
                            </w:r>
                          </w:p>
                          <w:p>
                            <w:pPr>
                              <w:rPr>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2.45pt;margin-top:11.55pt;height:29.9pt;width:121.5pt;z-index:251669504;mso-width-relative:page;mso-height-relative:page;" fillcolor="#FFFFFF" filled="t" stroked="t" coordsize="21600,21600" o:gfxdata="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u5EgPYAAAACQEAAA8AAAAAAAAAAQAgAAAAIgAA&#10;AGRycy9kb3ducmV2LnhtbFBLAQIUABQAAAAIAIdO4kCgR2eDQQIAAIkEAAAOAAAAAAAAAAEAIAAA&#10;ACcBAABkcnMvZTJvRG9jLnhtbFBLBQYAAAAABgAGAFkBAADaBQAAAAA=&#10;">
                <v:fill on="t" focussize="0,0"/>
                <v:stroke color="#000000" miterlimit="8" joinstyle="miter"/>
                <v:imagedata o:title=""/>
                <o:lock v:ext="edit" aspectratio="f"/>
                <v:textbox>
                  <w:txbxContent>
                    <w:p>
                      <w:pPr>
                        <w:spacing w:line="360" w:lineRule="auto"/>
                        <w:jc w:val="center"/>
                        <w:rPr>
                          <w:rFonts w:ascii="宋体" w:hAnsi="宋体"/>
                        </w:rPr>
                      </w:pPr>
                      <w:r>
                        <w:rPr>
                          <w:rFonts w:hint="eastAsia" w:ascii="宋体" w:hAnsi="宋体"/>
                        </w:rPr>
                        <w:t>喷洒再生剂、热沥青</w:t>
                      </w:r>
                    </w:p>
                    <w:p>
                      <w:pPr>
                        <w:rPr>
                          <w:sz w:val="24"/>
                        </w:rPr>
                      </w:pPr>
                    </w:p>
                  </w:txbxContent>
                </v:textbox>
              </v:shape>
            </w:pict>
          </mc:Fallback>
        </mc:AlternateContent>
      </w:r>
    </w:p>
    <w:p>
      <w:pPr>
        <w:rPr>
          <w:color w:val="000000"/>
          <w:szCs w:val="21"/>
        </w:rPr>
      </w:pPr>
    </w:p>
    <w:p>
      <w:pPr>
        <w:rPr>
          <w:color w:val="000000"/>
          <w:szCs w:val="21"/>
        </w:rPr>
      </w:pPr>
      <w:r>
        <w:rPr>
          <w:color w:val="000000"/>
          <w:szCs w:val="21"/>
        </w:rPr>
        <mc:AlternateContent>
          <mc:Choice Requires="wps">
            <w:drawing>
              <wp:anchor distT="0" distB="0" distL="114300" distR="114300" simplePos="0" relativeHeight="251664384" behindDoc="0" locked="0" layoutInCell="1" allowOverlap="1">
                <wp:simplePos x="0" y="0"/>
                <wp:positionH relativeFrom="column">
                  <wp:posOffset>2951480</wp:posOffset>
                </wp:positionH>
                <wp:positionV relativeFrom="paragraph">
                  <wp:posOffset>125095</wp:posOffset>
                </wp:positionV>
                <wp:extent cx="0" cy="189865"/>
                <wp:effectExtent l="76200" t="0" r="57150" b="57785"/>
                <wp:wrapNone/>
                <wp:docPr id="29" name="直接连接符 29"/>
                <wp:cNvGraphicFramePr/>
                <a:graphic xmlns:a="http://schemas.openxmlformats.org/drawingml/2006/main">
                  <a:graphicData uri="http://schemas.microsoft.com/office/word/2010/wordprocessingShape">
                    <wps:wsp>
                      <wps:cNvCnPr>
                        <a:cxnSpLocks noChangeShapeType="1"/>
                      </wps:cNvCnPr>
                      <wps:spPr bwMode="auto">
                        <a:xfrm>
                          <a:off x="0" y="0"/>
                          <a:ext cx="0" cy="189865"/>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32.4pt;margin-top:9.85pt;height:14.95pt;width:0pt;z-index:251664384;mso-width-relative:page;mso-height-relative:page;" filled="f" stroked="t" coordsize="21600,21600" o:gfxdata="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bTuh2AAAAAkBAAAPAAAAAAAAAAEAIAAAACIAAABkcnMvZG93bnJl&#10;di54bWxQSwECFAAUAAAACACHTuJAu2vzLv0BAADZAwAADgAAAAAAAAABACAAAAAnAQAAZHJzL2Uy&#10;b0RvYy54bWxQSwUGAAAAAAYABgBZAQAAlgUAAAAA&#10;">
                <v:fill on="f" focussize="0,0"/>
                <v:stroke color="#000000" joinstyle="round" endarrow="block"/>
                <v:imagedata o:title=""/>
                <o:lock v:ext="edit" aspectratio="f"/>
              </v:line>
            </w:pict>
          </mc:Fallback>
        </mc:AlternateContent>
      </w:r>
    </w:p>
    <w:p>
      <w:pPr>
        <w:rPr>
          <w:color w:val="000000"/>
          <w:szCs w:val="21"/>
        </w:rPr>
      </w:pPr>
      <w:r>
        <w:rPr>
          <w:color w:val="000000"/>
          <w:szCs w:val="21"/>
        </w:rPr>
        <mc:AlternateContent>
          <mc:Choice Requires="wps">
            <w:drawing>
              <wp:anchor distT="0" distB="0" distL="114300" distR="114300" simplePos="0" relativeHeight="251659264" behindDoc="0" locked="0" layoutInCell="1" allowOverlap="1">
                <wp:simplePos x="0" y="0"/>
                <wp:positionH relativeFrom="column">
                  <wp:posOffset>1697355</wp:posOffset>
                </wp:positionH>
                <wp:positionV relativeFrom="paragraph">
                  <wp:posOffset>109855</wp:posOffset>
                </wp:positionV>
                <wp:extent cx="2548890" cy="316865"/>
                <wp:effectExtent l="0" t="0" r="22860" b="26035"/>
                <wp:wrapNone/>
                <wp:docPr id="28" name="文本框 28"/>
                <wp:cNvGraphicFramePr/>
                <a:graphic xmlns:a="http://schemas.openxmlformats.org/drawingml/2006/main">
                  <a:graphicData uri="http://schemas.microsoft.com/office/word/2010/wordprocessingShape">
                    <wps:wsp>
                      <wps:cNvSpPr txBox="1">
                        <a:spLocks noChangeArrowheads="1"/>
                      </wps:cNvSpPr>
                      <wps:spPr bwMode="auto">
                        <a:xfrm>
                          <a:off x="0" y="0"/>
                          <a:ext cx="2548890" cy="316865"/>
                        </a:xfrm>
                        <a:prstGeom prst="rect">
                          <a:avLst/>
                        </a:prstGeom>
                        <a:solidFill>
                          <a:srgbClr val="FFFFFF"/>
                        </a:solidFill>
                        <a:ln w="9525">
                          <a:solidFill>
                            <a:srgbClr val="000000"/>
                          </a:solidFill>
                          <a:miter lim="800000"/>
                        </a:ln>
                      </wps:spPr>
                      <wps:txbx>
                        <w:txbxContent>
                          <w:p>
                            <w:pPr>
                              <w:jc w:val="center"/>
                              <w:rPr>
                                <w:rFonts w:ascii="宋体" w:hAnsi="宋体"/>
                              </w:rPr>
                            </w:pPr>
                            <w:r>
                              <w:rPr>
                                <w:rFonts w:hint="eastAsia" w:ascii="宋体" w:hAnsi="宋体"/>
                              </w:rPr>
                              <w:t>收集再生混合料形成梯形截面料带</w:t>
                            </w:r>
                          </w:p>
                          <w:p>
                            <w:pPr>
                              <w:rPr>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33.65pt;margin-top:8.65pt;height:24.95pt;width:200.7pt;z-index:251659264;mso-width-relative:page;mso-height-relative:page;" fillcolor="#FFFFFF" filled="t" stroked="t" coordsize="21600,21600" o:gfxdata="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C1Qq/jXAAAACQEAAA8AAAAAAAAAAQAgAAAAIgAA&#10;AGRycy9kb3ducmV2LnhtbFBLAQIUABQAAAAIAIdO4kAjW4VaQgIAAIkEAAAOAAAAAAAAAAEAIAAA&#10;ACYBAABkcnMvZTJvRG9jLnhtbFBLBQYAAAAABgAGAFkBAADaBQAAAAA=&#10;">
                <v:fill on="t" focussize="0,0"/>
                <v:stroke color="#000000" miterlimit="8" joinstyle="miter"/>
                <v:imagedata o:title=""/>
                <o:lock v:ext="edit" aspectratio="f"/>
                <v:textbox>
                  <w:txbxContent>
                    <w:p>
                      <w:pPr>
                        <w:jc w:val="center"/>
                        <w:rPr>
                          <w:rFonts w:ascii="宋体" w:hAnsi="宋体"/>
                        </w:rPr>
                      </w:pPr>
                      <w:r>
                        <w:rPr>
                          <w:rFonts w:hint="eastAsia" w:ascii="宋体" w:hAnsi="宋体"/>
                        </w:rPr>
                        <w:t>收集再生混合料形成梯形截面料带</w:t>
                      </w:r>
                    </w:p>
                    <w:p>
                      <w:pPr>
                        <w:rPr>
                          <w:sz w:val="24"/>
                        </w:rPr>
                      </w:pPr>
                    </w:p>
                  </w:txbxContent>
                </v:textbox>
              </v:shape>
            </w:pict>
          </mc:Fallback>
        </mc:AlternateContent>
      </w:r>
    </w:p>
    <w:p>
      <w:pPr>
        <w:rPr>
          <w:color w:val="000000"/>
          <w:szCs w:val="21"/>
        </w:rPr>
      </w:pPr>
    </w:p>
    <w:p>
      <w:pPr>
        <w:rPr>
          <w:color w:val="000000"/>
          <w:szCs w:val="21"/>
        </w:rPr>
      </w:pPr>
      <w:r>
        <w:rPr>
          <w:color w:val="000000"/>
          <w:szCs w:val="21"/>
        </w:rPr>
        <mc:AlternateContent>
          <mc:Choice Requires="wps">
            <w:drawing>
              <wp:anchor distT="0" distB="0" distL="114300" distR="114300" simplePos="0" relativeHeight="251665408" behindDoc="0" locked="0" layoutInCell="1" allowOverlap="1">
                <wp:simplePos x="0" y="0"/>
                <wp:positionH relativeFrom="column">
                  <wp:posOffset>2952750</wp:posOffset>
                </wp:positionH>
                <wp:positionV relativeFrom="paragraph">
                  <wp:posOffset>26670</wp:posOffset>
                </wp:positionV>
                <wp:extent cx="0" cy="179070"/>
                <wp:effectExtent l="76200" t="0" r="57150" b="49530"/>
                <wp:wrapNone/>
                <wp:docPr id="27" name="直接连接符 27"/>
                <wp:cNvGraphicFramePr/>
                <a:graphic xmlns:a="http://schemas.openxmlformats.org/drawingml/2006/main">
                  <a:graphicData uri="http://schemas.microsoft.com/office/word/2010/wordprocessingShape">
                    <wps:wsp>
                      <wps:cNvCnPr>
                        <a:cxnSpLocks noChangeShapeType="1"/>
                      </wps:cNvCnPr>
                      <wps:spPr bwMode="auto">
                        <a:xfrm>
                          <a:off x="0" y="0"/>
                          <a:ext cx="0" cy="17907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32.5pt;margin-top:2.1pt;height:14.1pt;width:0pt;z-index:251665408;mso-width-relative:page;mso-height-relative:page;" filled="f" stroked="t" coordsize="21600,21600" o:gfxdata="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WheVi9gAAAAIAQAADwAAAAAAAAABACAAAAAiAAAAZHJzL2Rvd25y&#10;ZXYueG1sUEsBAhQAFAAAAAgAh07iQIRe7C7+AQAA2QMAAA4AAAAAAAAAAQAgAAAAJwEAAGRycy9l&#10;Mm9Eb2MueG1sUEsFBgAAAAAGAAYAWQEAAJcFAAAAAA==&#10;">
                <v:fill on="f" focussize="0,0"/>
                <v:stroke color="#000000" joinstyle="round" endarrow="block"/>
                <v:imagedata o:title=""/>
                <o:lock v:ext="edit" aspectratio="f"/>
              </v:line>
            </w:pict>
          </mc:Fallback>
        </mc:AlternateContent>
      </w:r>
    </w:p>
    <w:p>
      <w:pPr>
        <w:rPr>
          <w:color w:val="000000"/>
          <w:szCs w:val="21"/>
        </w:rPr>
      </w:pPr>
      <w:r>
        <w:rPr>
          <w:color w:val="000000"/>
          <w:szCs w:val="21"/>
        </w:rPr>
        <mc:AlternateContent>
          <mc:Choice Requires="wps">
            <w:drawing>
              <wp:anchor distT="0" distB="0" distL="114300" distR="114300" simplePos="0" relativeHeight="251660288" behindDoc="0" locked="0" layoutInCell="1" allowOverlap="1">
                <wp:simplePos x="0" y="0"/>
                <wp:positionH relativeFrom="column">
                  <wp:posOffset>1860550</wp:posOffset>
                </wp:positionH>
                <wp:positionV relativeFrom="paragraph">
                  <wp:posOffset>34925</wp:posOffset>
                </wp:positionV>
                <wp:extent cx="2171700" cy="379730"/>
                <wp:effectExtent l="0" t="0" r="19050" b="20320"/>
                <wp:wrapNone/>
                <wp:docPr id="26" name="文本框 26"/>
                <wp:cNvGraphicFramePr/>
                <a:graphic xmlns:a="http://schemas.openxmlformats.org/drawingml/2006/main">
                  <a:graphicData uri="http://schemas.microsoft.com/office/word/2010/wordprocessingShape">
                    <wps:wsp>
                      <wps:cNvSpPr txBox="1">
                        <a:spLocks noChangeArrowheads="1"/>
                      </wps:cNvSpPr>
                      <wps:spPr bwMode="auto">
                        <a:xfrm>
                          <a:off x="0" y="0"/>
                          <a:ext cx="2171700" cy="379730"/>
                        </a:xfrm>
                        <a:prstGeom prst="rect">
                          <a:avLst/>
                        </a:prstGeom>
                        <a:solidFill>
                          <a:srgbClr val="FFFFFF"/>
                        </a:solidFill>
                        <a:ln w="9525">
                          <a:solidFill>
                            <a:srgbClr val="000000"/>
                          </a:solidFill>
                          <a:miter lim="800000"/>
                        </a:ln>
                      </wps:spPr>
                      <wps:txbx>
                        <w:txbxContent>
                          <w:p>
                            <w:pPr>
                              <w:spacing w:line="360" w:lineRule="auto"/>
                              <w:jc w:val="center"/>
                              <w:rPr>
                                <w:rFonts w:ascii="宋体" w:hAnsi="宋体"/>
                              </w:rPr>
                            </w:pPr>
                            <w:r>
                              <w:rPr>
                                <w:rFonts w:hint="eastAsia" w:ascii="宋体" w:hAnsi="宋体"/>
                              </w:rPr>
                              <w:t>在料带上添加新沥青混合料</w:t>
                            </w:r>
                          </w:p>
                          <w:p>
                            <w:pPr>
                              <w:rPr>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46.5pt;margin-top:2.75pt;height:29.9pt;width:171pt;z-index:251660288;mso-width-relative:page;mso-height-relative:page;" fillcolor="#FFFFFF" filled="t" stroked="t" coordsize="21600,21600" o:gfxdata="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EobVM1wAAAAgBAAAPAAAAAAAAAAEAIAAAACIA&#10;AABkcnMvZG93bnJldi54bWxQSwECFAAUAAAACACHTuJARmT0qkMCAACJBAAADgAAAAAAAAABACAA&#10;AAAmAQAAZHJzL2Uyb0RvYy54bWxQSwUGAAAAAAYABgBZAQAA2wUAAAAA&#10;">
                <v:fill on="t" focussize="0,0"/>
                <v:stroke color="#000000" miterlimit="8" joinstyle="miter"/>
                <v:imagedata o:title=""/>
                <o:lock v:ext="edit" aspectratio="f"/>
                <v:textbox>
                  <w:txbxContent>
                    <w:p>
                      <w:pPr>
                        <w:spacing w:line="360" w:lineRule="auto"/>
                        <w:jc w:val="center"/>
                        <w:rPr>
                          <w:rFonts w:ascii="宋体" w:hAnsi="宋体"/>
                        </w:rPr>
                      </w:pPr>
                      <w:r>
                        <w:rPr>
                          <w:rFonts w:hint="eastAsia" w:ascii="宋体" w:hAnsi="宋体"/>
                        </w:rPr>
                        <w:t>在料带上添加新沥青混合料</w:t>
                      </w:r>
                    </w:p>
                    <w:p>
                      <w:pPr>
                        <w:rPr>
                          <w:sz w:val="24"/>
                        </w:rPr>
                      </w:pPr>
                    </w:p>
                  </w:txbxContent>
                </v:textbox>
              </v:shape>
            </w:pict>
          </mc:Fallback>
        </mc:AlternateContent>
      </w:r>
    </w:p>
    <w:p>
      <w:pPr>
        <w:rPr>
          <w:color w:val="000000"/>
          <w:szCs w:val="21"/>
        </w:rPr>
      </w:pPr>
    </w:p>
    <w:p>
      <w:pPr>
        <w:rPr>
          <w:color w:val="000000"/>
          <w:szCs w:val="21"/>
        </w:rPr>
      </w:pPr>
      <w:r>
        <w:rPr>
          <w:color w:val="000000"/>
          <w:szCs w:val="21"/>
        </w:rPr>
        <mc:AlternateContent>
          <mc:Choice Requires="wps">
            <w:drawing>
              <wp:anchor distT="0" distB="0" distL="114300" distR="114300" simplePos="0" relativeHeight="251687936" behindDoc="0" locked="0" layoutInCell="1" allowOverlap="1">
                <wp:simplePos x="0" y="0"/>
                <wp:positionH relativeFrom="column">
                  <wp:posOffset>2970530</wp:posOffset>
                </wp:positionH>
                <wp:positionV relativeFrom="paragraph">
                  <wp:posOffset>29210</wp:posOffset>
                </wp:positionV>
                <wp:extent cx="0" cy="233680"/>
                <wp:effectExtent l="76200" t="0" r="57150" b="52705"/>
                <wp:wrapNone/>
                <wp:docPr id="25" name="直接连接符 25"/>
                <wp:cNvGraphicFramePr/>
                <a:graphic xmlns:a="http://schemas.openxmlformats.org/drawingml/2006/main">
                  <a:graphicData uri="http://schemas.microsoft.com/office/word/2010/wordprocessingShape">
                    <wps:wsp>
                      <wps:cNvCnPr>
                        <a:cxnSpLocks noChangeShapeType="1"/>
                      </wps:cNvCnPr>
                      <wps:spPr bwMode="auto">
                        <a:xfrm>
                          <a:off x="0" y="0"/>
                          <a:ext cx="0" cy="233363"/>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33.9pt;margin-top:2.3pt;height:18.4pt;width:0pt;z-index:251687936;mso-width-relative:page;mso-height-relative:page;" filled="f" stroked="t" coordsize="21600,21600" o:gfxdata="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wZT611gAAAAgBAAAPAAAAAAAAAAEAIAAAACIAAABkcnMvZG93bnJldi54&#10;bWxQSwECFAAUAAAACACHTuJAXnXnYfwBAADZAwAADgAAAAAAAAABACAAAAAlAQAAZHJzL2Uyb0Rv&#10;Yy54bWxQSwUGAAAAAAYABgBZAQAAkwUAAAAA&#10;">
                <v:fill on="f" focussize="0,0"/>
                <v:stroke color="#000000" joinstyle="round" endarrow="block"/>
                <v:imagedata o:title=""/>
                <o:lock v:ext="edit" aspectratio="f"/>
              </v:line>
            </w:pict>
          </mc:Fallback>
        </mc:AlternateContent>
      </w:r>
    </w:p>
    <w:p>
      <w:pPr>
        <w:rPr>
          <w:color w:val="000000"/>
          <w:szCs w:val="21"/>
        </w:rPr>
      </w:pPr>
      <w:r>
        <w:rPr>
          <w:color w:val="000000"/>
          <w:szCs w:val="21"/>
        </w:rPr>
        <mc:AlternateContent>
          <mc:Choice Requires="wps">
            <w:drawing>
              <wp:anchor distT="0" distB="0" distL="114300" distR="114300" simplePos="0" relativeHeight="251683840" behindDoc="0" locked="0" layoutInCell="1" allowOverlap="1">
                <wp:simplePos x="0" y="0"/>
                <wp:positionH relativeFrom="column">
                  <wp:posOffset>1389380</wp:posOffset>
                </wp:positionH>
                <wp:positionV relativeFrom="paragraph">
                  <wp:posOffset>64135</wp:posOffset>
                </wp:positionV>
                <wp:extent cx="3144520" cy="342900"/>
                <wp:effectExtent l="0" t="0" r="17780" b="19050"/>
                <wp:wrapNone/>
                <wp:docPr id="22" name="文本框 22"/>
                <wp:cNvGraphicFramePr/>
                <a:graphic xmlns:a="http://schemas.openxmlformats.org/drawingml/2006/main">
                  <a:graphicData uri="http://schemas.microsoft.com/office/word/2010/wordprocessingShape">
                    <wps:wsp>
                      <wps:cNvSpPr txBox="1">
                        <a:spLocks noChangeArrowheads="1"/>
                      </wps:cNvSpPr>
                      <wps:spPr bwMode="auto">
                        <a:xfrm>
                          <a:off x="0" y="0"/>
                          <a:ext cx="3144520" cy="342900"/>
                        </a:xfrm>
                        <a:prstGeom prst="rect">
                          <a:avLst/>
                        </a:prstGeom>
                        <a:solidFill>
                          <a:srgbClr val="FFFFFF"/>
                        </a:solidFill>
                        <a:ln w="9525">
                          <a:solidFill>
                            <a:srgbClr val="000000"/>
                          </a:solidFill>
                          <a:miter lim="800000"/>
                        </a:ln>
                      </wps:spPr>
                      <wps:txbx>
                        <w:txbxContent>
                          <w:p>
                            <w:pPr>
                              <w:jc w:val="center"/>
                              <w:rPr>
                                <w:rFonts w:ascii="宋体" w:hAnsi="宋体"/>
                              </w:rPr>
                            </w:pPr>
                            <w:r>
                              <w:rPr>
                                <w:rFonts w:hint="eastAsia" w:ascii="宋体" w:hAnsi="宋体"/>
                              </w:rPr>
                              <w:t>再生混合料、新添加混合料一起提升、拌和</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09.4pt;margin-top:5.05pt;height:27pt;width:247.6pt;z-index:251683840;mso-width-relative:page;mso-height-relative:page;" fillcolor="#FFFFFF" filled="t" stroked="t" coordsize="21600,21600" o:gfxdata="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2yD+ttcAAAAJAQAADwAAAAAAAAABACAAAAAiAAAA&#10;ZHJzL2Rvd25yZXYueG1sUEsBAhQAFAAAAAgAh07iQOIZCi1BAgAAiQQAAA4AAAAAAAAAAQAgAAAA&#10;JgEAAGRycy9lMm9Eb2MueG1sUEsFBgAAAAAGAAYAWQEAANkFAAAAAA==&#10;">
                <v:fill on="t" focussize="0,0"/>
                <v:stroke color="#000000" miterlimit="8" joinstyle="miter"/>
                <v:imagedata o:title=""/>
                <o:lock v:ext="edit" aspectratio="f"/>
                <v:textbox>
                  <w:txbxContent>
                    <w:p>
                      <w:pPr>
                        <w:jc w:val="center"/>
                        <w:rPr>
                          <w:rFonts w:ascii="宋体" w:hAnsi="宋体"/>
                        </w:rPr>
                      </w:pPr>
                      <w:r>
                        <w:rPr>
                          <w:rFonts w:hint="eastAsia" w:ascii="宋体" w:hAnsi="宋体"/>
                        </w:rPr>
                        <w:t>再生混合料、新添加混合料一起提升、拌和</w:t>
                      </w:r>
                    </w:p>
                  </w:txbxContent>
                </v:textbox>
              </v:shape>
            </w:pict>
          </mc:Fallback>
        </mc:AlternateContent>
      </w:r>
    </w:p>
    <w:p>
      <w:pPr>
        <w:rPr>
          <w:color w:val="000000"/>
          <w:szCs w:val="21"/>
        </w:rPr>
      </w:pPr>
      <w:r>
        <w:rPr>
          <w:color w:val="000000"/>
          <w:szCs w:val="21"/>
        </w:rPr>
        <mc:AlternateContent>
          <mc:Choice Requires="wps">
            <w:drawing>
              <wp:anchor distT="0" distB="0" distL="114300" distR="114300" simplePos="0" relativeHeight="251677696" behindDoc="0" locked="0" layoutInCell="1" allowOverlap="1">
                <wp:simplePos x="0" y="0"/>
                <wp:positionH relativeFrom="column">
                  <wp:posOffset>2961640</wp:posOffset>
                </wp:positionH>
                <wp:positionV relativeFrom="paragraph">
                  <wp:posOffset>185420</wp:posOffset>
                </wp:positionV>
                <wp:extent cx="0" cy="245110"/>
                <wp:effectExtent l="76200" t="0" r="57150" b="60325"/>
                <wp:wrapNone/>
                <wp:docPr id="21" name="直接连接符 21"/>
                <wp:cNvGraphicFramePr/>
                <a:graphic xmlns:a="http://schemas.openxmlformats.org/drawingml/2006/main">
                  <a:graphicData uri="http://schemas.microsoft.com/office/word/2010/wordprocessingShape">
                    <wps:wsp>
                      <wps:cNvCnPr>
                        <a:cxnSpLocks noChangeShapeType="1"/>
                      </wps:cNvCnPr>
                      <wps:spPr bwMode="auto">
                        <a:xfrm>
                          <a:off x="0" y="0"/>
                          <a:ext cx="0" cy="244793"/>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33.2pt;margin-top:14.6pt;height:19.3pt;width:0pt;z-index:251677696;mso-width-relative:page;mso-height-relative:page;" filled="f" stroked="t" coordsize="21600,21600" o:gfxdata="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ziNc22QAAAAkBAAAPAAAAAAAAAAEAIAAAACIAAABkcnMvZG93bnJl&#10;di54bWxQSwECFAAUAAAACACHTuJADxoE4/wBAADZAwAADgAAAAAAAAABACAAAAAoAQAAZHJzL2Uy&#10;b0RvYy54bWxQSwUGAAAAAAYABgBZAQAAlgUAAAAA&#10;">
                <v:fill on="f" focussize="0,0"/>
                <v:stroke color="#000000" joinstyle="round" endarrow="block"/>
                <v:imagedata o:title=""/>
                <o:lock v:ext="edit" aspectratio="f"/>
              </v:line>
            </w:pict>
          </mc:Fallback>
        </mc:AlternateContent>
      </w:r>
    </w:p>
    <w:p>
      <w:pPr>
        <w:rPr>
          <w:color w:val="000000"/>
          <w:szCs w:val="21"/>
        </w:rPr>
      </w:pPr>
    </w:p>
    <w:p>
      <w:pPr>
        <w:rPr>
          <w:color w:val="000000"/>
          <w:szCs w:val="21"/>
        </w:rPr>
      </w:pPr>
      <w:r>
        <w:rPr>
          <w:color w:val="000000"/>
          <w:szCs w:val="21"/>
        </w:rPr>
        <mc:AlternateContent>
          <mc:Choice Requires="wps">
            <w:drawing>
              <wp:anchor distT="0" distB="0" distL="114300" distR="114300" simplePos="0" relativeHeight="251670528" behindDoc="0" locked="0" layoutInCell="1" allowOverlap="1">
                <wp:simplePos x="0" y="0"/>
                <wp:positionH relativeFrom="column">
                  <wp:posOffset>1882140</wp:posOffset>
                </wp:positionH>
                <wp:positionV relativeFrom="paragraph">
                  <wp:posOffset>45085</wp:posOffset>
                </wp:positionV>
                <wp:extent cx="2171700" cy="333375"/>
                <wp:effectExtent l="0" t="0" r="19050" b="28575"/>
                <wp:wrapNone/>
                <wp:docPr id="19" name="矩形 19"/>
                <wp:cNvGraphicFramePr/>
                <a:graphic xmlns:a="http://schemas.openxmlformats.org/drawingml/2006/main">
                  <a:graphicData uri="http://schemas.microsoft.com/office/word/2010/wordprocessingShape">
                    <wps:wsp>
                      <wps:cNvSpPr>
                        <a:spLocks noChangeArrowheads="1"/>
                      </wps:cNvSpPr>
                      <wps:spPr bwMode="auto">
                        <a:xfrm>
                          <a:off x="0" y="0"/>
                          <a:ext cx="2171700" cy="333375"/>
                        </a:xfrm>
                        <a:prstGeom prst="rect">
                          <a:avLst/>
                        </a:prstGeom>
                        <a:solidFill>
                          <a:srgbClr val="FFFFFF"/>
                        </a:solidFill>
                        <a:ln w="9525">
                          <a:solidFill>
                            <a:srgbClr val="000000"/>
                          </a:solidFill>
                          <a:miter lim="800000"/>
                        </a:ln>
                      </wps:spPr>
                      <wps:txbx>
                        <w:txbxContent>
                          <w:p>
                            <w:pPr>
                              <w:jc w:val="center"/>
                              <w:rPr>
                                <w:rFonts w:ascii="宋体" w:hAnsi="宋体"/>
                              </w:rPr>
                            </w:pPr>
                            <w:r>
                              <w:rPr>
                                <w:rFonts w:hint="eastAsia" w:ascii="宋体" w:hAnsi="宋体"/>
                              </w:rPr>
                              <w:t>下承层再加热</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48.2pt;margin-top:3.55pt;height:26.25pt;width:171pt;z-index:251670528;mso-width-relative:page;mso-height-relative:page;" fillcolor="#FFFFFF" filled="t" stroked="t" coordsize="21600,21600" o:gfxdata="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rqjjH1gAAAAgBAAAPAAAAAAAAAAEAIAAAACIAAABkcnMvZG93bnJl&#10;di54bWxQSwECFAAUAAAACACHTuJArE/0BDgCAAB8BAAADgAAAAAAAAABACAAAAAlAQAAZHJzL2Uy&#10;b0RvYy54bWxQSwUGAAAAAAYABgBZAQAAzwUAAAAA&#10;">
                <v:fill on="t" focussize="0,0"/>
                <v:stroke color="#000000" miterlimit="8" joinstyle="miter"/>
                <v:imagedata o:title=""/>
                <o:lock v:ext="edit" aspectratio="f"/>
                <v:textbox>
                  <w:txbxContent>
                    <w:p>
                      <w:pPr>
                        <w:jc w:val="center"/>
                        <w:rPr>
                          <w:rFonts w:ascii="宋体" w:hAnsi="宋体"/>
                        </w:rPr>
                      </w:pPr>
                      <w:r>
                        <w:rPr>
                          <w:rFonts w:hint="eastAsia" w:ascii="宋体" w:hAnsi="宋体"/>
                        </w:rPr>
                        <w:t>下承层再加热</w:t>
                      </w:r>
                    </w:p>
                  </w:txbxContent>
                </v:textbox>
              </v:rect>
            </w:pict>
          </mc:Fallback>
        </mc:AlternateContent>
      </w:r>
    </w:p>
    <w:p>
      <w:pPr>
        <w:rPr>
          <w:color w:val="000000"/>
          <w:szCs w:val="21"/>
        </w:rPr>
      </w:pPr>
      <w:r>
        <w:rPr>
          <w:color w:val="000000"/>
          <w:szCs w:val="21"/>
        </w:rPr>
        <mc:AlternateContent>
          <mc:Choice Requires="wps">
            <w:drawing>
              <wp:anchor distT="0" distB="0" distL="114300" distR="114300" simplePos="0" relativeHeight="251689984" behindDoc="0" locked="0" layoutInCell="1" allowOverlap="1">
                <wp:simplePos x="0" y="0"/>
                <wp:positionH relativeFrom="column">
                  <wp:posOffset>2961005</wp:posOffset>
                </wp:positionH>
                <wp:positionV relativeFrom="paragraph">
                  <wp:posOffset>153035</wp:posOffset>
                </wp:positionV>
                <wp:extent cx="9525" cy="269875"/>
                <wp:effectExtent l="76200" t="0" r="66675" b="53975"/>
                <wp:wrapNone/>
                <wp:docPr id="18" name="直接连接符 18"/>
                <wp:cNvGraphicFramePr/>
                <a:graphic xmlns:a="http://schemas.openxmlformats.org/drawingml/2006/main">
                  <a:graphicData uri="http://schemas.microsoft.com/office/word/2010/wordprocessingShape">
                    <wps:wsp>
                      <wps:cNvCnPr>
                        <a:cxnSpLocks noChangeShapeType="1"/>
                      </wps:cNvCnPr>
                      <wps:spPr bwMode="auto">
                        <a:xfrm>
                          <a:off x="0" y="0"/>
                          <a:ext cx="9525" cy="269875"/>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33.15pt;margin-top:12.05pt;height:21.25pt;width:0.75pt;z-index:251689984;mso-width-relative:page;mso-height-relative:page;" filled="f" stroked="t" coordsize="21600,21600" o:gfxdata="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bhuXaAAAACQEAAA8AAAAAAAAAAQAgAAAAIgAAAGRycy9kb3du&#10;cmV2LnhtbFBLAQIUABQAAAAIAIdO4kDu31hV/QEAANwDAAAOAAAAAAAAAAEAIAAAACkBAABkcnMv&#10;ZTJvRG9jLnhtbFBLBQYAAAAABgAGAFkBAACYBQAAAAA=&#10;">
                <v:fill on="f" focussize="0,0"/>
                <v:stroke color="#000000" joinstyle="round" endarrow="block"/>
                <v:imagedata o:title=""/>
                <o:lock v:ext="edit" aspectratio="f"/>
              </v:line>
            </w:pict>
          </mc:Fallback>
        </mc:AlternateContent>
      </w:r>
    </w:p>
    <w:p>
      <w:pPr>
        <w:rPr>
          <w:color w:val="000000"/>
          <w:szCs w:val="21"/>
        </w:rPr>
      </w:pPr>
    </w:p>
    <w:p>
      <w:pPr>
        <w:rPr>
          <w:color w:val="000000"/>
          <w:szCs w:val="21"/>
        </w:rPr>
      </w:pPr>
      <w:r>
        <w:rPr>
          <w:color w:val="000000"/>
          <w:szCs w:val="21"/>
        </w:rPr>
        <mc:AlternateContent>
          <mc:Choice Requires="wps">
            <w:drawing>
              <wp:anchor distT="0" distB="0" distL="114300" distR="114300" simplePos="0" relativeHeight="251666432" behindDoc="0" locked="0" layoutInCell="1" allowOverlap="1">
                <wp:simplePos x="0" y="0"/>
                <wp:positionH relativeFrom="column">
                  <wp:posOffset>1881505</wp:posOffset>
                </wp:positionH>
                <wp:positionV relativeFrom="paragraph">
                  <wp:posOffset>25400</wp:posOffset>
                </wp:positionV>
                <wp:extent cx="2171700" cy="379730"/>
                <wp:effectExtent l="0" t="0" r="19050" b="20320"/>
                <wp:wrapNone/>
                <wp:docPr id="15"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2171700" cy="379730"/>
                        </a:xfrm>
                        <a:prstGeom prst="rect">
                          <a:avLst/>
                        </a:prstGeom>
                        <a:solidFill>
                          <a:srgbClr val="FFFFFF"/>
                        </a:solidFill>
                        <a:ln w="9525">
                          <a:solidFill>
                            <a:srgbClr val="000000"/>
                          </a:solidFill>
                          <a:miter lim="800000"/>
                        </a:ln>
                      </wps:spPr>
                      <wps:txbx>
                        <w:txbxContent>
                          <w:p>
                            <w:pPr>
                              <w:spacing w:line="360" w:lineRule="auto"/>
                              <w:jc w:val="center"/>
                              <w:rPr>
                                <w:rFonts w:ascii="宋体" w:hAnsi="宋体"/>
                              </w:rPr>
                            </w:pPr>
                            <w:r>
                              <w:rPr>
                                <w:rFonts w:hint="eastAsia" w:ascii="宋体" w:hAnsi="宋体"/>
                              </w:rPr>
                              <w:t>再生沥青混合料摊铺、碾压</w:t>
                            </w:r>
                          </w:p>
                          <w:p>
                            <w:pPr>
                              <w:jc w:val="center"/>
                              <w:rPr>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48.15pt;margin-top:2pt;height:29.9pt;width:171pt;z-index:251666432;mso-width-relative:page;mso-height-relative:page;" fillcolor="#FFFFFF" filled="t" stroked="t" coordsize="21600,21600" o:gfxdata="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FMlS91gAAAAgBAAAPAAAAAAAAAAEAIAAAACIAAABk&#10;cnMvZG93bnJldi54bWxQSwECFAAUAAAACACHTuJAqjRHCEECAACJBAAADgAAAAAAAAABACAAAAAl&#10;AQAAZHJzL2Uyb0RvYy54bWxQSwUGAAAAAAYABgBZAQAA2AUAAAAA&#10;">
                <v:fill on="t" focussize="0,0"/>
                <v:stroke color="#000000" miterlimit="8" joinstyle="miter"/>
                <v:imagedata o:title=""/>
                <o:lock v:ext="edit" aspectratio="f"/>
                <v:textbox>
                  <w:txbxContent>
                    <w:p>
                      <w:pPr>
                        <w:spacing w:line="360" w:lineRule="auto"/>
                        <w:jc w:val="center"/>
                        <w:rPr>
                          <w:rFonts w:ascii="宋体" w:hAnsi="宋体"/>
                        </w:rPr>
                      </w:pPr>
                      <w:r>
                        <w:rPr>
                          <w:rFonts w:hint="eastAsia" w:ascii="宋体" w:hAnsi="宋体"/>
                        </w:rPr>
                        <w:t>再生沥青混合料摊铺、碾压</w:t>
                      </w:r>
                    </w:p>
                    <w:p>
                      <w:pPr>
                        <w:jc w:val="center"/>
                        <w:rPr>
                          <w:sz w:val="24"/>
                        </w:rPr>
                      </w:pPr>
                    </w:p>
                  </w:txbxContent>
                </v:textbox>
              </v:shape>
            </w:pict>
          </mc:Fallback>
        </mc:AlternateContent>
      </w:r>
    </w:p>
    <w:p>
      <w:pPr>
        <w:rPr>
          <w:color w:val="000000"/>
          <w:szCs w:val="21"/>
        </w:rPr>
      </w:pPr>
    </w:p>
    <w:p>
      <w:pPr>
        <w:rPr>
          <w:color w:val="000000"/>
          <w:szCs w:val="21"/>
        </w:rPr>
      </w:pPr>
      <w:r>
        <w:rPr>
          <w:color w:val="000000"/>
          <w:szCs w:val="21"/>
        </w:rPr>
        <mc:AlternateContent>
          <mc:Choice Requires="wps">
            <w:drawing>
              <wp:anchor distT="0" distB="0" distL="114300" distR="114300" simplePos="0" relativeHeight="251667456" behindDoc="0" locked="0" layoutInCell="1" allowOverlap="1">
                <wp:simplePos x="0" y="0"/>
                <wp:positionH relativeFrom="column">
                  <wp:posOffset>2961640</wp:posOffset>
                </wp:positionH>
                <wp:positionV relativeFrom="paragraph">
                  <wp:posOffset>8890</wp:posOffset>
                </wp:positionV>
                <wp:extent cx="0" cy="237490"/>
                <wp:effectExtent l="76200" t="0" r="57150" b="4826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0" cy="23749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33.2pt;margin-top:0.7pt;height:18.7pt;width:0pt;z-index:251667456;mso-width-relative:page;mso-height-relative:page;" filled="f" stroked="t" coordsize="21600,21600" o:gfxdata="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NujzwdcAAAAIAQAADwAAAAAAAAABACAAAAAiAAAAZHJzL2Rvd25y&#10;ZXYueG1sUEsBAhQAFAAAAAgAh07iQEhnZuX/AQAA2QMAAA4AAAAAAAAAAQAgAAAAJgEAAGRycy9l&#10;Mm9Eb2MueG1sUEsFBgAAAAAGAAYAWQEAAJcFAAAAAA==&#10;">
                <v:fill on="f" focussize="0,0"/>
                <v:stroke color="#000000" joinstyle="round" endarrow="block"/>
                <v:imagedata o:title=""/>
                <o:lock v:ext="edit" aspectratio="f"/>
              </v:line>
            </w:pict>
          </mc:Fallback>
        </mc:AlternateContent>
      </w:r>
    </w:p>
    <w:p>
      <w:pPr>
        <w:rPr>
          <w:color w:val="000000"/>
          <w:szCs w:val="21"/>
        </w:rPr>
      </w:pPr>
      <w:r>
        <w:rPr>
          <w:color w:val="000000"/>
          <w:szCs w:val="21"/>
        </w:rPr>
        <mc:AlternateContent>
          <mc:Choice Requires="wps">
            <w:drawing>
              <wp:anchor distT="0" distB="0" distL="114300" distR="114300" simplePos="0" relativeHeight="251668480" behindDoc="0" locked="0" layoutInCell="1" allowOverlap="1">
                <wp:simplePos x="0" y="0"/>
                <wp:positionH relativeFrom="column">
                  <wp:posOffset>1885950</wp:posOffset>
                </wp:positionH>
                <wp:positionV relativeFrom="paragraph">
                  <wp:posOffset>48260</wp:posOffset>
                </wp:positionV>
                <wp:extent cx="2171700" cy="333375"/>
                <wp:effectExtent l="0" t="0" r="19050" b="28575"/>
                <wp:wrapNone/>
                <wp:docPr id="11" name="矩形 11"/>
                <wp:cNvGraphicFramePr/>
                <a:graphic xmlns:a="http://schemas.openxmlformats.org/drawingml/2006/main">
                  <a:graphicData uri="http://schemas.microsoft.com/office/word/2010/wordprocessingShape">
                    <wps:wsp>
                      <wps:cNvSpPr>
                        <a:spLocks noChangeArrowheads="1"/>
                      </wps:cNvSpPr>
                      <wps:spPr bwMode="auto">
                        <a:xfrm>
                          <a:off x="0" y="0"/>
                          <a:ext cx="2171700" cy="333375"/>
                        </a:xfrm>
                        <a:prstGeom prst="rect">
                          <a:avLst/>
                        </a:prstGeom>
                        <a:solidFill>
                          <a:srgbClr val="FFFFFF"/>
                        </a:solidFill>
                        <a:ln w="9525">
                          <a:solidFill>
                            <a:srgbClr val="000000"/>
                          </a:solidFill>
                          <a:miter lim="800000"/>
                        </a:ln>
                      </wps:spPr>
                      <wps:txbx>
                        <w:txbxContent>
                          <w:p>
                            <w:pPr>
                              <w:jc w:val="center"/>
                              <w:rPr>
                                <w:rFonts w:ascii="宋体" w:hAnsi="宋体"/>
                              </w:rPr>
                            </w:pPr>
                            <w:r>
                              <w:rPr>
                                <w:rFonts w:hint="eastAsia" w:ascii="宋体" w:hAnsi="宋体"/>
                              </w:rPr>
                              <w:t>开放交通</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48.5pt;margin-top:3.8pt;height:26.25pt;width:171pt;z-index:251668480;mso-width-relative:page;mso-height-relative:page;" fillcolor="#FFFFFF" filled="t" stroked="t" coordsize="21600,21600" o:gfxdata="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iR7239YAAAAIAQAADwAAAAAAAAABACAAAAAiAAAAZHJzL2Rvd25yZXYu&#10;eG1sUEsBAhQAFAAAAAgAh07iQDmvqgs2AgAAfAQAAA4AAAAAAAAAAQAgAAAAJQEAAGRycy9lMm9E&#10;b2MueG1sUEsFBgAAAAAGAAYAWQEAAM0FAAAAAA==&#10;">
                <v:fill on="t" focussize="0,0"/>
                <v:stroke color="#000000" miterlimit="8" joinstyle="miter"/>
                <v:imagedata o:title=""/>
                <o:lock v:ext="edit" aspectratio="f"/>
                <v:textbox>
                  <w:txbxContent>
                    <w:p>
                      <w:pPr>
                        <w:jc w:val="center"/>
                        <w:rPr>
                          <w:rFonts w:ascii="宋体" w:hAnsi="宋体"/>
                        </w:rPr>
                      </w:pPr>
                      <w:r>
                        <w:rPr>
                          <w:rFonts w:hint="eastAsia" w:ascii="宋体" w:hAnsi="宋体"/>
                        </w:rPr>
                        <w:t>开放交通</w:t>
                      </w:r>
                    </w:p>
                  </w:txbxContent>
                </v:textbox>
              </v:rect>
            </w:pict>
          </mc:Fallback>
        </mc:AlternateContent>
      </w:r>
    </w:p>
    <w:p>
      <w:pPr>
        <w:ind w:right="26"/>
        <w:rPr>
          <w:b/>
          <w:color w:val="000000"/>
          <w:szCs w:val="21"/>
        </w:rPr>
      </w:pPr>
    </w:p>
    <w:p>
      <w:pPr>
        <w:ind w:right="26"/>
        <w:jc w:val="center"/>
        <w:rPr>
          <w:rFonts w:eastAsia="黑体"/>
          <w:color w:val="000000"/>
          <w:szCs w:val="21"/>
        </w:rPr>
      </w:pPr>
      <w:r>
        <w:rPr>
          <w:rFonts w:eastAsia="黑体"/>
          <w:color w:val="000000"/>
          <w:szCs w:val="21"/>
        </w:rPr>
        <w:t>图</w:t>
      </w:r>
      <w:r>
        <w:rPr>
          <w:rFonts w:hint="eastAsia" w:eastAsia="黑体"/>
          <w:color w:val="000000"/>
          <w:szCs w:val="21"/>
        </w:rPr>
        <w:t>3</w:t>
      </w:r>
      <w:r>
        <w:rPr>
          <w:rFonts w:eastAsia="黑体"/>
          <w:color w:val="000000"/>
          <w:szCs w:val="21"/>
        </w:rPr>
        <w:t xml:space="preserve"> 复拌再生施工工艺流程</w:t>
      </w:r>
    </w:p>
    <w:p>
      <w:pPr>
        <w:pStyle w:val="60"/>
        <w:numPr>
          <w:ilvl w:val="0"/>
          <w:numId w:val="0"/>
        </w:numPr>
        <w:rPr>
          <w:rFonts w:ascii="黑体" w:hAnsi="黑体" w:eastAsia="黑体" w:cs="黑体"/>
          <w:szCs w:val="21"/>
        </w:rPr>
      </w:pPr>
      <w:r>
        <w:rPr>
          <w:rFonts w:ascii="黑体" w:hAnsi="黑体" w:eastAsia="黑体" w:cs="黑体"/>
          <w:szCs w:val="21"/>
        </w:rPr>
        <w:t xml:space="preserve">7.4.3  </w:t>
      </w:r>
      <w:r>
        <w:rPr>
          <w:szCs w:val="21"/>
        </w:rPr>
        <w:t>补强就地热再生工艺流程应符合下列要求：</w:t>
      </w:r>
    </w:p>
    <w:p>
      <w:pPr>
        <w:pStyle w:val="60"/>
        <w:numPr>
          <w:ilvl w:val="0"/>
          <w:numId w:val="39"/>
        </w:numPr>
        <w:ind w:left="840" w:hanging="420"/>
        <w:rPr>
          <w:szCs w:val="21"/>
        </w:rPr>
      </w:pPr>
      <w:r>
        <w:rPr>
          <w:szCs w:val="21"/>
        </w:rPr>
        <w:t>整形补强就地热再生工艺流程与整形就地热再生相同，加铺新沥青混合料的厚度按维修设计或施工方案要求进行。</w:t>
      </w:r>
    </w:p>
    <w:p>
      <w:pPr>
        <w:pStyle w:val="60"/>
        <w:numPr>
          <w:ilvl w:val="0"/>
          <w:numId w:val="39"/>
        </w:numPr>
        <w:ind w:left="840" w:hanging="420"/>
        <w:rPr>
          <w:szCs w:val="21"/>
        </w:rPr>
      </w:pPr>
      <w:r>
        <w:rPr>
          <w:szCs w:val="21"/>
        </w:rPr>
        <w:t>复拌补强就地热再生工艺流程分为两种不同工况：</w:t>
      </w:r>
    </w:p>
    <w:p>
      <w:pPr>
        <w:pStyle w:val="60"/>
        <w:numPr>
          <w:ilvl w:val="0"/>
          <w:numId w:val="0"/>
        </w:numPr>
        <w:ind w:firstLine="840" w:firstLineChars="400"/>
        <w:rPr>
          <w:szCs w:val="21"/>
        </w:rPr>
      </w:pPr>
      <w:r>
        <w:rPr>
          <w:szCs w:val="21"/>
        </w:rPr>
        <w:t>工况1：原路面面层材料与新添加的特定级配的沥青混合料拌合均匀后铺筑在原路面层位，直</w:t>
      </w:r>
    </w:p>
    <w:p>
      <w:pPr>
        <w:pStyle w:val="60"/>
        <w:numPr>
          <w:ilvl w:val="0"/>
          <w:numId w:val="0"/>
        </w:numPr>
        <w:ind w:firstLine="840" w:firstLineChars="400"/>
        <w:rPr>
          <w:szCs w:val="21"/>
        </w:rPr>
      </w:pPr>
      <w:r>
        <w:rPr>
          <w:szCs w:val="21"/>
        </w:rPr>
        <w:t>接作为路面上面层使用。</w:t>
      </w:r>
    </w:p>
    <w:p>
      <w:pPr>
        <w:pStyle w:val="60"/>
        <w:numPr>
          <w:ilvl w:val="0"/>
          <w:numId w:val="0"/>
        </w:numPr>
        <w:ind w:firstLine="840" w:firstLineChars="400"/>
        <w:rPr>
          <w:szCs w:val="21"/>
        </w:rPr>
      </w:pPr>
      <w:r>
        <w:rPr>
          <w:szCs w:val="21"/>
        </w:rPr>
        <w:t>本工况工艺流程与复拌就地热再生相同，添加新沥青混合料的比例按维修设计或施工方案要求</w:t>
      </w:r>
    </w:p>
    <w:p>
      <w:pPr>
        <w:pStyle w:val="60"/>
        <w:numPr>
          <w:ilvl w:val="0"/>
          <w:numId w:val="0"/>
        </w:numPr>
        <w:ind w:firstLine="840" w:firstLineChars="400"/>
        <w:rPr>
          <w:szCs w:val="21"/>
        </w:rPr>
      </w:pPr>
      <w:r>
        <w:rPr>
          <w:szCs w:val="21"/>
        </w:rPr>
        <w:t>进行。</w:t>
      </w:r>
    </w:p>
    <w:p>
      <w:pPr>
        <w:pStyle w:val="60"/>
        <w:numPr>
          <w:ilvl w:val="0"/>
          <w:numId w:val="0"/>
        </w:numPr>
        <w:ind w:firstLine="840" w:firstLineChars="400"/>
        <w:rPr>
          <w:szCs w:val="21"/>
        </w:rPr>
      </w:pPr>
      <w:r>
        <w:rPr>
          <w:szCs w:val="21"/>
        </w:rPr>
        <w:t>工况2：原路面面层材料复拌再生摊铺后，在热的再生路面上再铺筑全新的标准级配沥青混合</w:t>
      </w:r>
    </w:p>
    <w:p>
      <w:pPr>
        <w:pStyle w:val="60"/>
        <w:numPr>
          <w:ilvl w:val="0"/>
          <w:numId w:val="0"/>
        </w:numPr>
        <w:ind w:firstLine="840" w:firstLineChars="400"/>
        <w:rPr>
          <w:szCs w:val="21"/>
        </w:rPr>
      </w:pPr>
      <w:r>
        <w:rPr>
          <w:szCs w:val="21"/>
        </w:rPr>
        <w:t>料，作为路面新的上面层，并一次碾压成型。</w:t>
      </w:r>
    </w:p>
    <w:p>
      <w:pPr>
        <w:pStyle w:val="60"/>
        <w:numPr>
          <w:ilvl w:val="0"/>
          <w:numId w:val="0"/>
        </w:numPr>
        <w:ind w:firstLine="840" w:firstLineChars="400"/>
        <w:rPr>
          <w:szCs w:val="21"/>
        </w:rPr>
      </w:pPr>
      <w:r>
        <w:rPr>
          <w:szCs w:val="21"/>
        </w:rPr>
        <w:t>本工况工艺流程是在复拌就地热再生工艺流程基础上增加摊铺标准级配的新沥青混合料工序，</w:t>
      </w:r>
    </w:p>
    <w:p>
      <w:pPr>
        <w:pStyle w:val="60"/>
        <w:numPr>
          <w:ilvl w:val="0"/>
          <w:numId w:val="0"/>
        </w:numPr>
        <w:ind w:firstLine="840" w:firstLineChars="400"/>
        <w:rPr>
          <w:szCs w:val="21"/>
        </w:rPr>
      </w:pPr>
      <w:r>
        <w:rPr>
          <w:szCs w:val="21"/>
        </w:rPr>
        <w:t>添加的特定级配的新沥青混合料与标准级配的新沥青混合料的比例按维修设计或施工方案要</w:t>
      </w:r>
    </w:p>
    <w:p>
      <w:pPr>
        <w:pStyle w:val="60"/>
        <w:numPr>
          <w:ilvl w:val="0"/>
          <w:numId w:val="0"/>
        </w:numPr>
        <w:ind w:firstLine="840" w:firstLineChars="400"/>
        <w:rPr>
          <w:szCs w:val="21"/>
        </w:rPr>
      </w:pPr>
      <w:r>
        <w:rPr>
          <w:szCs w:val="21"/>
        </w:rPr>
        <w:t>求执行。</w:t>
      </w:r>
    </w:p>
    <w:p>
      <w:pPr>
        <w:pStyle w:val="57"/>
        <w:spacing w:before="312" w:after="312"/>
        <w:outlineLvl w:val="0"/>
      </w:pPr>
      <w:bookmarkStart w:id="175" w:name="_Toc62208770"/>
      <w:r>
        <w:t>验收</w:t>
      </w:r>
      <w:bookmarkEnd w:id="175"/>
    </w:p>
    <w:p>
      <w:pPr>
        <w:pStyle w:val="54"/>
        <w:numPr>
          <w:ilvl w:val="0"/>
          <w:numId w:val="0"/>
        </w:numPr>
        <w:spacing w:before="156" w:after="156"/>
        <w:outlineLvl w:val="1"/>
      </w:pPr>
      <w:r>
        <w:t>8.1  一般规定</w:t>
      </w:r>
    </w:p>
    <w:p>
      <w:pPr>
        <w:pStyle w:val="60"/>
        <w:numPr>
          <w:ilvl w:val="0"/>
          <w:numId w:val="0"/>
        </w:numPr>
        <w:rPr>
          <w:szCs w:val="21"/>
        </w:rPr>
      </w:pPr>
      <w:r>
        <w:rPr>
          <w:rFonts w:ascii="黑体" w:hAnsi="黑体" w:eastAsia="黑体" w:cs="黑体"/>
          <w:szCs w:val="21"/>
        </w:rPr>
        <w:t xml:space="preserve">8.1.1  </w:t>
      </w:r>
      <w:r>
        <w:rPr>
          <w:rFonts w:hint="eastAsia"/>
          <w:szCs w:val="21"/>
        </w:rPr>
        <w:t>城镇道路沥青路面就地热再生工程验收应按路面病害预处理、就地热再生面层、附属设施进行分项工程的验收和单位工程的竣工验收。城镇道路沥青路面就地热再生子分部及分项工程划分见表</w:t>
      </w:r>
      <w:r>
        <w:rPr>
          <w:szCs w:val="21"/>
        </w:rPr>
        <w:t>5</w:t>
      </w:r>
      <w:r>
        <w:rPr>
          <w:rFonts w:hint="eastAsia"/>
          <w:szCs w:val="21"/>
        </w:rPr>
        <w:t>。</w:t>
      </w:r>
    </w:p>
    <w:p>
      <w:pPr>
        <w:pStyle w:val="138"/>
        <w:spacing w:before="156" w:after="156"/>
        <w:rPr>
          <w:szCs w:val="21"/>
        </w:rPr>
      </w:pPr>
      <w:r>
        <w:rPr>
          <w:rFonts w:hint="eastAsia"/>
          <w:szCs w:val="21"/>
        </w:rPr>
        <w:t>城镇道路沥青路面就地热再生工程子分部、分项工程划分</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5"/>
        <w:gridCol w:w="6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pct"/>
          </w:tcPr>
          <w:p>
            <w:pPr>
              <w:pStyle w:val="25"/>
              <w:ind w:firstLine="0" w:firstLineChars="0"/>
              <w:jc w:val="center"/>
              <w:rPr>
                <w:b/>
                <w:bCs/>
                <w:sz w:val="18"/>
                <w:szCs w:val="18"/>
              </w:rPr>
            </w:pPr>
            <w:r>
              <w:rPr>
                <w:rFonts w:hint="eastAsia"/>
                <w:b/>
                <w:bCs/>
                <w:sz w:val="18"/>
                <w:szCs w:val="18"/>
              </w:rPr>
              <w:t>子分部工程</w:t>
            </w:r>
          </w:p>
        </w:tc>
        <w:tc>
          <w:tcPr>
            <w:tcW w:w="3383" w:type="pct"/>
          </w:tcPr>
          <w:p>
            <w:pPr>
              <w:pStyle w:val="25"/>
              <w:ind w:firstLine="0" w:firstLineChars="0"/>
              <w:jc w:val="center"/>
              <w:rPr>
                <w:b/>
                <w:bCs/>
                <w:sz w:val="18"/>
                <w:szCs w:val="18"/>
              </w:rPr>
            </w:pPr>
            <w:r>
              <w:rPr>
                <w:rFonts w:hint="eastAsia"/>
                <w:b/>
                <w:bCs/>
                <w:sz w:val="18"/>
                <w:szCs w:val="18"/>
              </w:rPr>
              <w:t>分项工程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pct"/>
          </w:tcPr>
          <w:p>
            <w:pPr>
              <w:pStyle w:val="25"/>
              <w:ind w:firstLine="0" w:firstLineChars="0"/>
              <w:jc w:val="center"/>
              <w:rPr>
                <w:sz w:val="18"/>
                <w:szCs w:val="18"/>
              </w:rPr>
            </w:pPr>
            <w:r>
              <w:rPr>
                <w:rFonts w:hint="eastAsia"/>
                <w:sz w:val="18"/>
                <w:szCs w:val="18"/>
              </w:rPr>
              <w:t>沥青路面就地热再生</w:t>
            </w:r>
          </w:p>
        </w:tc>
        <w:tc>
          <w:tcPr>
            <w:tcW w:w="3383" w:type="pct"/>
          </w:tcPr>
          <w:p>
            <w:pPr>
              <w:pStyle w:val="25"/>
              <w:ind w:firstLine="0" w:firstLineChars="0"/>
              <w:jc w:val="center"/>
              <w:rPr>
                <w:sz w:val="18"/>
                <w:szCs w:val="18"/>
              </w:rPr>
            </w:pPr>
            <w:r>
              <w:rPr>
                <w:rFonts w:hint="eastAsia"/>
                <w:sz w:val="18"/>
                <w:szCs w:val="18"/>
              </w:rPr>
              <w:t>路面病害预处理、就地热再生面层、附属设施</w:t>
            </w:r>
          </w:p>
        </w:tc>
      </w:tr>
    </w:tbl>
    <w:p>
      <w:pPr>
        <w:pStyle w:val="60"/>
        <w:numPr>
          <w:ilvl w:val="0"/>
          <w:numId w:val="0"/>
        </w:numPr>
        <w:rPr>
          <w:szCs w:val="21"/>
        </w:rPr>
      </w:pPr>
      <w:r>
        <w:rPr>
          <w:rFonts w:ascii="黑体" w:hAnsi="黑体" w:eastAsia="黑体" w:cs="黑体"/>
          <w:szCs w:val="21"/>
        </w:rPr>
        <w:t xml:space="preserve">8.1.2  </w:t>
      </w:r>
      <w:r>
        <w:rPr>
          <w:rFonts w:hint="eastAsia"/>
          <w:szCs w:val="21"/>
        </w:rPr>
        <w:t>城镇道路沥青路面就地热再生的分项工程，每条路或路段应划分为一个检验批。</w:t>
      </w:r>
    </w:p>
    <w:p>
      <w:pPr>
        <w:pStyle w:val="60"/>
        <w:numPr>
          <w:ilvl w:val="0"/>
          <w:numId w:val="0"/>
        </w:numPr>
        <w:rPr>
          <w:szCs w:val="21"/>
        </w:rPr>
      </w:pPr>
      <w:r>
        <w:rPr>
          <w:rFonts w:ascii="黑体" w:hAnsi="黑体" w:eastAsia="黑体" w:cs="黑体"/>
          <w:szCs w:val="21"/>
        </w:rPr>
        <w:t xml:space="preserve">8.1.3  </w:t>
      </w:r>
      <w:r>
        <w:rPr>
          <w:rFonts w:hint="eastAsia"/>
          <w:szCs w:val="21"/>
        </w:rPr>
        <w:t>路面病害预处理分项工程中，局部深层病害预处理应按隐蔽工程验收。隐蔽工程验收记录应包括深层病害处理范围、深度及层位（路基、基层或沥青中下面层）、处理工艺及技术指标。</w:t>
      </w:r>
    </w:p>
    <w:p>
      <w:pPr>
        <w:pStyle w:val="60"/>
        <w:numPr>
          <w:ilvl w:val="0"/>
          <w:numId w:val="0"/>
        </w:numPr>
        <w:rPr>
          <w:szCs w:val="21"/>
        </w:rPr>
      </w:pPr>
      <w:r>
        <w:rPr>
          <w:rFonts w:ascii="黑体" w:hAnsi="黑体" w:eastAsia="黑体" w:cs="黑体"/>
          <w:szCs w:val="21"/>
        </w:rPr>
        <w:t>8.1.</w:t>
      </w:r>
      <w:r>
        <w:rPr>
          <w:rFonts w:hint="eastAsia" w:ascii="黑体" w:hAnsi="黑体" w:eastAsia="黑体" w:cs="黑体"/>
          <w:szCs w:val="21"/>
        </w:rPr>
        <w:t>4</w:t>
      </w:r>
      <w:r>
        <w:rPr>
          <w:rFonts w:ascii="黑体" w:hAnsi="黑体" w:eastAsia="黑体" w:cs="黑体"/>
          <w:szCs w:val="21"/>
        </w:rPr>
        <w:t xml:space="preserve">  </w:t>
      </w:r>
      <w:r>
        <w:rPr>
          <w:rFonts w:hint="eastAsia"/>
          <w:szCs w:val="21"/>
        </w:rPr>
        <w:t>工程完工后，施工单位应组织自检，自检合格后，将完整的竣工资料和自检结果报监理单位申请验收。监理单位应组织相关负责人审核竣工资料并进行预检。</w:t>
      </w:r>
    </w:p>
    <w:p>
      <w:pPr>
        <w:pStyle w:val="60"/>
        <w:numPr>
          <w:ilvl w:val="0"/>
          <w:numId w:val="0"/>
        </w:numPr>
        <w:rPr>
          <w:szCs w:val="21"/>
        </w:rPr>
      </w:pPr>
      <w:r>
        <w:rPr>
          <w:rFonts w:ascii="黑体" w:hAnsi="黑体" w:eastAsia="黑体" w:cs="黑体"/>
          <w:szCs w:val="21"/>
        </w:rPr>
        <w:t>8.1.</w:t>
      </w:r>
      <w:r>
        <w:rPr>
          <w:rFonts w:hint="eastAsia" w:ascii="黑体" w:hAnsi="黑体" w:eastAsia="黑体" w:cs="黑体"/>
          <w:szCs w:val="21"/>
        </w:rPr>
        <w:t>5</w:t>
      </w:r>
      <w:r>
        <w:rPr>
          <w:rFonts w:ascii="黑体" w:hAnsi="黑体" w:eastAsia="黑体" w:cs="黑体"/>
          <w:szCs w:val="21"/>
        </w:rPr>
        <w:t xml:space="preserve">  </w:t>
      </w:r>
      <w:r>
        <w:rPr>
          <w:rFonts w:hint="eastAsia"/>
          <w:szCs w:val="21"/>
        </w:rPr>
        <w:t>建设单位负责人应组织设计、施工、监理等有关单位的项目负责人进行就地热再生单位工程的竣工验收。</w:t>
      </w:r>
    </w:p>
    <w:p>
      <w:pPr>
        <w:pStyle w:val="60"/>
        <w:numPr>
          <w:ilvl w:val="0"/>
          <w:numId w:val="0"/>
        </w:numPr>
        <w:rPr>
          <w:szCs w:val="21"/>
        </w:rPr>
      </w:pPr>
      <w:r>
        <w:rPr>
          <w:rFonts w:ascii="黑体" w:hAnsi="黑体" w:eastAsia="黑体" w:cs="黑体"/>
          <w:szCs w:val="21"/>
        </w:rPr>
        <w:t>8.1.</w:t>
      </w:r>
      <w:r>
        <w:rPr>
          <w:rFonts w:hint="eastAsia" w:ascii="黑体" w:hAnsi="黑体" w:eastAsia="黑体" w:cs="黑体"/>
          <w:szCs w:val="21"/>
        </w:rPr>
        <w:t>6</w:t>
      </w:r>
      <w:r>
        <w:rPr>
          <w:rFonts w:ascii="黑体" w:hAnsi="黑体" w:eastAsia="黑体" w:cs="黑体"/>
          <w:szCs w:val="21"/>
        </w:rPr>
        <w:t xml:space="preserve">  </w:t>
      </w:r>
      <w:r>
        <w:rPr>
          <w:rFonts w:hint="eastAsia"/>
          <w:szCs w:val="21"/>
        </w:rPr>
        <w:t>所有验收应做好记录，形成完整的施工资料档案，以备核查。</w:t>
      </w:r>
    </w:p>
    <w:p>
      <w:pPr>
        <w:pStyle w:val="54"/>
        <w:numPr>
          <w:ilvl w:val="0"/>
          <w:numId w:val="0"/>
        </w:numPr>
        <w:spacing w:before="156" w:after="156"/>
        <w:outlineLvl w:val="1"/>
      </w:pPr>
      <w:bookmarkStart w:id="176" w:name="_Toc25312097"/>
      <w:r>
        <w:t xml:space="preserve">8.2 </w:t>
      </w:r>
      <w:bookmarkEnd w:id="176"/>
      <w:r>
        <w:t xml:space="preserve"> </w:t>
      </w:r>
      <w:r>
        <w:rPr>
          <w:rFonts w:hint="eastAsia"/>
        </w:rPr>
        <w:t>路面病害预处理</w:t>
      </w:r>
    </w:p>
    <w:p>
      <w:pPr>
        <w:pStyle w:val="25"/>
        <w:widowControl w:val="0"/>
        <w:autoSpaceDE/>
        <w:autoSpaceDN/>
        <w:ind w:firstLine="0" w:firstLineChars="0"/>
        <w:rPr>
          <w:rFonts w:ascii="黑体" w:hAnsi="黑体" w:eastAsia="黑体"/>
        </w:rPr>
      </w:pPr>
      <w:r>
        <w:rPr>
          <w:rFonts w:hint="eastAsia" w:ascii="黑体" w:hAnsi="黑体" w:eastAsia="黑体"/>
        </w:rPr>
        <w:t>Ⅰ 主控项目</w:t>
      </w:r>
    </w:p>
    <w:p>
      <w:pPr>
        <w:rPr>
          <w:rFonts w:ascii="宋体"/>
          <w:kern w:val="0"/>
          <w:szCs w:val="21"/>
        </w:rPr>
      </w:pPr>
      <w:r>
        <w:rPr>
          <w:rFonts w:ascii="黑体" w:hAnsi="黑体" w:eastAsia="黑体" w:cs="黑体"/>
          <w:szCs w:val="21"/>
        </w:rPr>
        <w:t xml:space="preserve">8.2.1  </w:t>
      </w:r>
      <w:r>
        <w:rPr>
          <w:rFonts w:hint="eastAsia" w:ascii="宋体"/>
          <w:kern w:val="0"/>
          <w:szCs w:val="21"/>
        </w:rPr>
        <w:t>路面局部深层病害预处理质量应符合下列要求：</w:t>
      </w:r>
    </w:p>
    <w:p>
      <w:pPr>
        <w:pStyle w:val="149"/>
        <w:numPr>
          <w:ilvl w:val="0"/>
          <w:numId w:val="40"/>
        </w:numPr>
        <w:rPr>
          <w:kern w:val="0"/>
          <w:szCs w:val="21"/>
        </w:rPr>
      </w:pPr>
      <w:r>
        <w:rPr>
          <w:rFonts w:hint="eastAsia"/>
          <w:kern w:val="0"/>
          <w:szCs w:val="21"/>
        </w:rPr>
        <w:t>预处理施工所用材料应符合设计要求。</w:t>
      </w:r>
    </w:p>
    <w:p>
      <w:pPr>
        <w:ind w:firstLine="840" w:firstLineChars="400"/>
        <w:rPr>
          <w:rFonts w:ascii="宋体"/>
          <w:kern w:val="0"/>
          <w:szCs w:val="21"/>
        </w:rPr>
      </w:pPr>
      <w:r>
        <w:rPr>
          <w:rFonts w:hint="eastAsia" w:ascii="宋体"/>
          <w:kern w:val="0"/>
          <w:szCs w:val="21"/>
        </w:rPr>
        <w:t>检查数量：按不同品种产品进场批次和产品抽样检验方案确定。每批次抽检1次。</w:t>
      </w:r>
    </w:p>
    <w:p>
      <w:pPr>
        <w:ind w:firstLine="840" w:firstLineChars="400"/>
        <w:rPr>
          <w:rFonts w:ascii="宋体"/>
          <w:kern w:val="0"/>
          <w:szCs w:val="21"/>
        </w:rPr>
      </w:pPr>
      <w:r>
        <w:rPr>
          <w:rFonts w:hint="eastAsia" w:ascii="宋体"/>
          <w:kern w:val="0"/>
          <w:szCs w:val="21"/>
        </w:rPr>
        <w:t>检验方法：检查出厂合格证和抽样检验报告。</w:t>
      </w:r>
    </w:p>
    <w:p>
      <w:pPr>
        <w:pStyle w:val="149"/>
        <w:numPr>
          <w:ilvl w:val="0"/>
          <w:numId w:val="40"/>
        </w:numPr>
        <w:rPr>
          <w:kern w:val="0"/>
          <w:szCs w:val="21"/>
        </w:rPr>
      </w:pPr>
      <w:r>
        <w:rPr>
          <w:rFonts w:hint="eastAsia"/>
          <w:kern w:val="0"/>
          <w:szCs w:val="21"/>
        </w:rPr>
        <w:t>局部深层病害预处理应彻底消除其质量隐患，处理深度、范围和工艺应符合设计要求。</w:t>
      </w:r>
    </w:p>
    <w:p>
      <w:pPr>
        <w:ind w:firstLine="840" w:firstLineChars="400"/>
        <w:rPr>
          <w:rFonts w:ascii="宋体"/>
          <w:kern w:val="0"/>
          <w:szCs w:val="21"/>
        </w:rPr>
      </w:pPr>
      <w:r>
        <w:rPr>
          <w:rFonts w:hint="eastAsia" w:ascii="宋体"/>
          <w:kern w:val="0"/>
          <w:szCs w:val="21"/>
        </w:rPr>
        <w:t>检查数量：全数检查。</w:t>
      </w:r>
    </w:p>
    <w:p>
      <w:pPr>
        <w:pStyle w:val="60"/>
        <w:numPr>
          <w:ilvl w:val="0"/>
          <w:numId w:val="0"/>
        </w:numPr>
        <w:ind w:firstLine="840" w:firstLineChars="400"/>
        <w:rPr>
          <w:szCs w:val="21"/>
        </w:rPr>
      </w:pPr>
      <w:r>
        <w:rPr>
          <w:rFonts w:hint="eastAsia"/>
          <w:szCs w:val="21"/>
        </w:rPr>
        <w:t>检验方法：检查隐蔽工程验收记录。</w:t>
      </w:r>
    </w:p>
    <w:p>
      <w:pPr>
        <w:pStyle w:val="60"/>
        <w:numPr>
          <w:ilvl w:val="0"/>
          <w:numId w:val="0"/>
        </w:numPr>
        <w:rPr>
          <w:szCs w:val="21"/>
        </w:rPr>
      </w:pPr>
      <w:r>
        <w:rPr>
          <w:rFonts w:ascii="黑体" w:hAnsi="黑体" w:eastAsia="黑体" w:cs="黑体"/>
          <w:szCs w:val="21"/>
        </w:rPr>
        <w:t xml:space="preserve">8.2.2  </w:t>
      </w:r>
      <w:r>
        <w:rPr>
          <w:rFonts w:hint="eastAsia"/>
          <w:szCs w:val="21"/>
        </w:rPr>
        <w:t>破损、沉陷的检查井修复质量应符合设计要求。</w:t>
      </w:r>
    </w:p>
    <w:p>
      <w:pPr>
        <w:pStyle w:val="60"/>
        <w:numPr>
          <w:ilvl w:val="0"/>
          <w:numId w:val="0"/>
        </w:numPr>
        <w:ind w:firstLine="420" w:firstLineChars="200"/>
        <w:rPr>
          <w:szCs w:val="21"/>
        </w:rPr>
      </w:pPr>
      <w:r>
        <w:rPr>
          <w:rFonts w:hint="eastAsia"/>
          <w:szCs w:val="21"/>
        </w:rPr>
        <w:t>检查数量：全数检查。</w:t>
      </w:r>
    </w:p>
    <w:p>
      <w:pPr>
        <w:pStyle w:val="60"/>
        <w:numPr>
          <w:ilvl w:val="0"/>
          <w:numId w:val="0"/>
        </w:numPr>
        <w:ind w:firstLine="420" w:firstLineChars="200"/>
        <w:rPr>
          <w:szCs w:val="21"/>
        </w:rPr>
      </w:pPr>
      <w:r>
        <w:rPr>
          <w:rFonts w:hint="eastAsia"/>
          <w:szCs w:val="21"/>
        </w:rPr>
        <w:t>检验方法：检查检查井修复记录、观察检查。</w:t>
      </w:r>
    </w:p>
    <w:p>
      <w:pPr>
        <w:pStyle w:val="25"/>
        <w:widowControl w:val="0"/>
        <w:autoSpaceDE/>
        <w:autoSpaceDN/>
        <w:ind w:firstLine="0" w:firstLineChars="0"/>
        <w:rPr>
          <w:rFonts w:ascii="黑体" w:hAnsi="黑体" w:eastAsia="黑体"/>
        </w:rPr>
      </w:pPr>
      <w:r>
        <w:rPr>
          <w:rFonts w:hint="eastAsia" w:ascii="黑体" w:hAnsi="黑体" w:eastAsia="黑体"/>
        </w:rPr>
        <w:t>Ⅱ 一般项目</w:t>
      </w:r>
    </w:p>
    <w:p>
      <w:pPr>
        <w:pStyle w:val="60"/>
        <w:numPr>
          <w:ilvl w:val="0"/>
          <w:numId w:val="0"/>
        </w:numPr>
        <w:rPr>
          <w:szCs w:val="21"/>
        </w:rPr>
      </w:pPr>
      <w:r>
        <w:rPr>
          <w:rFonts w:ascii="黑体" w:hAnsi="黑体" w:eastAsia="黑体" w:cs="黑体"/>
          <w:szCs w:val="21"/>
        </w:rPr>
        <w:t xml:space="preserve">8.2.3  </w:t>
      </w:r>
      <w:r>
        <w:rPr>
          <w:rFonts w:hint="eastAsia"/>
          <w:szCs w:val="21"/>
        </w:rPr>
        <w:t>病害预处理后的路面，修复区域表面应平整、密实、洁净，与周边路面和附属设施的衔接应符合设计要求。</w:t>
      </w:r>
    </w:p>
    <w:p>
      <w:pPr>
        <w:pStyle w:val="60"/>
        <w:numPr>
          <w:ilvl w:val="0"/>
          <w:numId w:val="0"/>
        </w:numPr>
        <w:ind w:firstLine="420" w:firstLineChars="200"/>
        <w:rPr>
          <w:szCs w:val="21"/>
        </w:rPr>
      </w:pPr>
      <w:r>
        <w:rPr>
          <w:rFonts w:hint="eastAsia"/>
          <w:szCs w:val="21"/>
        </w:rPr>
        <w:t>检查数量：全数检查。</w:t>
      </w:r>
    </w:p>
    <w:p>
      <w:pPr>
        <w:pStyle w:val="60"/>
        <w:numPr>
          <w:ilvl w:val="0"/>
          <w:numId w:val="0"/>
        </w:numPr>
        <w:ind w:firstLine="420" w:firstLineChars="200"/>
        <w:rPr>
          <w:szCs w:val="21"/>
        </w:rPr>
      </w:pPr>
      <w:r>
        <w:rPr>
          <w:rFonts w:hint="eastAsia"/>
          <w:szCs w:val="21"/>
        </w:rPr>
        <w:t>检验方法：观察检查。</w:t>
      </w:r>
    </w:p>
    <w:p>
      <w:pPr>
        <w:pStyle w:val="54"/>
        <w:numPr>
          <w:ilvl w:val="0"/>
          <w:numId w:val="0"/>
        </w:numPr>
        <w:spacing w:before="156" w:after="156"/>
        <w:outlineLvl w:val="1"/>
      </w:pPr>
      <w:bookmarkStart w:id="177" w:name="_Toc25312098"/>
      <w:r>
        <w:rPr>
          <w:rFonts w:hint="eastAsia"/>
        </w:rPr>
        <w:t>8</w:t>
      </w:r>
      <w:r>
        <w:t xml:space="preserve">.3  </w:t>
      </w:r>
      <w:bookmarkEnd w:id="177"/>
      <w:r>
        <w:rPr>
          <w:rFonts w:hint="eastAsia"/>
        </w:rPr>
        <w:t>就地热再生面层</w:t>
      </w:r>
    </w:p>
    <w:p>
      <w:pPr>
        <w:pStyle w:val="25"/>
        <w:widowControl w:val="0"/>
        <w:autoSpaceDE/>
        <w:autoSpaceDN/>
        <w:ind w:firstLine="0" w:firstLineChars="0"/>
        <w:rPr>
          <w:rFonts w:ascii="黑体" w:hAnsi="黑体" w:eastAsia="黑体"/>
        </w:rPr>
      </w:pPr>
      <w:r>
        <w:rPr>
          <w:rFonts w:hint="eastAsia" w:ascii="黑体" w:hAnsi="黑体" w:eastAsia="黑体"/>
        </w:rPr>
        <w:t>Ⅰ 主控项目</w:t>
      </w:r>
    </w:p>
    <w:p>
      <w:pPr>
        <w:pStyle w:val="60"/>
        <w:numPr>
          <w:ilvl w:val="0"/>
          <w:numId w:val="0"/>
        </w:numPr>
        <w:rPr>
          <w:szCs w:val="21"/>
        </w:rPr>
      </w:pPr>
      <w:r>
        <w:rPr>
          <w:rFonts w:hint="eastAsia" w:ascii="黑体" w:hAnsi="黑体" w:eastAsia="黑体" w:cs="黑体"/>
          <w:szCs w:val="21"/>
        </w:rPr>
        <w:t>8</w:t>
      </w:r>
      <w:r>
        <w:rPr>
          <w:rFonts w:ascii="黑体" w:hAnsi="黑体" w:eastAsia="黑体" w:cs="黑体"/>
          <w:szCs w:val="21"/>
        </w:rPr>
        <w:t xml:space="preserve">.3.1  </w:t>
      </w:r>
      <w:r>
        <w:rPr>
          <w:rFonts w:hint="eastAsia"/>
          <w:szCs w:val="21"/>
        </w:rPr>
        <w:t>再生沥青混合料质量应符合下列要求：</w:t>
      </w:r>
    </w:p>
    <w:p>
      <w:pPr>
        <w:pStyle w:val="60"/>
        <w:numPr>
          <w:ilvl w:val="0"/>
          <w:numId w:val="41"/>
        </w:numPr>
        <w:ind w:left="840" w:hanging="420"/>
        <w:rPr>
          <w:szCs w:val="21"/>
        </w:rPr>
      </w:pPr>
      <w:r>
        <w:rPr>
          <w:rFonts w:hint="eastAsia"/>
          <w:szCs w:val="21"/>
        </w:rPr>
        <w:t>再生剂应符合本标准</w:t>
      </w:r>
      <w:r>
        <w:rPr>
          <w:szCs w:val="21"/>
        </w:rPr>
        <w:t>5</w:t>
      </w:r>
      <w:r>
        <w:rPr>
          <w:rFonts w:hint="eastAsia"/>
          <w:szCs w:val="21"/>
        </w:rPr>
        <w:t>.0.3的有关规定。</w:t>
      </w:r>
    </w:p>
    <w:p>
      <w:pPr>
        <w:pStyle w:val="60"/>
        <w:numPr>
          <w:ilvl w:val="0"/>
          <w:numId w:val="0"/>
        </w:numPr>
        <w:ind w:left="105" w:leftChars="50" w:firstLine="735" w:firstLineChars="350"/>
        <w:rPr>
          <w:szCs w:val="21"/>
        </w:rPr>
      </w:pPr>
      <w:r>
        <w:rPr>
          <w:rFonts w:hint="eastAsia"/>
          <w:szCs w:val="21"/>
        </w:rPr>
        <w:t>检查数量：每批次抽检1次（每10t为1批次）。</w:t>
      </w:r>
    </w:p>
    <w:p>
      <w:pPr>
        <w:pStyle w:val="60"/>
        <w:numPr>
          <w:ilvl w:val="0"/>
          <w:numId w:val="0"/>
        </w:numPr>
        <w:ind w:left="840"/>
        <w:rPr>
          <w:szCs w:val="21"/>
        </w:rPr>
      </w:pPr>
      <w:r>
        <w:rPr>
          <w:rFonts w:hint="eastAsia"/>
          <w:szCs w:val="21"/>
        </w:rPr>
        <w:t>检验方法：检查出厂合格证和抽样检验报告。</w:t>
      </w:r>
    </w:p>
    <w:p>
      <w:pPr>
        <w:pStyle w:val="60"/>
        <w:numPr>
          <w:ilvl w:val="0"/>
          <w:numId w:val="41"/>
        </w:numPr>
        <w:ind w:left="840" w:hanging="420"/>
        <w:rPr>
          <w:szCs w:val="21"/>
        </w:rPr>
      </w:pPr>
      <w:r>
        <w:rPr>
          <w:rFonts w:hint="eastAsia"/>
          <w:szCs w:val="21"/>
        </w:rPr>
        <w:t>新沥青应符合本标准</w:t>
      </w:r>
      <w:r>
        <w:rPr>
          <w:szCs w:val="21"/>
        </w:rPr>
        <w:t>5</w:t>
      </w:r>
      <w:r>
        <w:rPr>
          <w:rFonts w:hint="eastAsia"/>
          <w:szCs w:val="21"/>
        </w:rPr>
        <w:t>.0.4的有关规定。</w:t>
      </w:r>
    </w:p>
    <w:p>
      <w:pPr>
        <w:pStyle w:val="60"/>
        <w:numPr>
          <w:ilvl w:val="0"/>
          <w:numId w:val="0"/>
        </w:numPr>
        <w:ind w:left="840"/>
        <w:rPr>
          <w:szCs w:val="21"/>
        </w:rPr>
      </w:pPr>
      <w:r>
        <w:rPr>
          <w:rFonts w:hint="eastAsia"/>
          <w:szCs w:val="21"/>
        </w:rPr>
        <w:t>检查数量：每批次抽检1次（每50t为1批次）。</w:t>
      </w:r>
    </w:p>
    <w:p>
      <w:pPr>
        <w:pStyle w:val="60"/>
        <w:numPr>
          <w:ilvl w:val="0"/>
          <w:numId w:val="0"/>
        </w:numPr>
        <w:ind w:left="840"/>
        <w:rPr>
          <w:szCs w:val="21"/>
        </w:rPr>
      </w:pPr>
      <w:r>
        <w:rPr>
          <w:rFonts w:hint="eastAsia"/>
          <w:szCs w:val="21"/>
        </w:rPr>
        <w:t>检验方法：检查出厂合格证和抽样检验报告。</w:t>
      </w:r>
    </w:p>
    <w:p>
      <w:pPr>
        <w:pStyle w:val="60"/>
        <w:numPr>
          <w:ilvl w:val="0"/>
          <w:numId w:val="41"/>
        </w:numPr>
        <w:ind w:left="840" w:hanging="420"/>
        <w:rPr>
          <w:szCs w:val="21"/>
        </w:rPr>
      </w:pPr>
      <w:r>
        <w:rPr>
          <w:rFonts w:hint="eastAsia"/>
          <w:szCs w:val="21"/>
        </w:rPr>
        <w:t>新沥青混合料的拌合温度、出厂温度和技术要求应符合本标准</w:t>
      </w:r>
      <w:r>
        <w:rPr>
          <w:szCs w:val="21"/>
        </w:rPr>
        <w:t>5</w:t>
      </w:r>
      <w:r>
        <w:rPr>
          <w:rFonts w:hint="eastAsia"/>
          <w:szCs w:val="21"/>
        </w:rPr>
        <w:t>.0.5的有关规定。</w:t>
      </w:r>
    </w:p>
    <w:p>
      <w:pPr>
        <w:pStyle w:val="60"/>
        <w:numPr>
          <w:ilvl w:val="0"/>
          <w:numId w:val="0"/>
        </w:numPr>
        <w:ind w:left="840"/>
        <w:rPr>
          <w:szCs w:val="21"/>
        </w:rPr>
      </w:pPr>
      <w:r>
        <w:rPr>
          <w:rFonts w:hint="eastAsia"/>
          <w:szCs w:val="21"/>
        </w:rPr>
        <w:t>检查数量：每日、每品种检查一次。</w:t>
      </w:r>
    </w:p>
    <w:p>
      <w:pPr>
        <w:pStyle w:val="60"/>
        <w:numPr>
          <w:ilvl w:val="0"/>
          <w:numId w:val="0"/>
        </w:numPr>
        <w:ind w:left="840"/>
        <w:rPr>
          <w:szCs w:val="21"/>
        </w:rPr>
      </w:pPr>
      <w:r>
        <w:rPr>
          <w:rFonts w:hint="eastAsia"/>
          <w:szCs w:val="21"/>
        </w:rPr>
        <w:t>检验方法：检查出厂合格证、新沥青混合料马歇尔试验记录。</w:t>
      </w:r>
    </w:p>
    <w:p>
      <w:pPr>
        <w:pStyle w:val="60"/>
        <w:numPr>
          <w:ilvl w:val="0"/>
          <w:numId w:val="41"/>
        </w:numPr>
        <w:ind w:left="840" w:hanging="420"/>
        <w:rPr>
          <w:szCs w:val="21"/>
        </w:rPr>
      </w:pPr>
      <w:r>
        <w:rPr>
          <w:rFonts w:hint="eastAsia"/>
          <w:szCs w:val="21"/>
        </w:rPr>
        <w:t>外加剂应符合设计要求。</w:t>
      </w:r>
    </w:p>
    <w:p>
      <w:pPr>
        <w:pStyle w:val="60"/>
        <w:numPr>
          <w:ilvl w:val="0"/>
          <w:numId w:val="0"/>
        </w:numPr>
        <w:ind w:left="840"/>
        <w:rPr>
          <w:szCs w:val="21"/>
        </w:rPr>
      </w:pPr>
      <w:r>
        <w:rPr>
          <w:rFonts w:hint="eastAsia"/>
          <w:szCs w:val="21"/>
        </w:rPr>
        <w:t>检查数量：按不同品种产品进场批次和产品抽样检验方案确定。</w:t>
      </w:r>
    </w:p>
    <w:p>
      <w:pPr>
        <w:pStyle w:val="60"/>
        <w:numPr>
          <w:ilvl w:val="0"/>
          <w:numId w:val="0"/>
        </w:numPr>
        <w:ind w:left="840"/>
        <w:rPr>
          <w:szCs w:val="21"/>
        </w:rPr>
      </w:pPr>
      <w:r>
        <w:rPr>
          <w:rFonts w:hint="eastAsia"/>
          <w:szCs w:val="21"/>
        </w:rPr>
        <w:t>检验方法：检查出厂合格证和抽样检验报告。</w:t>
      </w:r>
    </w:p>
    <w:p>
      <w:pPr>
        <w:pStyle w:val="60"/>
        <w:numPr>
          <w:ilvl w:val="0"/>
          <w:numId w:val="41"/>
        </w:numPr>
        <w:ind w:left="840" w:hanging="420"/>
        <w:rPr>
          <w:szCs w:val="21"/>
        </w:rPr>
      </w:pPr>
      <w:r>
        <w:rPr>
          <w:rFonts w:hint="eastAsia"/>
          <w:szCs w:val="21"/>
        </w:rPr>
        <w:t>再生沥青混合料应符合配合比技术要求。</w:t>
      </w:r>
    </w:p>
    <w:p>
      <w:pPr>
        <w:pStyle w:val="60"/>
        <w:numPr>
          <w:ilvl w:val="0"/>
          <w:numId w:val="0"/>
        </w:numPr>
        <w:ind w:left="840"/>
        <w:rPr>
          <w:szCs w:val="21"/>
        </w:rPr>
      </w:pPr>
      <w:r>
        <w:rPr>
          <w:rFonts w:hint="eastAsia"/>
          <w:szCs w:val="21"/>
        </w:rPr>
        <w:t>检查数量：每日、每品种检查一次。</w:t>
      </w:r>
    </w:p>
    <w:p>
      <w:pPr>
        <w:pStyle w:val="60"/>
        <w:numPr>
          <w:ilvl w:val="0"/>
          <w:numId w:val="0"/>
        </w:numPr>
        <w:ind w:left="840"/>
        <w:rPr>
          <w:szCs w:val="21"/>
        </w:rPr>
      </w:pPr>
      <w:r>
        <w:rPr>
          <w:rFonts w:hint="eastAsia"/>
          <w:szCs w:val="21"/>
        </w:rPr>
        <w:t>检验方法：检查抽提筛分和马歇尔试验记录。</w:t>
      </w:r>
    </w:p>
    <w:p>
      <w:pPr>
        <w:pStyle w:val="60"/>
        <w:numPr>
          <w:ilvl w:val="0"/>
          <w:numId w:val="0"/>
        </w:numPr>
        <w:rPr>
          <w:szCs w:val="21"/>
        </w:rPr>
      </w:pPr>
      <w:r>
        <w:rPr>
          <w:rFonts w:hint="eastAsia" w:ascii="黑体" w:hAnsi="黑体" w:eastAsia="黑体" w:cs="黑体"/>
          <w:szCs w:val="21"/>
        </w:rPr>
        <w:t>8</w:t>
      </w:r>
      <w:r>
        <w:rPr>
          <w:rFonts w:ascii="黑体" w:hAnsi="黑体" w:eastAsia="黑体" w:cs="黑体"/>
          <w:szCs w:val="21"/>
        </w:rPr>
        <w:t xml:space="preserve">.3.2  </w:t>
      </w:r>
      <w:r>
        <w:rPr>
          <w:rFonts w:hint="eastAsia"/>
          <w:szCs w:val="21"/>
        </w:rPr>
        <w:t>就地热再生后路面质量应符合下列规定：</w:t>
      </w:r>
    </w:p>
    <w:p>
      <w:pPr>
        <w:pStyle w:val="60"/>
        <w:numPr>
          <w:ilvl w:val="0"/>
          <w:numId w:val="42"/>
        </w:numPr>
        <w:ind w:left="840" w:hanging="420"/>
        <w:rPr>
          <w:szCs w:val="21"/>
        </w:rPr>
      </w:pPr>
      <w:r>
        <w:rPr>
          <w:rFonts w:hint="eastAsia"/>
          <w:szCs w:val="21"/>
        </w:rPr>
        <w:t>平整度，对城市快速路、主干路标准差σ值应小于1.8mm或IRI应小于3.0m/km，最大间隙不超过5mm；对次干路及以下道路标准差σ值应小于2.4mm或IRI应小于4.0m/km，最大间隙不超过7mm。</w:t>
      </w:r>
    </w:p>
    <w:p>
      <w:pPr>
        <w:pStyle w:val="60"/>
        <w:numPr>
          <w:ilvl w:val="0"/>
          <w:numId w:val="0"/>
        </w:numPr>
        <w:ind w:firstLine="840" w:firstLineChars="400"/>
        <w:rPr>
          <w:szCs w:val="21"/>
        </w:rPr>
      </w:pPr>
      <w:r>
        <w:rPr>
          <w:rFonts w:hint="eastAsia"/>
          <w:szCs w:val="21"/>
        </w:rPr>
        <w:t>检查数量：标准差σ值或IRI为全线连续测量，最大间隙每100m计算一个测值。</w:t>
      </w:r>
    </w:p>
    <w:p>
      <w:pPr>
        <w:pStyle w:val="60"/>
        <w:numPr>
          <w:ilvl w:val="0"/>
          <w:numId w:val="0"/>
        </w:numPr>
        <w:ind w:firstLine="840" w:firstLineChars="400"/>
        <w:rPr>
          <w:szCs w:val="21"/>
        </w:rPr>
      </w:pPr>
      <w:r>
        <w:rPr>
          <w:rFonts w:hint="eastAsia"/>
          <w:szCs w:val="21"/>
        </w:rPr>
        <w:t>检验方法：连续式平整度仪或激光平整度仪，3m直尺，检查检测记录。</w:t>
      </w:r>
    </w:p>
    <w:p>
      <w:pPr>
        <w:pStyle w:val="60"/>
        <w:numPr>
          <w:ilvl w:val="0"/>
          <w:numId w:val="42"/>
        </w:numPr>
        <w:ind w:left="840" w:hanging="420"/>
        <w:rPr>
          <w:szCs w:val="21"/>
        </w:rPr>
      </w:pPr>
      <w:r>
        <w:rPr>
          <w:rFonts w:hint="eastAsia"/>
          <w:szCs w:val="21"/>
        </w:rPr>
        <w:t>压实度，对城市快速路、主干路应不小于96％；对次干路及以下道路，不得小于95％。</w:t>
      </w:r>
    </w:p>
    <w:p>
      <w:pPr>
        <w:pStyle w:val="60"/>
        <w:numPr>
          <w:ilvl w:val="0"/>
          <w:numId w:val="0"/>
        </w:numPr>
        <w:ind w:firstLine="840" w:firstLineChars="400"/>
        <w:rPr>
          <w:szCs w:val="21"/>
        </w:rPr>
      </w:pPr>
      <w:r>
        <w:rPr>
          <w:rFonts w:hint="eastAsia"/>
          <w:szCs w:val="21"/>
        </w:rPr>
        <w:t>检测数量：每1000m2测1处。</w:t>
      </w:r>
    </w:p>
    <w:p>
      <w:pPr>
        <w:pStyle w:val="60"/>
        <w:numPr>
          <w:ilvl w:val="0"/>
          <w:numId w:val="0"/>
        </w:numPr>
        <w:ind w:firstLine="840" w:firstLineChars="400"/>
        <w:rPr>
          <w:szCs w:val="21"/>
        </w:rPr>
      </w:pPr>
      <w:r>
        <w:rPr>
          <w:rFonts w:hint="eastAsia"/>
          <w:szCs w:val="21"/>
        </w:rPr>
        <w:t>检测方法：钻芯，检查检测报告（马歇尔击实试件密度，试验室标准密度）。</w:t>
      </w:r>
    </w:p>
    <w:p>
      <w:pPr>
        <w:pStyle w:val="60"/>
        <w:numPr>
          <w:ilvl w:val="0"/>
          <w:numId w:val="42"/>
        </w:numPr>
        <w:ind w:left="840" w:hanging="420"/>
        <w:rPr>
          <w:szCs w:val="21"/>
        </w:rPr>
      </w:pPr>
      <w:r>
        <w:rPr>
          <w:rFonts w:hint="eastAsia"/>
          <w:szCs w:val="21"/>
        </w:rPr>
        <w:t>渗水系数应符合设计要求。</w:t>
      </w:r>
    </w:p>
    <w:p>
      <w:pPr>
        <w:pStyle w:val="60"/>
        <w:numPr>
          <w:ilvl w:val="0"/>
          <w:numId w:val="0"/>
        </w:numPr>
        <w:ind w:firstLine="840" w:firstLineChars="400"/>
        <w:rPr>
          <w:szCs w:val="21"/>
        </w:rPr>
      </w:pPr>
      <w:r>
        <w:rPr>
          <w:rFonts w:hint="eastAsia"/>
          <w:szCs w:val="21"/>
        </w:rPr>
        <w:t>检查数量：每1000m2测1处，每处3点，取平均值。</w:t>
      </w:r>
    </w:p>
    <w:p>
      <w:pPr>
        <w:pStyle w:val="60"/>
        <w:numPr>
          <w:ilvl w:val="0"/>
          <w:numId w:val="0"/>
        </w:numPr>
        <w:ind w:firstLine="840" w:firstLineChars="400"/>
        <w:rPr>
          <w:szCs w:val="21"/>
        </w:rPr>
      </w:pPr>
      <w:r>
        <w:rPr>
          <w:rFonts w:hint="eastAsia"/>
          <w:szCs w:val="21"/>
        </w:rPr>
        <w:t>检验方法：路面渗水仪，检查检测记录。</w:t>
      </w:r>
    </w:p>
    <w:p>
      <w:pPr>
        <w:pStyle w:val="25"/>
        <w:widowControl w:val="0"/>
        <w:autoSpaceDE/>
        <w:autoSpaceDN/>
        <w:ind w:firstLine="0" w:firstLineChars="0"/>
        <w:rPr>
          <w:rFonts w:ascii="黑体" w:hAnsi="黑体" w:eastAsia="黑体"/>
        </w:rPr>
      </w:pPr>
      <w:r>
        <w:rPr>
          <w:rFonts w:hint="eastAsia" w:ascii="黑体" w:hAnsi="黑体" w:eastAsia="黑体"/>
        </w:rPr>
        <w:t>Ⅱ 一般项目</w:t>
      </w:r>
    </w:p>
    <w:p>
      <w:pPr>
        <w:pStyle w:val="60"/>
        <w:numPr>
          <w:ilvl w:val="0"/>
          <w:numId w:val="0"/>
        </w:numPr>
        <w:rPr>
          <w:szCs w:val="21"/>
        </w:rPr>
      </w:pPr>
      <w:r>
        <w:rPr>
          <w:rFonts w:ascii="黑体" w:hAnsi="黑体" w:eastAsia="黑体" w:cs="黑体"/>
          <w:szCs w:val="21"/>
        </w:rPr>
        <w:t xml:space="preserve">8.3.3  </w:t>
      </w:r>
      <w:r>
        <w:rPr>
          <w:rFonts w:hint="eastAsia"/>
          <w:szCs w:val="21"/>
        </w:rPr>
        <w:t>施工过程中路面的加热温度、耙松深度、沥青混合料摊铺碾压温度、下承层温度应符合本标准</w:t>
      </w:r>
      <w:r>
        <w:rPr>
          <w:szCs w:val="21"/>
        </w:rPr>
        <w:t>7</w:t>
      </w:r>
      <w:r>
        <w:rPr>
          <w:rFonts w:hint="eastAsia"/>
          <w:szCs w:val="21"/>
        </w:rPr>
        <w:t>.4.1和</w:t>
      </w:r>
      <w:r>
        <w:rPr>
          <w:szCs w:val="21"/>
        </w:rPr>
        <w:t>7</w:t>
      </w:r>
      <w:r>
        <w:rPr>
          <w:rFonts w:hint="eastAsia"/>
          <w:szCs w:val="21"/>
        </w:rPr>
        <w:t>.4.2的规定。</w:t>
      </w:r>
    </w:p>
    <w:p>
      <w:pPr>
        <w:pStyle w:val="60"/>
        <w:numPr>
          <w:ilvl w:val="0"/>
          <w:numId w:val="0"/>
        </w:numPr>
        <w:ind w:firstLine="420" w:firstLineChars="200"/>
        <w:rPr>
          <w:szCs w:val="21"/>
        </w:rPr>
      </w:pPr>
      <w:r>
        <w:rPr>
          <w:rFonts w:hint="eastAsia"/>
          <w:szCs w:val="21"/>
        </w:rPr>
        <w:t>检查数量：全数检查。</w:t>
      </w:r>
    </w:p>
    <w:p>
      <w:pPr>
        <w:pStyle w:val="60"/>
        <w:numPr>
          <w:ilvl w:val="0"/>
          <w:numId w:val="0"/>
        </w:numPr>
        <w:ind w:firstLine="420" w:firstLineChars="200"/>
        <w:rPr>
          <w:szCs w:val="21"/>
        </w:rPr>
      </w:pPr>
      <w:r>
        <w:rPr>
          <w:rFonts w:hint="eastAsia"/>
          <w:szCs w:val="21"/>
        </w:rPr>
        <w:t>检验方法：检查每日施工质检记录。</w:t>
      </w:r>
    </w:p>
    <w:p>
      <w:pPr>
        <w:pStyle w:val="60"/>
        <w:numPr>
          <w:ilvl w:val="0"/>
          <w:numId w:val="0"/>
        </w:numPr>
        <w:rPr>
          <w:szCs w:val="21"/>
        </w:rPr>
      </w:pPr>
      <w:r>
        <w:rPr>
          <w:rFonts w:ascii="黑体" w:hAnsi="黑体" w:eastAsia="黑体" w:cs="黑体"/>
          <w:szCs w:val="21"/>
        </w:rPr>
        <w:t xml:space="preserve">8.3.4  </w:t>
      </w:r>
      <w:r>
        <w:rPr>
          <w:rFonts w:hint="eastAsia"/>
          <w:szCs w:val="21"/>
        </w:rPr>
        <w:t>再生剂、新沥青、外加剂、新沥青混合料的添加量应符合设计要求。</w:t>
      </w:r>
    </w:p>
    <w:p>
      <w:pPr>
        <w:pStyle w:val="60"/>
        <w:numPr>
          <w:ilvl w:val="0"/>
          <w:numId w:val="0"/>
        </w:numPr>
        <w:ind w:firstLine="420" w:firstLineChars="200"/>
        <w:rPr>
          <w:szCs w:val="21"/>
        </w:rPr>
      </w:pPr>
      <w:r>
        <w:rPr>
          <w:rFonts w:hint="eastAsia"/>
          <w:szCs w:val="21"/>
        </w:rPr>
        <w:t>检查数量：全数检查。</w:t>
      </w:r>
    </w:p>
    <w:p>
      <w:pPr>
        <w:pStyle w:val="60"/>
        <w:numPr>
          <w:ilvl w:val="0"/>
          <w:numId w:val="0"/>
        </w:numPr>
        <w:ind w:firstLine="420" w:firstLineChars="200"/>
        <w:rPr>
          <w:szCs w:val="21"/>
        </w:rPr>
      </w:pPr>
      <w:r>
        <w:rPr>
          <w:rFonts w:hint="eastAsia"/>
          <w:szCs w:val="21"/>
        </w:rPr>
        <w:t>检验方法：检查每日施工记录。</w:t>
      </w:r>
    </w:p>
    <w:p>
      <w:pPr>
        <w:pStyle w:val="60"/>
        <w:numPr>
          <w:ilvl w:val="0"/>
          <w:numId w:val="0"/>
        </w:numPr>
        <w:rPr>
          <w:szCs w:val="21"/>
        </w:rPr>
      </w:pPr>
      <w:r>
        <w:rPr>
          <w:rFonts w:ascii="黑体" w:hAnsi="黑体" w:eastAsia="黑体" w:cs="黑体"/>
          <w:szCs w:val="21"/>
        </w:rPr>
        <w:t xml:space="preserve">8.3.5  </w:t>
      </w:r>
      <w:r>
        <w:rPr>
          <w:rFonts w:hint="eastAsia"/>
          <w:szCs w:val="21"/>
        </w:rPr>
        <w:t>再生宽度应不小于设计宽度。</w:t>
      </w:r>
    </w:p>
    <w:p>
      <w:pPr>
        <w:pStyle w:val="60"/>
        <w:numPr>
          <w:ilvl w:val="0"/>
          <w:numId w:val="0"/>
        </w:numPr>
        <w:ind w:firstLine="420" w:firstLineChars="200"/>
        <w:rPr>
          <w:szCs w:val="21"/>
        </w:rPr>
      </w:pPr>
      <w:r>
        <w:rPr>
          <w:rFonts w:hint="eastAsia"/>
          <w:szCs w:val="21"/>
        </w:rPr>
        <w:t>检查数量：每20m测一处。</w:t>
      </w:r>
    </w:p>
    <w:p>
      <w:pPr>
        <w:pStyle w:val="60"/>
        <w:numPr>
          <w:ilvl w:val="0"/>
          <w:numId w:val="0"/>
        </w:numPr>
        <w:ind w:firstLine="420" w:firstLineChars="200"/>
        <w:rPr>
          <w:szCs w:val="21"/>
        </w:rPr>
      </w:pPr>
      <w:r>
        <w:rPr>
          <w:rFonts w:hint="eastAsia"/>
          <w:szCs w:val="21"/>
        </w:rPr>
        <w:t>检验方法：钢尺测量。</w:t>
      </w:r>
    </w:p>
    <w:p>
      <w:pPr>
        <w:pStyle w:val="60"/>
        <w:numPr>
          <w:ilvl w:val="0"/>
          <w:numId w:val="0"/>
        </w:numPr>
        <w:rPr>
          <w:szCs w:val="21"/>
        </w:rPr>
      </w:pPr>
      <w:r>
        <w:rPr>
          <w:rFonts w:ascii="黑体" w:hAnsi="黑体" w:eastAsia="黑体" w:cs="黑体"/>
          <w:szCs w:val="21"/>
        </w:rPr>
        <w:t xml:space="preserve">8.3.6  </w:t>
      </w:r>
      <w:r>
        <w:rPr>
          <w:rFonts w:hint="eastAsia"/>
          <w:szCs w:val="21"/>
        </w:rPr>
        <w:t>再生厚度应符合设计要求，允许偏差值+5~-5mm。</w:t>
      </w:r>
    </w:p>
    <w:p>
      <w:pPr>
        <w:pStyle w:val="60"/>
        <w:numPr>
          <w:ilvl w:val="0"/>
          <w:numId w:val="0"/>
        </w:numPr>
        <w:ind w:firstLine="420" w:firstLineChars="200"/>
        <w:rPr>
          <w:szCs w:val="21"/>
        </w:rPr>
      </w:pPr>
      <w:r>
        <w:rPr>
          <w:rFonts w:hint="eastAsia"/>
          <w:szCs w:val="21"/>
        </w:rPr>
        <w:t>检查数量：每1000m测一点。</w:t>
      </w:r>
    </w:p>
    <w:p>
      <w:pPr>
        <w:pStyle w:val="60"/>
        <w:numPr>
          <w:ilvl w:val="0"/>
          <w:numId w:val="0"/>
        </w:numPr>
        <w:ind w:firstLine="420" w:firstLineChars="200"/>
        <w:rPr>
          <w:szCs w:val="21"/>
        </w:rPr>
      </w:pPr>
      <w:r>
        <w:rPr>
          <w:rFonts w:hint="eastAsia"/>
          <w:szCs w:val="21"/>
        </w:rPr>
        <w:t>检验方法：取芯，钢尺测量。</w:t>
      </w:r>
    </w:p>
    <w:p>
      <w:pPr>
        <w:pStyle w:val="60"/>
        <w:numPr>
          <w:ilvl w:val="0"/>
          <w:numId w:val="0"/>
        </w:numPr>
        <w:rPr>
          <w:szCs w:val="21"/>
        </w:rPr>
      </w:pPr>
      <w:r>
        <w:rPr>
          <w:rFonts w:ascii="黑体" w:hAnsi="黑体" w:eastAsia="黑体" w:cs="黑体"/>
          <w:szCs w:val="21"/>
        </w:rPr>
        <w:t xml:space="preserve">8.3.6  </w:t>
      </w:r>
      <w:r>
        <w:rPr>
          <w:rFonts w:hint="eastAsia"/>
          <w:szCs w:val="21"/>
        </w:rPr>
        <w:t>表面应平整、密实，接缝紧密，不应有明显轮迹、推挤、裂缝、脱落、烂边、油斑、离析等缺陷。</w:t>
      </w:r>
    </w:p>
    <w:p>
      <w:pPr>
        <w:pStyle w:val="60"/>
        <w:numPr>
          <w:ilvl w:val="0"/>
          <w:numId w:val="0"/>
        </w:numPr>
        <w:ind w:firstLine="420" w:firstLineChars="200"/>
        <w:rPr>
          <w:szCs w:val="21"/>
        </w:rPr>
      </w:pPr>
      <w:r>
        <w:rPr>
          <w:rFonts w:hint="eastAsia"/>
          <w:szCs w:val="21"/>
        </w:rPr>
        <w:t>检查数量：全数检查。</w:t>
      </w:r>
    </w:p>
    <w:p>
      <w:pPr>
        <w:pStyle w:val="60"/>
        <w:numPr>
          <w:ilvl w:val="0"/>
          <w:numId w:val="0"/>
        </w:numPr>
        <w:ind w:firstLine="420" w:firstLineChars="200"/>
        <w:rPr>
          <w:szCs w:val="21"/>
        </w:rPr>
      </w:pPr>
      <w:r>
        <w:rPr>
          <w:rFonts w:hint="eastAsia"/>
          <w:szCs w:val="21"/>
        </w:rPr>
        <w:t>检验方法：观察检查。</w:t>
      </w:r>
    </w:p>
    <w:p>
      <w:pPr>
        <w:pStyle w:val="60"/>
        <w:numPr>
          <w:ilvl w:val="0"/>
          <w:numId w:val="0"/>
        </w:numPr>
        <w:ind w:firstLine="420" w:firstLineChars="200"/>
        <w:rPr>
          <w:szCs w:val="21"/>
        </w:rPr>
      </w:pPr>
    </w:p>
    <w:p>
      <w:pPr>
        <w:pStyle w:val="54"/>
        <w:numPr>
          <w:ilvl w:val="0"/>
          <w:numId w:val="0"/>
        </w:numPr>
        <w:spacing w:before="156" w:after="156"/>
        <w:outlineLvl w:val="1"/>
      </w:pPr>
      <w:r>
        <w:rPr>
          <w:rFonts w:hint="eastAsia"/>
        </w:rPr>
        <w:t>8</w:t>
      </w:r>
      <w:r>
        <w:t xml:space="preserve">.4  </w:t>
      </w:r>
      <w:r>
        <w:rPr>
          <w:rFonts w:hint="eastAsia"/>
        </w:rPr>
        <w:t>附属设施</w:t>
      </w:r>
    </w:p>
    <w:p>
      <w:pPr>
        <w:pStyle w:val="25"/>
        <w:widowControl w:val="0"/>
        <w:autoSpaceDE/>
        <w:autoSpaceDN/>
        <w:ind w:firstLine="0" w:firstLineChars="0"/>
        <w:rPr>
          <w:rFonts w:ascii="黑体" w:hAnsi="黑体" w:eastAsia="黑体"/>
        </w:rPr>
      </w:pPr>
      <w:r>
        <w:rPr>
          <w:rFonts w:hint="eastAsia" w:ascii="黑体" w:hAnsi="黑体" w:eastAsia="黑体"/>
        </w:rPr>
        <w:t>Ⅰ 主控项目</w:t>
      </w:r>
    </w:p>
    <w:p>
      <w:pPr>
        <w:pStyle w:val="60"/>
        <w:numPr>
          <w:ilvl w:val="0"/>
          <w:numId w:val="0"/>
        </w:numPr>
        <w:rPr>
          <w:szCs w:val="21"/>
        </w:rPr>
      </w:pPr>
      <w:r>
        <w:rPr>
          <w:rFonts w:hint="eastAsia" w:ascii="黑体" w:hAnsi="黑体" w:eastAsia="黑体" w:cs="黑体"/>
          <w:szCs w:val="21"/>
        </w:rPr>
        <w:t>8</w:t>
      </w:r>
      <w:r>
        <w:rPr>
          <w:rFonts w:ascii="黑体" w:hAnsi="黑体" w:eastAsia="黑体" w:cs="黑体"/>
          <w:szCs w:val="21"/>
        </w:rPr>
        <w:t>.</w:t>
      </w:r>
      <w:r>
        <w:rPr>
          <w:rFonts w:hint="eastAsia" w:ascii="黑体" w:hAnsi="黑体" w:eastAsia="黑体" w:cs="黑体"/>
          <w:szCs w:val="21"/>
        </w:rPr>
        <w:t>4</w:t>
      </w:r>
      <w:r>
        <w:rPr>
          <w:rFonts w:ascii="黑体" w:hAnsi="黑体" w:eastAsia="黑体" w:cs="黑体"/>
          <w:szCs w:val="21"/>
        </w:rPr>
        <w:t xml:space="preserve">.1  </w:t>
      </w:r>
      <w:r>
        <w:rPr>
          <w:rFonts w:hint="eastAsia"/>
          <w:szCs w:val="21"/>
        </w:rPr>
        <w:t>完工后，路面标志标线质量应符合《城市道路交通标志和标线设置规范》GB51038的规定和设计要求。</w:t>
      </w:r>
    </w:p>
    <w:p>
      <w:pPr>
        <w:pStyle w:val="60"/>
        <w:numPr>
          <w:ilvl w:val="0"/>
          <w:numId w:val="0"/>
        </w:numPr>
        <w:ind w:firstLine="420" w:firstLineChars="200"/>
        <w:rPr>
          <w:szCs w:val="21"/>
        </w:rPr>
      </w:pPr>
      <w:r>
        <w:rPr>
          <w:rFonts w:hint="eastAsia"/>
          <w:szCs w:val="21"/>
        </w:rPr>
        <w:t>检查数量：全数检查。</w:t>
      </w:r>
    </w:p>
    <w:p>
      <w:pPr>
        <w:pStyle w:val="60"/>
        <w:numPr>
          <w:ilvl w:val="0"/>
          <w:numId w:val="0"/>
        </w:numPr>
        <w:ind w:firstLine="420" w:firstLineChars="200"/>
        <w:rPr>
          <w:szCs w:val="21"/>
        </w:rPr>
      </w:pPr>
      <w:r>
        <w:rPr>
          <w:rFonts w:hint="eastAsia"/>
          <w:szCs w:val="21"/>
        </w:rPr>
        <w:t>检验方法：观察检查。</w:t>
      </w:r>
    </w:p>
    <w:p>
      <w:pPr>
        <w:pStyle w:val="25"/>
        <w:widowControl w:val="0"/>
        <w:autoSpaceDE/>
        <w:autoSpaceDN/>
        <w:ind w:firstLine="0" w:firstLineChars="0"/>
        <w:rPr>
          <w:rFonts w:ascii="黑体" w:hAnsi="黑体" w:eastAsia="黑体"/>
        </w:rPr>
      </w:pPr>
      <w:r>
        <w:rPr>
          <w:rFonts w:hint="eastAsia" w:ascii="黑体" w:hAnsi="黑体" w:eastAsia="黑体"/>
        </w:rPr>
        <w:t>Ⅱ</w:t>
      </w:r>
      <w:r>
        <w:rPr>
          <w:rFonts w:ascii="黑体" w:hAnsi="黑体" w:eastAsia="黑体"/>
        </w:rPr>
        <w:t xml:space="preserve"> </w:t>
      </w:r>
      <w:r>
        <w:rPr>
          <w:rFonts w:hint="eastAsia" w:ascii="黑体" w:hAnsi="黑体" w:eastAsia="黑体"/>
        </w:rPr>
        <w:t>一般项目</w:t>
      </w:r>
    </w:p>
    <w:p>
      <w:pPr>
        <w:pStyle w:val="60"/>
        <w:numPr>
          <w:ilvl w:val="0"/>
          <w:numId w:val="0"/>
        </w:numPr>
        <w:rPr>
          <w:szCs w:val="21"/>
        </w:rPr>
      </w:pPr>
      <w:r>
        <w:rPr>
          <w:rFonts w:ascii="黑体" w:hAnsi="黑体" w:eastAsia="黑体" w:cs="黑体"/>
          <w:szCs w:val="21"/>
        </w:rPr>
        <w:t>8.</w:t>
      </w:r>
      <w:r>
        <w:rPr>
          <w:rFonts w:hint="eastAsia" w:ascii="黑体" w:hAnsi="黑体" w:eastAsia="黑体" w:cs="黑体"/>
          <w:szCs w:val="21"/>
        </w:rPr>
        <w:t>4</w:t>
      </w:r>
      <w:r>
        <w:rPr>
          <w:rFonts w:ascii="黑体" w:hAnsi="黑体" w:eastAsia="黑体" w:cs="黑体"/>
          <w:szCs w:val="21"/>
        </w:rPr>
        <w:t>.</w:t>
      </w:r>
      <w:r>
        <w:rPr>
          <w:rFonts w:hint="eastAsia" w:ascii="黑体" w:hAnsi="黑体" w:eastAsia="黑体" w:cs="黑体"/>
          <w:szCs w:val="21"/>
        </w:rPr>
        <w:t>2</w:t>
      </w:r>
      <w:r>
        <w:rPr>
          <w:rFonts w:ascii="黑体" w:hAnsi="黑体" w:eastAsia="黑体" w:cs="黑体"/>
          <w:szCs w:val="21"/>
        </w:rPr>
        <w:t xml:space="preserve">  </w:t>
      </w:r>
      <w:r>
        <w:rPr>
          <w:rFonts w:hint="eastAsia"/>
          <w:szCs w:val="21"/>
        </w:rPr>
        <w:t>完工后，路面路缘石、隔离栏、绿化、雨水篦子等附属设施应全部恢复，并符合设计要求。</w:t>
      </w:r>
    </w:p>
    <w:p>
      <w:pPr>
        <w:pStyle w:val="60"/>
        <w:numPr>
          <w:ilvl w:val="0"/>
          <w:numId w:val="0"/>
        </w:numPr>
        <w:ind w:firstLine="420" w:firstLineChars="200"/>
        <w:rPr>
          <w:szCs w:val="21"/>
        </w:rPr>
      </w:pPr>
      <w:r>
        <w:rPr>
          <w:rFonts w:hint="eastAsia"/>
          <w:szCs w:val="21"/>
        </w:rPr>
        <w:t>检查数量：全数检查。</w:t>
      </w:r>
    </w:p>
    <w:p>
      <w:pPr>
        <w:pStyle w:val="60"/>
        <w:numPr>
          <w:ilvl w:val="0"/>
          <w:numId w:val="0"/>
        </w:numPr>
        <w:ind w:firstLine="420" w:firstLineChars="200"/>
        <w:rPr>
          <w:szCs w:val="21"/>
        </w:rPr>
      </w:pPr>
      <w:r>
        <w:rPr>
          <w:rFonts w:hint="eastAsia"/>
          <w:szCs w:val="21"/>
        </w:rPr>
        <w:t>检验方法：观察检查。</w:t>
      </w:r>
    </w:p>
    <w:p>
      <w:pPr>
        <w:pStyle w:val="54"/>
        <w:numPr>
          <w:ilvl w:val="0"/>
          <w:numId w:val="0"/>
        </w:numPr>
        <w:spacing w:before="156" w:after="156"/>
        <w:outlineLvl w:val="1"/>
      </w:pPr>
      <w:r>
        <w:rPr>
          <w:rFonts w:hint="eastAsia"/>
        </w:rPr>
        <w:t>8</w:t>
      </w:r>
      <w:r>
        <w:t>.</w:t>
      </w:r>
      <w:r>
        <w:rPr>
          <w:rFonts w:hint="eastAsia"/>
        </w:rPr>
        <w:t>5</w:t>
      </w:r>
      <w:r>
        <w:t xml:space="preserve">  </w:t>
      </w:r>
      <w:r>
        <w:rPr>
          <w:rFonts w:hint="eastAsia"/>
        </w:rPr>
        <w:t>沥青路面就地热再生子分部工程</w:t>
      </w:r>
    </w:p>
    <w:p>
      <w:pPr>
        <w:pStyle w:val="60"/>
        <w:numPr>
          <w:ilvl w:val="0"/>
          <w:numId w:val="0"/>
        </w:numPr>
        <w:rPr>
          <w:szCs w:val="21"/>
        </w:rPr>
      </w:pPr>
      <w:r>
        <w:rPr>
          <w:rFonts w:hint="eastAsia" w:ascii="黑体" w:hAnsi="黑体" w:eastAsia="黑体" w:cs="黑体"/>
          <w:szCs w:val="21"/>
        </w:rPr>
        <w:t>8</w:t>
      </w:r>
      <w:r>
        <w:rPr>
          <w:rFonts w:ascii="黑体" w:hAnsi="黑体" w:eastAsia="黑体" w:cs="黑体"/>
          <w:szCs w:val="21"/>
        </w:rPr>
        <w:t>.</w:t>
      </w:r>
      <w:r>
        <w:rPr>
          <w:rFonts w:hint="eastAsia" w:ascii="黑体" w:hAnsi="黑体" w:eastAsia="黑体" w:cs="黑体"/>
          <w:szCs w:val="21"/>
        </w:rPr>
        <w:t>5</w:t>
      </w:r>
      <w:r>
        <w:rPr>
          <w:rFonts w:ascii="黑体" w:hAnsi="黑体" w:eastAsia="黑体" w:cs="黑体"/>
          <w:szCs w:val="21"/>
        </w:rPr>
        <w:t xml:space="preserve">.1  </w:t>
      </w:r>
      <w:r>
        <w:rPr>
          <w:rFonts w:hint="eastAsia"/>
          <w:szCs w:val="21"/>
        </w:rPr>
        <w:t>沥青路面就地热再生工程施工质量应按下列要求进行验收：</w:t>
      </w:r>
    </w:p>
    <w:p>
      <w:pPr>
        <w:pStyle w:val="60"/>
        <w:numPr>
          <w:ilvl w:val="0"/>
          <w:numId w:val="43"/>
        </w:numPr>
        <w:ind w:left="840" w:hanging="420"/>
        <w:rPr>
          <w:szCs w:val="21"/>
        </w:rPr>
      </w:pPr>
      <w:r>
        <w:rPr>
          <w:rFonts w:hint="eastAsia"/>
          <w:szCs w:val="21"/>
        </w:rPr>
        <w:t>工程施工质量应符合本规范、相关专业验收规范的规定和设计文件的要求。</w:t>
      </w:r>
    </w:p>
    <w:p>
      <w:pPr>
        <w:pStyle w:val="60"/>
        <w:numPr>
          <w:ilvl w:val="0"/>
          <w:numId w:val="43"/>
        </w:numPr>
        <w:ind w:left="840" w:hanging="420"/>
        <w:rPr>
          <w:szCs w:val="21"/>
        </w:rPr>
      </w:pPr>
      <w:r>
        <w:rPr>
          <w:rFonts w:hint="eastAsia"/>
          <w:szCs w:val="21"/>
        </w:rPr>
        <w:t>隐蔽工程在隐蔽前，应由专业监理工程师负责验收，确认合格，并形成隐蔽验收文件（参见本标准附录B）。检验批应由专业监理工程师负责验收，并形成验收文件（参见本标准附录B）。</w:t>
      </w:r>
    </w:p>
    <w:p>
      <w:pPr>
        <w:pStyle w:val="60"/>
        <w:numPr>
          <w:ilvl w:val="0"/>
          <w:numId w:val="43"/>
        </w:numPr>
        <w:ind w:left="840" w:hanging="420"/>
        <w:rPr>
          <w:szCs w:val="21"/>
        </w:rPr>
      </w:pPr>
      <w:r>
        <w:rPr>
          <w:rFonts w:hint="eastAsia"/>
          <w:szCs w:val="21"/>
        </w:rPr>
        <w:t>分项工程应由专业监理工程师组织施工单位项目专业质量（技术）负责人等进行验收，并形成验收记录（参见本标准附录B）。子分部工程应由总监理工程师组织施工单位项目负责人和技术质量负责人等进行验收，并形成验收记录（参见本标准附录B）。</w:t>
      </w:r>
    </w:p>
    <w:p>
      <w:pPr>
        <w:pStyle w:val="60"/>
        <w:numPr>
          <w:ilvl w:val="0"/>
          <w:numId w:val="43"/>
        </w:numPr>
        <w:ind w:left="840" w:hanging="420"/>
        <w:rPr>
          <w:szCs w:val="21"/>
        </w:rPr>
      </w:pPr>
      <w:r>
        <w:rPr>
          <w:rFonts w:hint="eastAsia"/>
          <w:szCs w:val="21"/>
        </w:rPr>
        <w:t>工程质量的验收均应在施工单位自行检查评定合格的基础上进行。</w:t>
      </w:r>
    </w:p>
    <w:p>
      <w:pPr>
        <w:pStyle w:val="60"/>
        <w:numPr>
          <w:ilvl w:val="0"/>
          <w:numId w:val="43"/>
        </w:numPr>
        <w:ind w:left="840" w:hanging="420"/>
        <w:rPr>
          <w:szCs w:val="21"/>
        </w:rPr>
      </w:pPr>
      <w:r>
        <w:rPr>
          <w:rFonts w:hint="eastAsia"/>
          <w:szCs w:val="21"/>
        </w:rPr>
        <w:t>监理工程师应按规定对涉及结构安全的试块、试件和现场检测项目，进行平行检测、见证取样检测并确认合格。</w:t>
      </w:r>
    </w:p>
    <w:p>
      <w:pPr>
        <w:pStyle w:val="60"/>
        <w:numPr>
          <w:ilvl w:val="0"/>
          <w:numId w:val="43"/>
        </w:numPr>
        <w:ind w:left="840" w:hanging="420"/>
        <w:rPr>
          <w:szCs w:val="21"/>
        </w:rPr>
      </w:pPr>
      <w:r>
        <w:rPr>
          <w:rFonts w:hint="eastAsia"/>
          <w:szCs w:val="21"/>
        </w:rPr>
        <w:t>工程的外观质量应由验收人员通过现场检查共同确认。</w:t>
      </w:r>
    </w:p>
    <w:p>
      <w:pPr>
        <w:pStyle w:val="60"/>
        <w:numPr>
          <w:ilvl w:val="0"/>
          <w:numId w:val="0"/>
        </w:numPr>
        <w:rPr>
          <w:szCs w:val="21"/>
        </w:rPr>
      </w:pPr>
      <w:r>
        <w:rPr>
          <w:rFonts w:hint="eastAsia" w:ascii="黑体" w:hAnsi="黑体" w:eastAsia="黑体" w:cs="黑体"/>
          <w:szCs w:val="21"/>
        </w:rPr>
        <w:t>8</w:t>
      </w:r>
      <w:r>
        <w:rPr>
          <w:rFonts w:ascii="黑体" w:hAnsi="黑体" w:eastAsia="黑体" w:cs="黑体"/>
          <w:szCs w:val="21"/>
        </w:rPr>
        <w:t>.</w:t>
      </w:r>
      <w:r>
        <w:rPr>
          <w:rFonts w:hint="eastAsia" w:ascii="黑体" w:hAnsi="黑体" w:eastAsia="黑体" w:cs="黑体"/>
          <w:szCs w:val="21"/>
        </w:rPr>
        <w:t>5</w:t>
      </w:r>
      <w:r>
        <w:rPr>
          <w:rFonts w:ascii="黑体" w:hAnsi="黑体" w:eastAsia="黑体" w:cs="黑体"/>
          <w:szCs w:val="21"/>
        </w:rPr>
        <w:t xml:space="preserve">.2   </w:t>
      </w:r>
      <w:r>
        <w:rPr>
          <w:rFonts w:hint="eastAsia"/>
          <w:szCs w:val="21"/>
        </w:rPr>
        <w:t>检验批质量验收合格应符合下列规定：</w:t>
      </w:r>
    </w:p>
    <w:p>
      <w:pPr>
        <w:pStyle w:val="60"/>
        <w:numPr>
          <w:ilvl w:val="0"/>
          <w:numId w:val="44"/>
        </w:numPr>
        <w:ind w:left="840" w:hanging="420"/>
        <w:rPr>
          <w:szCs w:val="21"/>
        </w:rPr>
      </w:pPr>
      <w:r>
        <w:rPr>
          <w:rFonts w:hint="eastAsia"/>
          <w:szCs w:val="21"/>
        </w:rPr>
        <w:t>检验批按主控项目和一般项目验收。</w:t>
      </w:r>
    </w:p>
    <w:p>
      <w:pPr>
        <w:pStyle w:val="60"/>
        <w:numPr>
          <w:ilvl w:val="0"/>
          <w:numId w:val="44"/>
        </w:numPr>
        <w:ind w:left="840" w:hanging="420"/>
        <w:rPr>
          <w:szCs w:val="21"/>
        </w:rPr>
      </w:pPr>
      <w:r>
        <w:rPr>
          <w:rFonts w:hint="eastAsia"/>
          <w:szCs w:val="21"/>
        </w:rPr>
        <w:t>主控项目的质量应经抽样检验合格。</w:t>
      </w:r>
    </w:p>
    <w:p>
      <w:pPr>
        <w:pStyle w:val="60"/>
        <w:numPr>
          <w:ilvl w:val="0"/>
          <w:numId w:val="44"/>
        </w:numPr>
        <w:ind w:left="840" w:hanging="420"/>
        <w:rPr>
          <w:szCs w:val="21"/>
        </w:rPr>
      </w:pPr>
      <w:r>
        <w:rPr>
          <w:rFonts w:hint="eastAsia"/>
          <w:szCs w:val="21"/>
        </w:rPr>
        <w:t>一般项目的质量应经抽样检验合格；当采用计数检验时，除有专门要求外，一般项目的合格点率应达到80%及以上，且不合格点的最大偏差值不得大于规定允许偏差值的1.5倍。</w:t>
      </w:r>
    </w:p>
    <w:p>
      <w:pPr>
        <w:pStyle w:val="60"/>
        <w:numPr>
          <w:ilvl w:val="0"/>
          <w:numId w:val="44"/>
        </w:numPr>
        <w:ind w:left="840" w:hanging="420"/>
        <w:rPr>
          <w:szCs w:val="21"/>
        </w:rPr>
      </w:pPr>
      <w:r>
        <w:rPr>
          <w:rFonts w:hint="eastAsia"/>
          <w:szCs w:val="21"/>
        </w:rPr>
        <w:t>具有完整的质量检查记录。</w:t>
      </w:r>
    </w:p>
    <w:p>
      <w:pPr>
        <w:pStyle w:val="60"/>
        <w:numPr>
          <w:ilvl w:val="0"/>
          <w:numId w:val="0"/>
        </w:numPr>
        <w:rPr>
          <w:szCs w:val="21"/>
        </w:rPr>
      </w:pPr>
      <w:r>
        <w:rPr>
          <w:rFonts w:hint="eastAsia" w:ascii="黑体" w:hAnsi="黑体" w:eastAsia="黑体" w:cs="黑体"/>
          <w:szCs w:val="21"/>
        </w:rPr>
        <w:t>8</w:t>
      </w:r>
      <w:r>
        <w:rPr>
          <w:rFonts w:ascii="黑体" w:hAnsi="黑体" w:eastAsia="黑体" w:cs="黑体"/>
          <w:szCs w:val="21"/>
        </w:rPr>
        <w:t>.</w:t>
      </w:r>
      <w:r>
        <w:rPr>
          <w:rFonts w:hint="eastAsia" w:ascii="黑体" w:hAnsi="黑体" w:eastAsia="黑体" w:cs="黑体"/>
          <w:szCs w:val="21"/>
        </w:rPr>
        <w:t>5</w:t>
      </w:r>
      <w:r>
        <w:rPr>
          <w:rFonts w:ascii="黑体" w:hAnsi="黑体" w:eastAsia="黑体" w:cs="黑体"/>
          <w:szCs w:val="21"/>
        </w:rPr>
        <w:t xml:space="preserve">.3  </w:t>
      </w:r>
      <w:r>
        <w:rPr>
          <w:rFonts w:hint="eastAsia"/>
          <w:szCs w:val="21"/>
        </w:rPr>
        <w:t>分项工程质量验收合格应符合下列规定：</w:t>
      </w:r>
    </w:p>
    <w:p>
      <w:pPr>
        <w:pStyle w:val="60"/>
        <w:numPr>
          <w:ilvl w:val="0"/>
          <w:numId w:val="45"/>
        </w:numPr>
        <w:ind w:left="840" w:hanging="420"/>
        <w:rPr>
          <w:szCs w:val="21"/>
        </w:rPr>
      </w:pPr>
      <w:r>
        <w:rPr>
          <w:rFonts w:hint="eastAsia"/>
          <w:szCs w:val="21"/>
        </w:rPr>
        <w:t>分项工程所含检验批均应验收合格。</w:t>
      </w:r>
    </w:p>
    <w:p>
      <w:pPr>
        <w:pStyle w:val="60"/>
        <w:numPr>
          <w:ilvl w:val="0"/>
          <w:numId w:val="45"/>
        </w:numPr>
        <w:ind w:left="840" w:hanging="420"/>
        <w:rPr>
          <w:szCs w:val="21"/>
        </w:rPr>
      </w:pPr>
      <w:r>
        <w:rPr>
          <w:rFonts w:hint="eastAsia"/>
          <w:szCs w:val="21"/>
        </w:rPr>
        <w:t>分项工程所含检验批的质量验收记录应完整。</w:t>
      </w:r>
    </w:p>
    <w:p>
      <w:pPr>
        <w:pStyle w:val="60"/>
        <w:numPr>
          <w:ilvl w:val="0"/>
          <w:numId w:val="0"/>
        </w:numPr>
        <w:rPr>
          <w:szCs w:val="21"/>
        </w:rPr>
      </w:pPr>
      <w:r>
        <w:rPr>
          <w:rFonts w:hint="eastAsia" w:ascii="黑体" w:hAnsi="黑体" w:eastAsia="黑体" w:cs="黑体"/>
          <w:szCs w:val="21"/>
        </w:rPr>
        <w:t>8</w:t>
      </w:r>
      <w:r>
        <w:rPr>
          <w:rFonts w:ascii="黑体" w:hAnsi="黑体" w:eastAsia="黑体" w:cs="黑体"/>
          <w:szCs w:val="21"/>
        </w:rPr>
        <w:t>.</w:t>
      </w:r>
      <w:r>
        <w:rPr>
          <w:rFonts w:hint="eastAsia" w:ascii="黑体" w:hAnsi="黑体" w:eastAsia="黑体" w:cs="黑体"/>
          <w:szCs w:val="21"/>
        </w:rPr>
        <w:t>5</w:t>
      </w:r>
      <w:r>
        <w:rPr>
          <w:rFonts w:ascii="黑体" w:hAnsi="黑体" w:eastAsia="黑体" w:cs="黑体"/>
          <w:szCs w:val="21"/>
        </w:rPr>
        <w:t xml:space="preserve">.4  </w:t>
      </w:r>
      <w:r>
        <w:rPr>
          <w:rFonts w:hint="eastAsia"/>
          <w:szCs w:val="21"/>
        </w:rPr>
        <w:t>子分部工程质量验收合格应符合下列规定：</w:t>
      </w:r>
    </w:p>
    <w:p>
      <w:pPr>
        <w:pStyle w:val="60"/>
        <w:numPr>
          <w:ilvl w:val="0"/>
          <w:numId w:val="46"/>
        </w:numPr>
        <w:ind w:left="840" w:hanging="420"/>
        <w:rPr>
          <w:szCs w:val="21"/>
        </w:rPr>
      </w:pPr>
      <w:r>
        <w:rPr>
          <w:rFonts w:hint="eastAsia"/>
          <w:szCs w:val="21"/>
        </w:rPr>
        <w:t>子分部工程所含分项工程的质量均应验收合格。</w:t>
      </w:r>
    </w:p>
    <w:p>
      <w:pPr>
        <w:pStyle w:val="60"/>
        <w:numPr>
          <w:ilvl w:val="0"/>
          <w:numId w:val="46"/>
        </w:numPr>
        <w:ind w:left="840" w:hanging="420"/>
        <w:rPr>
          <w:szCs w:val="21"/>
        </w:rPr>
      </w:pPr>
      <w:r>
        <w:rPr>
          <w:rFonts w:hint="eastAsia"/>
          <w:szCs w:val="21"/>
        </w:rPr>
        <w:t>质量控制资料应完整。</w:t>
      </w:r>
    </w:p>
    <w:p>
      <w:pPr>
        <w:pStyle w:val="60"/>
        <w:numPr>
          <w:ilvl w:val="0"/>
          <w:numId w:val="47"/>
        </w:numPr>
        <w:rPr>
          <w:szCs w:val="21"/>
        </w:rPr>
      </w:pPr>
      <w:r>
        <w:rPr>
          <w:rFonts w:hint="eastAsia"/>
          <w:szCs w:val="21"/>
        </w:rPr>
        <w:t>竣工图和设计变更证明文件。</w:t>
      </w:r>
    </w:p>
    <w:p>
      <w:pPr>
        <w:pStyle w:val="60"/>
        <w:numPr>
          <w:ilvl w:val="0"/>
          <w:numId w:val="47"/>
        </w:numPr>
        <w:rPr>
          <w:szCs w:val="21"/>
        </w:rPr>
      </w:pPr>
      <w:r>
        <w:rPr>
          <w:rFonts w:hint="eastAsia"/>
          <w:szCs w:val="21"/>
        </w:rPr>
        <w:t>工程采用的主要材料、设备、半成品、成品、构配件、器具的出厂合格证明和检验资料。</w:t>
      </w:r>
    </w:p>
    <w:p>
      <w:pPr>
        <w:pStyle w:val="60"/>
        <w:numPr>
          <w:ilvl w:val="0"/>
          <w:numId w:val="47"/>
        </w:numPr>
        <w:rPr>
          <w:szCs w:val="21"/>
        </w:rPr>
      </w:pPr>
      <w:r>
        <w:rPr>
          <w:rFonts w:hint="eastAsia"/>
          <w:szCs w:val="21"/>
        </w:rPr>
        <w:t>隐蔽工程验收记录。</w:t>
      </w:r>
    </w:p>
    <w:p>
      <w:pPr>
        <w:pStyle w:val="60"/>
        <w:numPr>
          <w:ilvl w:val="0"/>
          <w:numId w:val="0"/>
        </w:numPr>
        <w:ind w:firstLine="420" w:firstLineChars="200"/>
        <w:rPr>
          <w:szCs w:val="21"/>
        </w:rPr>
      </w:pPr>
      <w:r>
        <w:rPr>
          <w:rFonts w:hint="eastAsia"/>
          <w:szCs w:val="21"/>
        </w:rPr>
        <w:t>4）施工过程中的质量控制记录和检验资料。</w:t>
      </w:r>
    </w:p>
    <w:p>
      <w:pPr>
        <w:pStyle w:val="60"/>
        <w:numPr>
          <w:ilvl w:val="0"/>
          <w:numId w:val="46"/>
        </w:numPr>
        <w:ind w:left="840" w:hanging="420"/>
        <w:rPr>
          <w:szCs w:val="21"/>
        </w:rPr>
      </w:pPr>
      <w:r>
        <w:rPr>
          <w:rFonts w:hint="eastAsia"/>
          <w:szCs w:val="21"/>
        </w:rPr>
        <w:t>外观质量验收应符合要求。</w:t>
      </w:r>
    </w:p>
    <w:p>
      <w:pPr>
        <w:pStyle w:val="25"/>
        <w:widowControl w:val="0"/>
        <w:autoSpaceDE/>
        <w:autoSpaceDN/>
        <w:ind w:firstLine="0" w:firstLineChars="0"/>
      </w:pPr>
    </w:p>
    <w:p>
      <w:pPr>
        <w:pStyle w:val="25"/>
        <w:widowControl w:val="0"/>
        <w:autoSpaceDE/>
        <w:autoSpaceDN/>
        <w:ind w:firstLine="0" w:firstLineChars="0"/>
      </w:pPr>
    </w:p>
    <w:p>
      <w:pPr>
        <w:pStyle w:val="25"/>
        <w:widowControl w:val="0"/>
        <w:autoSpaceDE/>
        <w:autoSpaceDN/>
        <w:ind w:firstLine="0" w:firstLineChars="0"/>
        <w:sectPr>
          <w:pgSz w:w="11906" w:h="16838"/>
          <w:pgMar w:top="567" w:right="1134" w:bottom="1134" w:left="1417" w:header="1418" w:footer="1134" w:gutter="0"/>
          <w:pgNumType w:start="1"/>
          <w:cols w:space="425" w:num="1"/>
          <w:formProt w:val="0"/>
          <w:docGrid w:type="lines" w:linePitch="312" w:charSpace="0"/>
        </w:sectPr>
      </w:pPr>
    </w:p>
    <w:p>
      <w:pPr>
        <w:pStyle w:val="96"/>
      </w:pPr>
      <w:r>
        <w:rPr>
          <w:rFonts w:hint="eastAsia"/>
        </w:rPr>
        <w:t>附录</w:t>
      </w:r>
      <w:r>
        <w:t>A</w:t>
      </w:r>
      <w:r>
        <w:br w:type="textWrapping"/>
      </w:r>
      <w:r>
        <w:rPr>
          <w:rFonts w:hint="eastAsia"/>
        </w:rPr>
        <w:t>（资料性附录）</w:t>
      </w:r>
      <w:r>
        <w:br w:type="textWrapping"/>
      </w:r>
      <w:r>
        <w:rPr>
          <w:rFonts w:hint="eastAsia"/>
        </w:rPr>
        <w:t>就地热再生混合料配合比设计</w:t>
      </w:r>
    </w:p>
    <w:p>
      <w:pPr>
        <w:pStyle w:val="114"/>
        <w:wordWrap/>
        <w:spacing w:before="312" w:after="312"/>
        <w:outlineLvl w:val="9"/>
        <w:rPr>
          <w:rFonts w:ascii="宋体" w:eastAsia="宋体"/>
          <w:color w:val="000000"/>
          <w:kern w:val="0"/>
        </w:rPr>
      </w:pPr>
      <w:r>
        <w:rPr>
          <w:rFonts w:hint="eastAsia" w:hAnsi="黑体"/>
          <w:color w:val="000000"/>
          <w:kern w:val="0"/>
        </w:rPr>
        <w:t>A</w:t>
      </w:r>
      <w:r>
        <w:rPr>
          <w:rFonts w:hAnsi="黑体"/>
          <w:color w:val="000000"/>
          <w:kern w:val="0"/>
        </w:rPr>
        <w:t xml:space="preserve">.1  </w:t>
      </w:r>
      <w:r>
        <w:rPr>
          <w:rFonts w:ascii="宋体" w:eastAsia="宋体"/>
          <w:color w:val="000000"/>
          <w:kern w:val="0"/>
        </w:rPr>
        <w:t>一般规定</w:t>
      </w:r>
    </w:p>
    <w:p>
      <w:pPr>
        <w:pStyle w:val="60"/>
        <w:numPr>
          <w:ilvl w:val="0"/>
          <w:numId w:val="0"/>
        </w:numPr>
        <w:rPr>
          <w:szCs w:val="21"/>
        </w:rPr>
      </w:pPr>
      <w:r>
        <w:rPr>
          <w:rFonts w:ascii="黑体" w:hAnsi="黑体" w:eastAsia="黑体" w:cs="黑体"/>
          <w:szCs w:val="21"/>
        </w:rPr>
        <w:t xml:space="preserve">A.1.1  </w:t>
      </w:r>
      <w:r>
        <w:rPr>
          <w:szCs w:val="21"/>
        </w:rPr>
        <w:t>本方法适用于就地热再生沥青混合料的配合比设计。</w:t>
      </w:r>
    </w:p>
    <w:p>
      <w:pPr>
        <w:pStyle w:val="60"/>
        <w:numPr>
          <w:ilvl w:val="0"/>
          <w:numId w:val="0"/>
        </w:numPr>
        <w:rPr>
          <w:szCs w:val="21"/>
        </w:rPr>
      </w:pPr>
      <w:r>
        <w:rPr>
          <w:rFonts w:ascii="黑体" w:hAnsi="黑体" w:eastAsia="黑体" w:cs="黑体"/>
          <w:szCs w:val="21"/>
        </w:rPr>
        <w:t xml:space="preserve">A.1.2  </w:t>
      </w:r>
      <w:r>
        <w:rPr>
          <w:szCs w:val="21"/>
        </w:rPr>
        <w:t>就地热再生沥青混合料配合比设计应通过试验段进行检验。</w:t>
      </w:r>
    </w:p>
    <w:p>
      <w:pPr>
        <w:pStyle w:val="60"/>
        <w:numPr>
          <w:ilvl w:val="0"/>
          <w:numId w:val="0"/>
        </w:numPr>
        <w:rPr>
          <w:szCs w:val="21"/>
        </w:rPr>
      </w:pPr>
      <w:r>
        <w:rPr>
          <w:rFonts w:ascii="黑体" w:hAnsi="黑体" w:eastAsia="黑体" w:cs="黑体"/>
          <w:szCs w:val="21"/>
        </w:rPr>
        <w:t xml:space="preserve">A.1.3  </w:t>
      </w:r>
      <w:r>
        <w:rPr>
          <w:szCs w:val="21"/>
        </w:rPr>
        <w:t>就地热再生沥青混合料配合比设计分为两个部分，即整形就地热再生工艺的再生沥青混合料配合比设计和复拌就地热再生工艺的再生沥青混合料配合比设计。</w:t>
      </w:r>
    </w:p>
    <w:p>
      <w:pPr>
        <w:pStyle w:val="114"/>
        <w:wordWrap/>
        <w:spacing w:before="312" w:after="312"/>
        <w:outlineLvl w:val="9"/>
        <w:rPr>
          <w:rFonts w:ascii="宋体" w:eastAsia="宋体"/>
          <w:color w:val="000000"/>
          <w:kern w:val="0"/>
        </w:rPr>
      </w:pPr>
      <w:bookmarkStart w:id="178" w:name="_Toc323278134"/>
      <w:r>
        <w:rPr>
          <w:rFonts w:hint="eastAsia" w:hAnsi="黑体"/>
          <w:color w:val="000000"/>
          <w:kern w:val="0"/>
        </w:rPr>
        <w:t>A</w:t>
      </w:r>
      <w:r>
        <w:rPr>
          <w:rFonts w:hAnsi="黑体"/>
          <w:color w:val="000000"/>
          <w:kern w:val="0"/>
        </w:rPr>
        <w:t xml:space="preserve">.2  </w:t>
      </w:r>
      <w:r>
        <w:rPr>
          <w:rFonts w:ascii="宋体" w:eastAsia="宋体"/>
          <w:color w:val="000000"/>
          <w:kern w:val="0"/>
        </w:rPr>
        <w:t>整形再生沥青混合料配合比设计过程</w:t>
      </w:r>
      <w:bookmarkEnd w:id="178"/>
    </w:p>
    <w:p>
      <w:pPr>
        <w:pStyle w:val="60"/>
        <w:numPr>
          <w:ilvl w:val="0"/>
          <w:numId w:val="0"/>
        </w:numPr>
        <w:rPr>
          <w:szCs w:val="21"/>
        </w:rPr>
      </w:pPr>
      <w:r>
        <w:rPr>
          <w:rFonts w:ascii="黑体" w:hAnsi="黑体" w:eastAsia="黑体" w:cs="黑体"/>
          <w:szCs w:val="21"/>
        </w:rPr>
        <w:t xml:space="preserve">A.2.1  </w:t>
      </w:r>
      <w:r>
        <w:rPr>
          <w:szCs w:val="21"/>
        </w:rPr>
        <w:t>原路面沥青混合料抽提、筛分试验：按试验标准要求进行原路面沥青混合料的抽提、筛分试验，了解混合料级配情况、沥青含量等。</w:t>
      </w:r>
    </w:p>
    <w:p>
      <w:pPr>
        <w:pStyle w:val="60"/>
        <w:numPr>
          <w:ilvl w:val="0"/>
          <w:numId w:val="0"/>
        </w:numPr>
        <w:rPr>
          <w:rFonts w:ascii="黑体" w:hAnsi="黑体" w:eastAsia="黑体" w:cs="黑体"/>
          <w:szCs w:val="21"/>
        </w:rPr>
      </w:pPr>
      <w:r>
        <w:rPr>
          <w:rFonts w:ascii="黑体" w:hAnsi="黑体" w:eastAsia="黑体" w:cs="黑体"/>
          <w:szCs w:val="21"/>
        </w:rPr>
        <w:t xml:space="preserve">A.2.2  </w:t>
      </w:r>
      <w:r>
        <w:rPr>
          <w:szCs w:val="21"/>
        </w:rPr>
        <w:t>回收沥青的性能试验：对原路面沥青混合料进行沥青回收，并对回收沥青的针入度、软化点和延度进行试验，初步评价回收沥青的性能和老化程度。</w:t>
      </w:r>
    </w:p>
    <w:p>
      <w:pPr>
        <w:pStyle w:val="60"/>
        <w:numPr>
          <w:ilvl w:val="0"/>
          <w:numId w:val="0"/>
        </w:numPr>
        <w:rPr>
          <w:szCs w:val="21"/>
        </w:rPr>
      </w:pPr>
      <w:r>
        <w:rPr>
          <w:rFonts w:ascii="黑体" w:hAnsi="黑体" w:eastAsia="黑体" w:cs="黑体"/>
          <w:szCs w:val="21"/>
        </w:rPr>
        <w:t xml:space="preserve">A.2.3  </w:t>
      </w:r>
      <w:r>
        <w:rPr>
          <w:szCs w:val="21"/>
        </w:rPr>
        <w:t>原路面沥青混合料性能评价：实测原路面沥青混合料的最大理论密度和空隙率，并进行沥青混合料马歇尔击实试验，评价原路面沥青混合料的性能。</w:t>
      </w:r>
    </w:p>
    <w:p>
      <w:pPr>
        <w:pStyle w:val="60"/>
        <w:numPr>
          <w:ilvl w:val="0"/>
          <w:numId w:val="0"/>
        </w:numPr>
        <w:rPr>
          <w:szCs w:val="21"/>
        </w:rPr>
      </w:pPr>
      <w:r>
        <w:rPr>
          <w:rFonts w:ascii="黑体" w:hAnsi="黑体" w:eastAsia="黑体" w:cs="黑体"/>
          <w:szCs w:val="21"/>
        </w:rPr>
        <w:t xml:space="preserve">A.2.4  </w:t>
      </w:r>
      <w:r>
        <w:rPr>
          <w:szCs w:val="21"/>
        </w:rPr>
        <w:t>再生剂类型及用量对回收沥青性能的影响评价：根据经验按一定的间隔，取3～5个再生剂用量值，分别进行再生沥青的针入度、软化点和延度等试验，根据试验结果初步确定再生剂用量。当一种再生剂对老化沥青恢复效果不明显时，应更换再生剂类型，重新进行评价。</w:t>
      </w:r>
    </w:p>
    <w:p>
      <w:pPr>
        <w:pStyle w:val="60"/>
        <w:numPr>
          <w:ilvl w:val="0"/>
          <w:numId w:val="0"/>
        </w:numPr>
        <w:rPr>
          <w:szCs w:val="21"/>
        </w:rPr>
      </w:pPr>
      <w:r>
        <w:rPr>
          <w:rFonts w:ascii="黑体" w:hAnsi="黑体" w:eastAsia="黑体" w:cs="黑体"/>
          <w:szCs w:val="21"/>
        </w:rPr>
        <w:t xml:space="preserve">A.2.5  </w:t>
      </w:r>
      <w:r>
        <w:rPr>
          <w:szCs w:val="21"/>
        </w:rPr>
        <w:t>再生剂类型及用量对混合料性能的影响评价：根据初步确定的再生剂用量，在其附近至少取3个再生剂用量值，进行再生混合料的马歇尔试验，根据空隙率、稳定度、流值等确定设计再生剂用量，即完成再生沥青混合料配合比设计。</w:t>
      </w:r>
    </w:p>
    <w:p>
      <w:pPr>
        <w:pStyle w:val="60"/>
        <w:numPr>
          <w:ilvl w:val="0"/>
          <w:numId w:val="0"/>
        </w:numPr>
        <w:rPr>
          <w:szCs w:val="21"/>
        </w:rPr>
      </w:pPr>
      <w:r>
        <w:rPr>
          <w:rFonts w:ascii="黑体" w:hAnsi="黑体" w:eastAsia="黑体" w:cs="黑体"/>
          <w:szCs w:val="21"/>
        </w:rPr>
        <w:t xml:space="preserve">A.2.6  </w:t>
      </w:r>
      <w:r>
        <w:rPr>
          <w:szCs w:val="21"/>
        </w:rPr>
        <w:t>新添加沥青混合料配合比设计：对于整形再生工艺，因不需要调整原路面的级配，因此新添加沥青混合料为标准级配混合料，其配合比可与原路面相同，也可根据路面实际情况选择其它级配的混合料，其配合比设计按照《公路沥青路面施工技术标准》JTG F40进行。</w:t>
      </w:r>
    </w:p>
    <w:p>
      <w:pPr>
        <w:pStyle w:val="60"/>
        <w:numPr>
          <w:ilvl w:val="0"/>
          <w:numId w:val="0"/>
        </w:numPr>
        <w:rPr>
          <w:szCs w:val="21"/>
        </w:rPr>
      </w:pPr>
      <w:r>
        <w:rPr>
          <w:szCs w:val="21"/>
        </w:rPr>
        <w:t>新添加沥青混合料的添加比例需要根据路面病害情况，如车辙深度、沉陷面积、深度及再生后路面标高的要求、路面排水的要求等进行确定。</w:t>
      </w:r>
    </w:p>
    <w:p>
      <w:pPr>
        <w:pStyle w:val="60"/>
        <w:numPr>
          <w:ilvl w:val="0"/>
          <w:numId w:val="0"/>
        </w:numPr>
        <w:rPr>
          <w:szCs w:val="21"/>
        </w:rPr>
      </w:pPr>
      <w:r>
        <w:rPr>
          <w:rFonts w:ascii="黑体" w:hAnsi="黑体" w:eastAsia="黑体" w:cs="黑体"/>
          <w:szCs w:val="21"/>
        </w:rPr>
        <w:t xml:space="preserve">A.2.7  </w:t>
      </w:r>
      <w:r>
        <w:rPr>
          <w:szCs w:val="21"/>
        </w:rPr>
        <w:t>整形再生沥青混合料配合比设计流程如图A.1所示。</w:t>
      </w: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snapToGrid w:val="0"/>
        <w:spacing w:before="156" w:beforeLines="50" w:after="156" w:afterLines="50"/>
        <w:ind w:firstLine="420" w:firstLineChars="200"/>
        <w:rPr>
          <w:color w:val="000000"/>
          <w:szCs w:val="21"/>
        </w:rPr>
      </w:pPr>
      <w:r>
        <w:rPr>
          <w:color w:val="000000"/>
          <w:szCs w:val="21"/>
        </w:rPr>
        <mc:AlternateContent>
          <mc:Choice Requires="wpg">
            <w:drawing>
              <wp:anchor distT="0" distB="0" distL="114300" distR="114300" simplePos="0" relativeHeight="251672576" behindDoc="0" locked="0" layoutInCell="1" allowOverlap="1">
                <wp:simplePos x="0" y="0"/>
                <wp:positionH relativeFrom="column">
                  <wp:posOffset>1560195</wp:posOffset>
                </wp:positionH>
                <wp:positionV relativeFrom="paragraph">
                  <wp:posOffset>121920</wp:posOffset>
                </wp:positionV>
                <wp:extent cx="2635250" cy="2352040"/>
                <wp:effectExtent l="8255" t="12700" r="13970" b="6985"/>
                <wp:wrapNone/>
                <wp:docPr id="225" name="组合 225"/>
                <wp:cNvGraphicFramePr/>
                <a:graphic xmlns:a="http://schemas.openxmlformats.org/drawingml/2006/main">
                  <a:graphicData uri="http://schemas.microsoft.com/office/word/2010/wordprocessingGroup">
                    <wpg:wgp>
                      <wpg:cNvGrpSpPr/>
                      <wpg:grpSpPr>
                        <a:xfrm>
                          <a:off x="0" y="0"/>
                          <a:ext cx="2635250" cy="2352040"/>
                          <a:chOff x="4070" y="7624"/>
                          <a:chExt cx="4150" cy="3704"/>
                        </a:xfrm>
                      </wpg:grpSpPr>
                      <wps:wsp>
                        <wps:cNvPr id="226" name="Rectangle 1378"/>
                        <wps:cNvSpPr>
                          <a:spLocks noChangeArrowheads="1"/>
                        </wps:cNvSpPr>
                        <wps:spPr bwMode="auto">
                          <a:xfrm>
                            <a:off x="4744" y="10885"/>
                            <a:ext cx="2730" cy="443"/>
                          </a:xfrm>
                          <a:prstGeom prst="rect">
                            <a:avLst/>
                          </a:prstGeom>
                          <a:solidFill>
                            <a:srgbClr val="FFFFFF"/>
                          </a:solidFill>
                          <a:ln w="9525">
                            <a:solidFill>
                              <a:srgbClr val="000000"/>
                            </a:solidFill>
                            <a:miter lim="800000"/>
                          </a:ln>
                        </wps:spPr>
                        <wps:txbx>
                          <w:txbxContent>
                            <w:p>
                              <w:pPr>
                                <w:jc w:val="center"/>
                                <w:rPr>
                                  <w:color w:val="000000"/>
                                </w:rPr>
                              </w:pPr>
                              <w:r>
                                <w:rPr>
                                  <w:rFonts w:hint="eastAsia"/>
                                  <w:color w:val="000000"/>
                                </w:rPr>
                                <w:t>再生混合料性能验证</w:t>
                              </w:r>
                            </w:p>
                          </w:txbxContent>
                        </wps:txbx>
                        <wps:bodyPr rot="0" vert="horz" wrap="square" lIns="91440" tIns="45720" rIns="91440" bIns="45720" anchor="t" anchorCtr="0" upright="1">
                          <a:noAutofit/>
                        </wps:bodyPr>
                      </wps:wsp>
                      <wps:wsp>
                        <wps:cNvPr id="227" name="Rectangle 1379"/>
                        <wps:cNvSpPr>
                          <a:spLocks noChangeArrowheads="1"/>
                        </wps:cNvSpPr>
                        <wps:spPr bwMode="auto">
                          <a:xfrm>
                            <a:off x="4070" y="7624"/>
                            <a:ext cx="4150" cy="442"/>
                          </a:xfrm>
                          <a:prstGeom prst="rect">
                            <a:avLst/>
                          </a:prstGeom>
                          <a:solidFill>
                            <a:srgbClr val="FFFFFF"/>
                          </a:solidFill>
                          <a:ln w="9525">
                            <a:solidFill>
                              <a:srgbClr val="000000"/>
                            </a:solidFill>
                            <a:miter lim="800000"/>
                          </a:ln>
                        </wps:spPr>
                        <wps:txbx>
                          <w:txbxContent>
                            <w:p>
                              <w:pPr>
                                <w:jc w:val="center"/>
                                <w:rPr>
                                  <w:color w:val="000000"/>
                                </w:rPr>
                              </w:pPr>
                              <w:r>
                                <w:rPr>
                                  <w:rFonts w:hint="eastAsia"/>
                                  <w:color w:val="000000"/>
                                </w:rPr>
                                <w:t>原路面沥青混合料取样分析及评价</w:t>
                              </w:r>
                            </w:p>
                          </w:txbxContent>
                        </wps:txbx>
                        <wps:bodyPr rot="0" vert="horz" wrap="square" lIns="91440" tIns="45720" rIns="91440" bIns="45720" anchor="t" anchorCtr="0" upright="1">
                          <a:noAutofit/>
                        </wps:bodyPr>
                      </wps:wsp>
                      <wps:wsp>
                        <wps:cNvPr id="228" name="Rectangle 1380"/>
                        <wps:cNvSpPr>
                          <a:spLocks noChangeArrowheads="1"/>
                        </wps:cNvSpPr>
                        <wps:spPr bwMode="auto">
                          <a:xfrm>
                            <a:off x="5149" y="8432"/>
                            <a:ext cx="1946" cy="442"/>
                          </a:xfrm>
                          <a:prstGeom prst="rect">
                            <a:avLst/>
                          </a:prstGeom>
                          <a:solidFill>
                            <a:srgbClr val="FFFFFF"/>
                          </a:solidFill>
                          <a:ln w="9525">
                            <a:solidFill>
                              <a:srgbClr val="000000"/>
                            </a:solidFill>
                            <a:miter lim="800000"/>
                          </a:ln>
                        </wps:spPr>
                        <wps:txbx>
                          <w:txbxContent>
                            <w:p>
                              <w:pPr>
                                <w:jc w:val="center"/>
                                <w:rPr>
                                  <w:color w:val="000000"/>
                                </w:rPr>
                              </w:pPr>
                              <w:r>
                                <w:rPr>
                                  <w:rFonts w:hint="eastAsia"/>
                                  <w:color w:val="000000"/>
                                </w:rPr>
                                <w:t>老化沥青评价</w:t>
                              </w:r>
                            </w:p>
                          </w:txbxContent>
                        </wps:txbx>
                        <wps:bodyPr rot="0" vert="horz" wrap="square" lIns="91440" tIns="45720" rIns="91440" bIns="45720" anchor="t" anchorCtr="0" upright="1">
                          <a:noAutofit/>
                        </wps:bodyPr>
                      </wps:wsp>
                      <wps:wsp>
                        <wps:cNvPr id="229" name="Line 1381"/>
                        <wps:cNvCnPr>
                          <a:cxnSpLocks noChangeShapeType="1"/>
                        </wps:cNvCnPr>
                        <wps:spPr bwMode="auto">
                          <a:xfrm>
                            <a:off x="6137" y="8874"/>
                            <a:ext cx="0" cy="295"/>
                          </a:xfrm>
                          <a:prstGeom prst="line">
                            <a:avLst/>
                          </a:prstGeom>
                          <a:noFill/>
                          <a:ln w="9525">
                            <a:solidFill>
                              <a:srgbClr val="000000"/>
                            </a:solidFill>
                            <a:round/>
                            <a:tailEnd type="triangle" w="med" len="med"/>
                          </a:ln>
                        </wps:spPr>
                        <wps:bodyPr/>
                      </wps:wsp>
                      <wps:wsp>
                        <wps:cNvPr id="230" name="Rectangle 1382"/>
                        <wps:cNvSpPr>
                          <a:spLocks noChangeArrowheads="1"/>
                        </wps:cNvSpPr>
                        <wps:spPr bwMode="auto">
                          <a:xfrm>
                            <a:off x="4980" y="9169"/>
                            <a:ext cx="2364" cy="442"/>
                          </a:xfrm>
                          <a:prstGeom prst="rect">
                            <a:avLst/>
                          </a:prstGeom>
                          <a:solidFill>
                            <a:srgbClr val="FFFFFF"/>
                          </a:solidFill>
                          <a:ln w="9525">
                            <a:solidFill>
                              <a:srgbClr val="000000"/>
                            </a:solidFill>
                            <a:miter lim="800000"/>
                          </a:ln>
                        </wps:spPr>
                        <wps:txbx>
                          <w:txbxContent>
                            <w:p>
                              <w:pPr>
                                <w:jc w:val="center"/>
                                <w:rPr>
                                  <w:color w:val="000000"/>
                                </w:rPr>
                              </w:pPr>
                              <w:r>
                                <w:rPr>
                                  <w:rFonts w:hint="eastAsia"/>
                                  <w:color w:val="000000"/>
                                </w:rPr>
                                <w:t>老化沥青再生试验</w:t>
                              </w:r>
                            </w:p>
                          </w:txbxContent>
                        </wps:txbx>
                        <wps:bodyPr rot="0" vert="horz" wrap="square" lIns="91440" tIns="45720" rIns="91440" bIns="45720" anchor="t" anchorCtr="0" upright="1">
                          <a:noAutofit/>
                        </wps:bodyPr>
                      </wps:wsp>
                      <wps:wsp>
                        <wps:cNvPr id="231" name="Line 1383"/>
                        <wps:cNvCnPr>
                          <a:cxnSpLocks noChangeShapeType="1"/>
                        </wps:cNvCnPr>
                        <wps:spPr bwMode="auto">
                          <a:xfrm>
                            <a:off x="6128" y="9627"/>
                            <a:ext cx="0" cy="340"/>
                          </a:xfrm>
                          <a:prstGeom prst="line">
                            <a:avLst/>
                          </a:prstGeom>
                          <a:noFill/>
                          <a:ln w="9525">
                            <a:solidFill>
                              <a:srgbClr val="000000"/>
                            </a:solidFill>
                            <a:round/>
                            <a:tailEnd type="triangle" w="med" len="med"/>
                          </a:ln>
                        </wps:spPr>
                        <wps:bodyPr/>
                      </wps:wsp>
                      <wps:wsp>
                        <wps:cNvPr id="232" name="Rectangle 1384"/>
                        <wps:cNvSpPr>
                          <a:spLocks noChangeArrowheads="1"/>
                        </wps:cNvSpPr>
                        <wps:spPr bwMode="auto">
                          <a:xfrm>
                            <a:off x="4818" y="9960"/>
                            <a:ext cx="2632" cy="442"/>
                          </a:xfrm>
                          <a:prstGeom prst="rect">
                            <a:avLst/>
                          </a:prstGeom>
                          <a:solidFill>
                            <a:srgbClr val="FFFFFF"/>
                          </a:solidFill>
                          <a:ln w="9525">
                            <a:solidFill>
                              <a:srgbClr val="000000"/>
                            </a:solidFill>
                            <a:miter lim="800000"/>
                          </a:ln>
                        </wps:spPr>
                        <wps:txbx>
                          <w:txbxContent>
                            <w:p>
                              <w:pPr>
                                <w:jc w:val="center"/>
                                <w:rPr>
                                  <w:color w:val="000000"/>
                                </w:rPr>
                              </w:pPr>
                              <w:r>
                                <w:rPr>
                                  <w:rFonts w:hint="eastAsia"/>
                                  <w:color w:val="000000"/>
                                </w:rPr>
                                <w:t>确定再生剂类型、用量</w:t>
                              </w:r>
                            </w:p>
                          </w:txbxContent>
                        </wps:txbx>
                        <wps:bodyPr rot="0" vert="horz" wrap="square" lIns="91440" tIns="45720" rIns="91440" bIns="45720" anchor="t" anchorCtr="0" upright="1">
                          <a:noAutofit/>
                        </wps:bodyPr>
                      </wps:wsp>
                      <wps:wsp>
                        <wps:cNvPr id="233" name="Line 1385"/>
                        <wps:cNvCnPr>
                          <a:cxnSpLocks noChangeShapeType="1"/>
                        </wps:cNvCnPr>
                        <wps:spPr bwMode="auto">
                          <a:xfrm>
                            <a:off x="6128" y="10418"/>
                            <a:ext cx="0" cy="451"/>
                          </a:xfrm>
                          <a:prstGeom prst="line">
                            <a:avLst/>
                          </a:prstGeom>
                          <a:noFill/>
                          <a:ln w="9525">
                            <a:solidFill>
                              <a:srgbClr val="000000"/>
                            </a:solidFill>
                            <a:round/>
                            <a:tailEnd type="triangle" w="med" len="med"/>
                          </a:ln>
                        </wps:spPr>
                        <wps:bodyPr/>
                      </wps:wsp>
                      <wps:wsp>
                        <wps:cNvPr id="234" name="Line 1386"/>
                        <wps:cNvCnPr>
                          <a:cxnSpLocks noChangeShapeType="1"/>
                        </wps:cNvCnPr>
                        <wps:spPr bwMode="auto">
                          <a:xfrm>
                            <a:off x="6124" y="8077"/>
                            <a:ext cx="0" cy="340"/>
                          </a:xfrm>
                          <a:prstGeom prst="line">
                            <a:avLst/>
                          </a:prstGeom>
                          <a:noFill/>
                          <a:ln w="9525">
                            <a:solidFill>
                              <a:srgbClr val="000000"/>
                            </a:solidFill>
                            <a:round/>
                            <a:tailEnd type="triangle" w="med" len="med"/>
                          </a:ln>
                        </wps:spPr>
                        <wps:bodyPr/>
                      </wps:wsp>
                    </wpg:wgp>
                  </a:graphicData>
                </a:graphic>
              </wp:anchor>
            </w:drawing>
          </mc:Choice>
          <mc:Fallback>
            <w:pict>
              <v:group id="_x0000_s1026" o:spid="_x0000_s1026" o:spt="203" style="position:absolute;left:0pt;margin-left:122.85pt;margin-top:9.6pt;height:185.2pt;width:207.5pt;z-index:251672576;mso-width-relative:page;mso-height-relative:page;" coordorigin="4070,7624" coordsize="4150,3704" o:gfxdata="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">
                <o:lock v:ext="edit" aspectratio="f"/>
                <v:rect id="Rectangle 1378" o:spid="_x0000_s1026" o:spt="1" style="position:absolute;left:4744;top:10885;height:443;width:2730;" fillcolor="#FFFFFF" filled="t" stroked="t" coordsize="21600,21600" o:gfxdata="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MR47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rPr>
                            <w:color w:val="000000"/>
                          </w:rPr>
                        </w:pPr>
                        <w:r>
                          <w:rPr>
                            <w:rFonts w:hint="eastAsia"/>
                            <w:color w:val="000000"/>
                          </w:rPr>
                          <w:t>再生混合料性能验证</w:t>
                        </w:r>
                      </w:p>
                    </w:txbxContent>
                  </v:textbox>
                </v:rect>
                <v:rect id="Rectangle 1379" o:spid="_x0000_s1026" o:spt="1" style="position:absolute;left:4070;top:7624;height:442;width:4150;" fillcolor="#FFFFFF" filled="t" stroked="t" coordsize="21600,21600" o:gfxdata="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4jdd7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rPr>
                            <w:color w:val="000000"/>
                          </w:rPr>
                        </w:pPr>
                        <w:r>
                          <w:rPr>
                            <w:rFonts w:hint="eastAsia"/>
                            <w:color w:val="000000"/>
                          </w:rPr>
                          <w:t>原路面沥青混合料取样分析及评价</w:t>
                        </w:r>
                      </w:p>
                    </w:txbxContent>
                  </v:textbox>
                </v:rect>
                <v:rect id="Rectangle 1380" o:spid="_x0000_s1026" o:spt="1" style="position:absolute;left:5149;top:8432;height:442;width:1946;" fillcolor="#FFFFFF" filled="t" stroked="t" coordsize="21600,21600" o:gfxdata="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hdJBb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color w:val="000000"/>
                          </w:rPr>
                        </w:pPr>
                        <w:r>
                          <w:rPr>
                            <w:rFonts w:hint="eastAsia"/>
                            <w:color w:val="000000"/>
                          </w:rPr>
                          <w:t>老化沥青评价</w:t>
                        </w:r>
                      </w:p>
                    </w:txbxContent>
                  </v:textbox>
                </v:rect>
                <v:line id="Line 1381" o:spid="_x0000_s1026" o:spt="20" style="position:absolute;left:6137;top:8874;height:295;width:0;" filled="f" stroked="t" coordsize="21600,21600" o:gfxdata="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nF2o3&#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rect id="Rectangle 1382" o:spid="_x0000_s1026" o:spt="1" style="position:absolute;left:4980;top:9169;height:442;width:2364;" fillcolor="#FFFFFF" filled="t" stroked="t" coordsize="21600,21600" o:gfxdata="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W40965AAAA3A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rPr>
                            <w:color w:val="000000"/>
                          </w:rPr>
                        </w:pPr>
                        <w:r>
                          <w:rPr>
                            <w:rFonts w:hint="eastAsia"/>
                            <w:color w:val="000000"/>
                          </w:rPr>
                          <w:t>老化沥青再生试验</w:t>
                        </w:r>
                      </w:p>
                    </w:txbxContent>
                  </v:textbox>
                </v:rect>
                <v:line id="Line 1383" o:spid="_x0000_s1026" o:spt="20" style="position:absolute;left:6128;top:9627;height:340;width:0;" filled="f" stroked="t" coordsize="21600,21600" o:gfxdata="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y48O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Rectangle 1384" o:spid="_x0000_s1026" o:spt="1" style="position:absolute;left:4818;top:9960;height:442;width:2632;" fillcolor="#FFFFFF" filled="t" stroked="t" coordsize="21600,21600" o:gfxdata="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iboM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rPr>
                            <w:color w:val="000000"/>
                          </w:rPr>
                        </w:pPr>
                        <w:r>
                          <w:rPr>
                            <w:rFonts w:hint="eastAsia"/>
                            <w:color w:val="000000"/>
                          </w:rPr>
                          <w:t>确定再生剂类型、用量</w:t>
                        </w:r>
                      </w:p>
                    </w:txbxContent>
                  </v:textbox>
                </v:rect>
                <v:line id="Line 1385" o:spid="_x0000_s1026" o:spt="20" style="position:absolute;left:6128;top:10418;height:451;width:0;" filled="f" stroked="t" coordsize="21600,21600" o:gfxdata="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MmywC/&#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Line 1386" o:spid="_x0000_s1026" o:spt="20" style="position:absolute;left:6124;top:8077;height:340;width:0;" filled="f" stroked="t" coordsize="21600,21600" o:gfxdata="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z1N0&#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pPr>
        <w:snapToGrid w:val="0"/>
        <w:spacing w:before="156" w:beforeLines="50" w:after="156" w:afterLines="50"/>
        <w:ind w:firstLine="420" w:firstLineChars="200"/>
        <w:rPr>
          <w:color w:val="000000"/>
          <w:szCs w:val="21"/>
        </w:rPr>
      </w:pPr>
    </w:p>
    <w:p>
      <w:pPr>
        <w:snapToGrid w:val="0"/>
        <w:spacing w:before="156" w:beforeLines="50" w:after="156" w:afterLines="50"/>
        <w:ind w:firstLine="420" w:firstLineChars="200"/>
        <w:rPr>
          <w:color w:val="000000"/>
          <w:szCs w:val="21"/>
        </w:rPr>
      </w:pPr>
    </w:p>
    <w:p>
      <w:pPr>
        <w:snapToGrid w:val="0"/>
        <w:spacing w:before="156" w:beforeLines="50" w:after="156" w:afterLines="50"/>
        <w:ind w:firstLine="420" w:firstLineChars="200"/>
        <w:rPr>
          <w:color w:val="000000"/>
          <w:szCs w:val="21"/>
        </w:rPr>
      </w:pPr>
    </w:p>
    <w:p>
      <w:pPr>
        <w:snapToGrid w:val="0"/>
        <w:spacing w:before="156" w:beforeLines="50" w:after="156" w:afterLines="50"/>
        <w:ind w:firstLine="420" w:firstLineChars="200"/>
        <w:rPr>
          <w:color w:val="000000"/>
          <w:szCs w:val="21"/>
        </w:rPr>
      </w:pPr>
    </w:p>
    <w:p>
      <w:pPr>
        <w:snapToGrid w:val="0"/>
        <w:spacing w:before="156" w:beforeLines="50" w:after="156" w:afterLines="50"/>
        <w:ind w:firstLine="420" w:firstLineChars="200"/>
        <w:rPr>
          <w:color w:val="000000"/>
          <w:szCs w:val="21"/>
        </w:rPr>
      </w:pPr>
    </w:p>
    <w:p>
      <w:pPr>
        <w:snapToGrid w:val="0"/>
        <w:spacing w:before="156" w:beforeLines="50" w:after="156" w:afterLines="50"/>
        <w:ind w:firstLine="420" w:firstLineChars="200"/>
        <w:rPr>
          <w:color w:val="000000"/>
          <w:szCs w:val="21"/>
        </w:rPr>
      </w:pPr>
    </w:p>
    <w:p>
      <w:pPr>
        <w:snapToGrid w:val="0"/>
        <w:jc w:val="center"/>
        <w:rPr>
          <w:color w:val="000000"/>
          <w:szCs w:val="21"/>
        </w:rPr>
      </w:pPr>
    </w:p>
    <w:p>
      <w:pPr>
        <w:snapToGrid w:val="0"/>
        <w:jc w:val="center"/>
        <w:rPr>
          <w:color w:val="000000"/>
          <w:szCs w:val="21"/>
        </w:rPr>
      </w:pPr>
    </w:p>
    <w:p>
      <w:pPr>
        <w:snapToGrid w:val="0"/>
        <w:jc w:val="center"/>
        <w:rPr>
          <w:color w:val="000000"/>
          <w:szCs w:val="21"/>
        </w:rPr>
      </w:pPr>
    </w:p>
    <w:p>
      <w:pPr>
        <w:snapToGrid w:val="0"/>
        <w:jc w:val="center"/>
        <w:rPr>
          <w:color w:val="000000"/>
          <w:szCs w:val="21"/>
        </w:rPr>
      </w:pPr>
    </w:p>
    <w:p>
      <w:pPr>
        <w:snapToGrid w:val="0"/>
        <w:jc w:val="center"/>
        <w:rPr>
          <w:color w:val="000000"/>
          <w:szCs w:val="21"/>
        </w:rPr>
      </w:pPr>
    </w:p>
    <w:p>
      <w:pPr>
        <w:pStyle w:val="138"/>
        <w:numPr>
          <w:ilvl w:val="0"/>
          <w:numId w:val="0"/>
        </w:numPr>
        <w:spacing w:before="156" w:after="156"/>
        <w:rPr>
          <w:szCs w:val="21"/>
        </w:rPr>
      </w:pPr>
      <w:r>
        <w:rPr>
          <w:szCs w:val="21"/>
        </w:rPr>
        <mc:AlternateContent>
          <mc:Choice Requires="wps">
            <w:drawing>
              <wp:anchor distT="0" distB="0" distL="114300" distR="114300" simplePos="0" relativeHeight="251671552" behindDoc="0" locked="0" layoutInCell="1" allowOverlap="1">
                <wp:simplePos x="0" y="0"/>
                <wp:positionH relativeFrom="column">
                  <wp:posOffset>-1600200</wp:posOffset>
                </wp:positionH>
                <wp:positionV relativeFrom="paragraph">
                  <wp:posOffset>86360</wp:posOffset>
                </wp:positionV>
                <wp:extent cx="0" cy="266700"/>
                <wp:effectExtent l="52705" t="9525" r="61595" b="19050"/>
                <wp:wrapNone/>
                <wp:docPr id="224" name="直接连接符 224"/>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126pt;margin-top:6.8pt;height:21pt;width:0pt;z-index:251671552;mso-width-relative:page;mso-height-relative:page;" filled="f" stroked="t" coordsize="21600,21600" o:gfxdata="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SLledkAAAALAQAADwAAAAAAAAABACAAAAAiAAAAZHJzL2Rv&#10;d25yZXYueG1sUEsBAhQAFAAAAAgAh07iQI3z7kQAAgAA2wMAAA4AAAAAAAAAAQAgAAAAKAEAAGRy&#10;cy9lMm9Eb2MueG1sUEsFBgAAAAAGAAYAWQEAAJoFAAAAAA==&#10;">
                <v:fill on="f" focussize="0,0"/>
                <v:stroke color="#000000" joinstyle="round" endarrow="block"/>
                <v:imagedata o:title=""/>
                <o:lock v:ext="edit" aspectratio="f"/>
              </v:line>
            </w:pict>
          </mc:Fallback>
        </mc:AlternateContent>
      </w:r>
      <w:r>
        <w:rPr>
          <w:szCs w:val="21"/>
        </w:rPr>
        <w:t>图A.1 整形再生混合料配合比设计流程</w:t>
      </w:r>
    </w:p>
    <w:p>
      <w:pPr>
        <w:pStyle w:val="114"/>
        <w:wordWrap/>
        <w:spacing w:before="312" w:after="312"/>
        <w:outlineLvl w:val="9"/>
        <w:rPr>
          <w:rFonts w:ascii="宋体" w:eastAsia="宋体"/>
          <w:color w:val="000000"/>
          <w:kern w:val="0"/>
        </w:rPr>
      </w:pPr>
      <w:bookmarkStart w:id="179" w:name="_Toc323278135"/>
      <w:r>
        <w:rPr>
          <w:rFonts w:hint="eastAsia" w:hAnsi="黑体"/>
          <w:color w:val="000000"/>
          <w:kern w:val="0"/>
        </w:rPr>
        <w:t>A</w:t>
      </w:r>
      <w:r>
        <w:rPr>
          <w:rFonts w:hAnsi="黑体"/>
          <w:color w:val="000000"/>
          <w:kern w:val="0"/>
        </w:rPr>
        <w:t>.3</w:t>
      </w:r>
      <w:r>
        <w:rPr>
          <w:rFonts w:ascii="宋体" w:eastAsia="宋体"/>
          <w:color w:val="000000"/>
          <w:kern w:val="0"/>
        </w:rPr>
        <w:t xml:space="preserve">  复拌再生沥青混合料配合比设计过程</w:t>
      </w:r>
      <w:bookmarkEnd w:id="179"/>
    </w:p>
    <w:p>
      <w:pPr>
        <w:pStyle w:val="60"/>
        <w:numPr>
          <w:ilvl w:val="0"/>
          <w:numId w:val="0"/>
        </w:numPr>
        <w:rPr>
          <w:szCs w:val="21"/>
        </w:rPr>
      </w:pPr>
      <w:r>
        <w:rPr>
          <w:rFonts w:ascii="黑体" w:hAnsi="黑体" w:eastAsia="黑体" w:cs="黑体"/>
          <w:szCs w:val="21"/>
        </w:rPr>
        <w:t xml:space="preserve">A.3.1  </w:t>
      </w:r>
      <w:r>
        <w:rPr>
          <w:szCs w:val="21"/>
        </w:rPr>
        <w:t>与整形再生沥青混合料配合比设计相比，复拌再生沥青混合料配合比设计需要通过设计调整原路面级配。复拌再生沥青混合料配合比设计中再生剂可按本标准A.2.1～A.2.5的规定选用。</w:t>
      </w:r>
    </w:p>
    <w:p>
      <w:pPr>
        <w:pStyle w:val="60"/>
        <w:numPr>
          <w:ilvl w:val="0"/>
          <w:numId w:val="0"/>
        </w:numPr>
        <w:rPr>
          <w:szCs w:val="21"/>
        </w:rPr>
      </w:pPr>
      <w:r>
        <w:rPr>
          <w:rFonts w:ascii="黑体" w:hAnsi="黑体" w:eastAsia="黑体" w:cs="黑体"/>
          <w:szCs w:val="21"/>
        </w:rPr>
        <w:t xml:space="preserve">A.3.2  </w:t>
      </w:r>
      <w:r>
        <w:rPr>
          <w:szCs w:val="21"/>
        </w:rPr>
        <w:t>对于复拌再生工艺，施工中要通过添加新沥青混合料对原路面的级配进行调整，在进行新添加沥青混合料配合比设计时，先根据路面情况及设计要求确定再生沥青混合料理论目标配合比，然后根据理论目标配合比和原路面状况，确定新添加沥青混合料的理论目标配合比和添加比例。应将原路面再生沥青混合料和新添加沥青混合料按设计比例拌和，进行性能试验验证，通过试验最终确定新添加沥青混合料的配合比和添加比例。</w:t>
      </w:r>
    </w:p>
    <w:p>
      <w:pPr>
        <w:pStyle w:val="60"/>
        <w:numPr>
          <w:ilvl w:val="0"/>
          <w:numId w:val="0"/>
        </w:numPr>
        <w:rPr>
          <w:szCs w:val="21"/>
        </w:rPr>
      </w:pPr>
      <w:r>
        <w:rPr>
          <w:rFonts w:ascii="黑体" w:hAnsi="黑体" w:eastAsia="黑体" w:cs="黑体"/>
          <w:szCs w:val="21"/>
        </w:rPr>
        <w:t xml:space="preserve">A.3.3  </w:t>
      </w:r>
      <w:r>
        <w:rPr>
          <w:szCs w:val="21"/>
        </w:rPr>
        <w:t>再生沥青混合料的生产配合比验证应根据新添加沥青混合料的配合比和添加比例，通过试拌，对再生沥青混合料的生产配合比进行验证，验证试验包括级配、马歇尔试验、浸水马歇尔试验等，必要时可根据实际情况进行车辙试验和冻融劈裂试验。复拌就地热再生沥青混合料设计流程见图A.2所示。</w:t>
      </w: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pStyle w:val="60"/>
        <w:numPr>
          <w:ilvl w:val="0"/>
          <w:numId w:val="0"/>
        </w:numPr>
        <w:rPr>
          <w:szCs w:val="21"/>
        </w:rPr>
      </w:pPr>
    </w:p>
    <w:p>
      <w:pPr>
        <w:snapToGrid w:val="0"/>
        <w:spacing w:before="156" w:beforeLines="50" w:after="156" w:afterLines="50" w:line="360" w:lineRule="auto"/>
        <w:rPr>
          <w:color w:val="000000"/>
          <w:sz w:val="24"/>
        </w:rPr>
      </w:pPr>
      <w:r>
        <w:rPr>
          <w:color w:val="000000"/>
        </w:rPr>
        <mc:AlternateContent>
          <mc:Choice Requires="wps">
            <w:drawing>
              <wp:anchor distT="0" distB="0" distL="114300" distR="114300" simplePos="0" relativeHeight="251683840" behindDoc="0" locked="0" layoutInCell="1" allowOverlap="1">
                <wp:simplePos x="0" y="0"/>
                <wp:positionH relativeFrom="column">
                  <wp:posOffset>1283970</wp:posOffset>
                </wp:positionH>
                <wp:positionV relativeFrom="paragraph">
                  <wp:posOffset>104140</wp:posOffset>
                </wp:positionV>
                <wp:extent cx="2927985" cy="280670"/>
                <wp:effectExtent l="0" t="0" r="24765" b="24130"/>
                <wp:wrapNone/>
                <wp:docPr id="267" name="矩形 267"/>
                <wp:cNvGraphicFramePr/>
                <a:graphic xmlns:a="http://schemas.openxmlformats.org/drawingml/2006/main">
                  <a:graphicData uri="http://schemas.microsoft.com/office/word/2010/wordprocessingShape">
                    <wps:wsp>
                      <wps:cNvSpPr/>
                      <wps:spPr>
                        <a:xfrm>
                          <a:off x="0" y="0"/>
                          <a:ext cx="2927985"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rPr>
                            </w:pPr>
                            <w:r>
                              <w:rPr>
                                <w:rFonts w:hint="eastAsia"/>
                                <w:color w:val="000000"/>
                              </w:rPr>
                              <w:t>原路面沥青混合料取样、分析及评价</w:t>
                            </w:r>
                          </w:p>
                        </w:txbxContent>
                      </wps:txbx>
                      <wps:bodyPr upright="1"/>
                    </wps:wsp>
                  </a:graphicData>
                </a:graphic>
              </wp:anchor>
            </w:drawing>
          </mc:Choice>
          <mc:Fallback>
            <w:pict>
              <v:rect id="_x0000_s1026" o:spid="_x0000_s1026" o:spt="1" style="position:absolute;left:0pt;margin-left:101.1pt;margin-top:8.2pt;height:22.1pt;width:230.55pt;z-index:251683840;mso-width-relative:page;mso-height-relative:page;" fillcolor="#FFFFFF" filled="t" stroked="t" coordsize="21600,21600" o:gfxdata="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uCxJp9YAAAAJAQAADwAAAAAAAAABACAAAAAiAAAAZHJz&#10;L2Rvd25yZXYueG1sUEsBAhQAFAAAAAgAh07iQGdLQZMGAgAALQQAAA4AAAAAAAAAAQAgAAAAJQEA&#10;AGRycy9lMm9Eb2MueG1sUEsFBgAAAAAGAAYAWQEAAJ0FAAAAAA==&#10;">
                <v:fill on="t" focussize="0,0"/>
                <v:stroke color="#000000" joinstyle="miter"/>
                <v:imagedata o:title=""/>
                <o:lock v:ext="edit" aspectratio="f"/>
                <v:textbox>
                  <w:txbxContent>
                    <w:p>
                      <w:pPr>
                        <w:jc w:val="center"/>
                        <w:rPr>
                          <w:color w:val="000000"/>
                        </w:rPr>
                      </w:pPr>
                      <w:r>
                        <w:rPr>
                          <w:rFonts w:hint="eastAsia"/>
                          <w:color w:val="000000"/>
                        </w:rPr>
                        <w:t>原路面沥青混合料取样、分析及评价</w:t>
                      </w:r>
                    </w:p>
                  </w:txbxContent>
                </v:textbox>
              </v:rect>
            </w:pict>
          </mc:Fallback>
        </mc:AlternateContent>
      </w:r>
      <w:r>
        <w:rPr>
          <w:color w:val="000000"/>
        </w:rPr>
        <mc:AlternateContent>
          <mc:Choice Requires="wps">
            <w:drawing>
              <wp:anchor distT="0" distB="0" distL="113665" distR="113665" simplePos="0" relativeHeight="251684864" behindDoc="0" locked="0" layoutInCell="1" allowOverlap="1">
                <wp:simplePos x="0" y="0"/>
                <wp:positionH relativeFrom="column">
                  <wp:posOffset>2751455</wp:posOffset>
                </wp:positionH>
                <wp:positionV relativeFrom="paragraph">
                  <wp:posOffset>400685</wp:posOffset>
                </wp:positionV>
                <wp:extent cx="0" cy="539750"/>
                <wp:effectExtent l="76200" t="0" r="57150" b="50800"/>
                <wp:wrapNone/>
                <wp:docPr id="266" name="直接连接符 266"/>
                <wp:cNvGraphicFramePr/>
                <a:graphic xmlns:a="http://schemas.openxmlformats.org/drawingml/2006/main">
                  <a:graphicData uri="http://schemas.microsoft.com/office/word/2010/wordprocessingShape">
                    <wps:wsp>
                      <wps:cNvCnPr/>
                      <wps:spPr>
                        <a:xfrm>
                          <a:off x="0" y="0"/>
                          <a:ext cx="0" cy="5397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216.65pt;margin-top:31.55pt;height:42.5pt;width:0pt;z-index:251684864;mso-width-relative:page;mso-height-relative:page;" filled="f" stroked="t" coordsize="21600,21600" o:gfxdata="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cIhLnZAAAACgEAAA8AAAAAAAAAAQAgAAAAIgAAAGRycy9kb3ducmV2LnhtbFBL&#10;AQIUABQAAAAIAIdO4kDnZ7g49QEAAN8DAAAOAAAAAAAAAAEAIAAAACgBAABkcnMvZTJvRG9jLnht&#10;bFBLBQYAAAAABgAGAFkBAACPBQAAAAA=&#10;">
                <v:fill on="f" focussize="0,0"/>
                <v:stroke color="#000000" joinstyle="round" endarrow="block"/>
                <v:imagedata o:title=""/>
                <o:lock v:ext="edit" aspectratio="f"/>
              </v:line>
            </w:pict>
          </mc:Fallback>
        </mc:AlternateContent>
      </w:r>
    </w:p>
    <w:p>
      <w:pPr>
        <w:tabs>
          <w:tab w:val="left" w:pos="6658"/>
        </w:tabs>
        <w:snapToGrid w:val="0"/>
        <w:spacing w:before="156" w:beforeLines="50" w:after="156" w:afterLines="50" w:line="360" w:lineRule="auto"/>
        <w:rPr>
          <w:color w:val="000000"/>
          <w:sz w:val="24"/>
        </w:rPr>
      </w:pPr>
      <w:r>
        <w:rPr>
          <w:color w:val="000000"/>
        </w:rPr>
        <mc:AlternateContent>
          <mc:Choice Requires="wps">
            <w:drawing>
              <wp:anchor distT="0" distB="0" distL="114300" distR="114300" simplePos="0" relativeHeight="251691008" behindDoc="0" locked="0" layoutInCell="1" allowOverlap="1">
                <wp:simplePos x="0" y="0"/>
                <wp:positionH relativeFrom="column">
                  <wp:posOffset>989330</wp:posOffset>
                </wp:positionH>
                <wp:positionV relativeFrom="paragraph">
                  <wp:posOffset>210820</wp:posOffset>
                </wp:positionV>
                <wp:extent cx="3420110" cy="635"/>
                <wp:effectExtent l="0" t="0" r="27940" b="37465"/>
                <wp:wrapNone/>
                <wp:docPr id="265" name="直接连接符 265"/>
                <wp:cNvGraphicFramePr/>
                <a:graphic xmlns:a="http://schemas.openxmlformats.org/drawingml/2006/main">
                  <a:graphicData uri="http://schemas.microsoft.com/office/word/2010/wordprocessingShape">
                    <wps:wsp>
                      <wps:cNvCnPr/>
                      <wps:spPr>
                        <a:xfrm>
                          <a:off x="0" y="0"/>
                          <a:ext cx="342011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77.9pt;margin-top:16.6pt;height:0.05pt;width:269.3pt;z-index:251691008;mso-width-relative:page;mso-height-relative:page;" filled="f" stroked="t" coordsize="21600,21600" o:gfxdata="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ThSANcAAAAJAQAADwAAAAAAAAABACAAAAAiAAAAZHJzL2Rvd25yZXYueG1sUEsBAhQAFAAA&#10;AAgAh07iQJXp5hzwAQAA3gMAAA4AAAAAAAAAAQAgAAAAJgEAAGRycy9lMm9Eb2MueG1sUEsFBgAA&#10;AAAGAAYAWQEAAIgFAAAAAA==&#10;">
                <v:fill on="f" focussize="0,0"/>
                <v:stroke color="#000000" joinstyle="round"/>
                <v:imagedata o:title=""/>
                <o:lock v:ext="edit" aspectratio="f"/>
              </v:line>
            </w:pict>
          </mc:Fallback>
        </mc:AlternateContent>
      </w:r>
      <w:r>
        <w:rPr>
          <w:color w:val="000000"/>
        </w:rPr>
        <mc:AlternateContent>
          <mc:Choice Requires="wps">
            <w:drawing>
              <wp:anchor distT="0" distB="0" distL="113665" distR="113665" simplePos="0" relativeHeight="251693056" behindDoc="0" locked="0" layoutInCell="1" allowOverlap="1">
                <wp:simplePos x="0" y="0"/>
                <wp:positionH relativeFrom="column">
                  <wp:posOffset>4409440</wp:posOffset>
                </wp:positionH>
                <wp:positionV relativeFrom="paragraph">
                  <wp:posOffset>217805</wp:posOffset>
                </wp:positionV>
                <wp:extent cx="0" cy="244475"/>
                <wp:effectExtent l="76200" t="0" r="57150" b="60325"/>
                <wp:wrapNone/>
                <wp:docPr id="264" name="直接连接符 264"/>
                <wp:cNvGraphicFramePr/>
                <a:graphic xmlns:a="http://schemas.openxmlformats.org/drawingml/2006/main">
                  <a:graphicData uri="http://schemas.microsoft.com/office/word/2010/wordprocessingShape">
                    <wps:wsp>
                      <wps:cNvCnPr/>
                      <wps:spPr>
                        <a:xfrm>
                          <a:off x="0" y="0"/>
                          <a:ext cx="0" cy="2444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347.2pt;margin-top:17.15pt;height:19.25pt;width:0pt;z-index:251693056;mso-width-relative:page;mso-height-relative:page;" filled="f" stroked="t" coordsize="21600,21600" o:gfxdata="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fumYt2QAAAAkBAAAPAAAAAAAAAAEAIAAAACIAAABkcnMvZG93bnJldi54bWxQSwEC&#10;FAAUAAAACACHTuJAwyRlF/MBAADfAwAADgAAAAAAAAABACAAAAAoAQAAZHJzL2Uyb0RvYy54bWxQ&#10;SwUGAAAAAAYABgBZAQAAjQUAAAAA&#10;">
                <v:fill on="f" focussize="0,0"/>
                <v:stroke color="#000000" joinstyle="round" endarrow="block"/>
                <v:imagedata o:title=""/>
                <o:lock v:ext="edit" aspectratio="f"/>
              </v:line>
            </w:pict>
          </mc:Fallback>
        </mc:AlternateContent>
      </w:r>
      <w:r>
        <w:rPr>
          <w:color w:val="000000"/>
        </w:rPr>
        <mc:AlternateContent>
          <mc:Choice Requires="wps">
            <w:drawing>
              <wp:anchor distT="0" distB="0" distL="113665" distR="113665" simplePos="0" relativeHeight="251692032" behindDoc="0" locked="0" layoutInCell="1" allowOverlap="1">
                <wp:simplePos x="0" y="0"/>
                <wp:positionH relativeFrom="column">
                  <wp:posOffset>988060</wp:posOffset>
                </wp:positionH>
                <wp:positionV relativeFrom="paragraph">
                  <wp:posOffset>210185</wp:posOffset>
                </wp:positionV>
                <wp:extent cx="0" cy="252095"/>
                <wp:effectExtent l="76200" t="0" r="57150" b="52705"/>
                <wp:wrapNone/>
                <wp:docPr id="263" name="直接连接符 263"/>
                <wp:cNvGraphicFramePr/>
                <a:graphic xmlns:a="http://schemas.openxmlformats.org/drawingml/2006/main">
                  <a:graphicData uri="http://schemas.microsoft.com/office/word/2010/wordprocessingShape">
                    <wps:wsp>
                      <wps:cNvCnPr/>
                      <wps:spPr>
                        <a:xfrm>
                          <a:off x="0" y="0"/>
                          <a:ext cx="0" cy="25209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77.8pt;margin-top:16.55pt;height:19.85pt;width:0pt;z-index:251692032;mso-width-relative:page;mso-height-relative:page;" filled="f" stroked="t" coordsize="21600,21600" o:gfxdata="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Wm/YJtgAAAAJAQAADwAAAAAAAAABACAAAAAiAAAAZHJzL2Rvd25yZXYueG1sUEsBAhQA&#10;FAAAAAgAh07iQBR/RrDyAQAA3wMAAA4AAAAAAAAAAQAgAAAAJwEAAGRycy9lMm9Eb2MueG1sUEsF&#10;BgAAAAAGAAYAWQEAAIsFAAAAAA==&#10;">
                <v:fill on="f" focussize="0,0"/>
                <v:stroke color="#000000" joinstyle="round" endarrow="block"/>
                <v:imagedata o:title=""/>
                <o:lock v:ext="edit" aspectratio="f"/>
              </v:line>
            </w:pict>
          </mc:Fallback>
        </mc:AlternateContent>
      </w:r>
    </w:p>
    <w:p>
      <w:pPr>
        <w:tabs>
          <w:tab w:val="left" w:pos="7528"/>
        </w:tabs>
        <w:snapToGrid w:val="0"/>
        <w:spacing w:before="156" w:beforeLines="50" w:after="156" w:afterLines="50" w:line="360" w:lineRule="auto"/>
        <w:ind w:firstLine="420" w:firstLineChars="200"/>
        <w:rPr>
          <w:color w:val="000000"/>
          <w:sz w:val="24"/>
        </w:rPr>
      </w:pPr>
      <w:r>
        <w:rPr>
          <w:color w:val="000000"/>
        </w:rPr>
        <mc:AlternateContent>
          <mc:Choice Requires="wps">
            <w:drawing>
              <wp:anchor distT="0" distB="0" distL="114300" distR="114300" simplePos="0" relativeHeight="251685888" behindDoc="0" locked="0" layoutInCell="1" allowOverlap="1">
                <wp:simplePos x="0" y="0"/>
                <wp:positionH relativeFrom="column">
                  <wp:posOffset>332740</wp:posOffset>
                </wp:positionH>
                <wp:positionV relativeFrom="paragraph">
                  <wp:posOffset>102235</wp:posOffset>
                </wp:positionV>
                <wp:extent cx="1299210" cy="280670"/>
                <wp:effectExtent l="0" t="0" r="15240" b="24130"/>
                <wp:wrapNone/>
                <wp:docPr id="262" name="矩形 262"/>
                <wp:cNvGraphicFramePr/>
                <a:graphic xmlns:a="http://schemas.openxmlformats.org/drawingml/2006/main">
                  <a:graphicData uri="http://schemas.microsoft.com/office/word/2010/wordprocessingShape">
                    <wps:wsp>
                      <wps:cNvSpPr/>
                      <wps:spPr>
                        <a:xfrm>
                          <a:off x="0" y="0"/>
                          <a:ext cx="1299210"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rPr>
                            </w:pPr>
                            <w:r>
                              <w:rPr>
                                <w:rFonts w:hint="eastAsia"/>
                                <w:color w:val="000000"/>
                              </w:rPr>
                              <w:t>原路面沥青评价</w:t>
                            </w:r>
                          </w:p>
                        </w:txbxContent>
                      </wps:txbx>
                      <wps:bodyPr upright="1"/>
                    </wps:wsp>
                  </a:graphicData>
                </a:graphic>
              </wp:anchor>
            </w:drawing>
          </mc:Choice>
          <mc:Fallback>
            <w:pict>
              <v:rect id="_x0000_s1026" o:spid="_x0000_s1026" o:spt="1" style="position:absolute;left:0pt;margin-left:26.2pt;margin-top:8.05pt;height:22.1pt;width:102.3pt;z-index:251685888;mso-width-relative:page;mso-height-relative:page;" fillcolor="#FFFFFF" filled="t" stroked="t" coordsize="21600,21600" o:gfxdata="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BLf99YAAAAIAQAADwAAAAAAAAABACAAAAAiAAAAZHJz&#10;L2Rvd25yZXYueG1sUEsBAhQAFAAAAAgAh07iQLocZdwGAgAALQQAAA4AAAAAAAAAAQAgAAAAJQEA&#10;AGRycy9lMm9Eb2MueG1sUEsFBgAAAAAGAAYAWQEAAJ0FAAAAAA==&#10;">
                <v:fill on="t" focussize="0,0"/>
                <v:stroke color="#000000" joinstyle="miter"/>
                <v:imagedata o:title=""/>
                <o:lock v:ext="edit" aspectratio="f"/>
                <v:textbox>
                  <w:txbxContent>
                    <w:p>
                      <w:pPr>
                        <w:jc w:val="center"/>
                        <w:rPr>
                          <w:color w:val="000000"/>
                        </w:rPr>
                      </w:pPr>
                      <w:r>
                        <w:rPr>
                          <w:rFonts w:hint="eastAsia"/>
                          <w:color w:val="000000"/>
                        </w:rPr>
                        <w:t>原路面沥青评价</w:t>
                      </w:r>
                    </w:p>
                  </w:txbxContent>
                </v:textbox>
              </v:rect>
            </w:pict>
          </mc:Fallback>
        </mc:AlternateContent>
      </w:r>
      <w:r>
        <w:rPr>
          <w:color w:val="000000"/>
        </w:rPr>
        <mc:AlternateContent>
          <mc:Choice Requires="wps">
            <w:drawing>
              <wp:anchor distT="0" distB="0" distL="114300" distR="114300" simplePos="0" relativeHeight="251686912" behindDoc="0" locked="0" layoutInCell="1" allowOverlap="1">
                <wp:simplePos x="0" y="0"/>
                <wp:positionH relativeFrom="column">
                  <wp:posOffset>2111375</wp:posOffset>
                </wp:positionH>
                <wp:positionV relativeFrom="paragraph">
                  <wp:posOffset>92710</wp:posOffset>
                </wp:positionV>
                <wp:extent cx="1235075" cy="280670"/>
                <wp:effectExtent l="0" t="0" r="22225" b="24130"/>
                <wp:wrapNone/>
                <wp:docPr id="261" name="矩形 261"/>
                <wp:cNvGraphicFramePr/>
                <a:graphic xmlns:a="http://schemas.openxmlformats.org/drawingml/2006/main">
                  <a:graphicData uri="http://schemas.microsoft.com/office/word/2010/wordprocessingShape">
                    <wps:wsp>
                      <wps:cNvSpPr/>
                      <wps:spPr>
                        <a:xfrm>
                          <a:off x="0" y="0"/>
                          <a:ext cx="1235075"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rPr>
                            </w:pPr>
                            <w:r>
                              <w:rPr>
                                <w:rFonts w:hint="eastAsia"/>
                                <w:color w:val="000000"/>
                              </w:rPr>
                              <w:t>矿料级配测定</w:t>
                            </w:r>
                          </w:p>
                        </w:txbxContent>
                      </wps:txbx>
                      <wps:bodyPr upright="1"/>
                    </wps:wsp>
                  </a:graphicData>
                </a:graphic>
              </wp:anchor>
            </w:drawing>
          </mc:Choice>
          <mc:Fallback>
            <w:pict>
              <v:rect id="_x0000_s1026" o:spid="_x0000_s1026" o:spt="1" style="position:absolute;left:0pt;margin-left:166.25pt;margin-top:7.3pt;height:22.1pt;width:97.25pt;z-index:251686912;mso-width-relative:page;mso-height-relative:page;" fillcolor="#FFFFFF" filled="t" stroked="t" coordsize="21600,21600" o:gfxdata="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t5h2fYAAAACQEAAA8AAAAAAAAAAQAgAAAAIgAAAGRy&#10;cy9kb3ducmV2LnhtbFBLAQIUABQAAAAIAIdO4kDojEidBQIAAC0EAAAOAAAAAAAAAAEAIAAAACcB&#10;AABkcnMvZTJvRG9jLnhtbFBLBQYAAAAABgAGAFkBAACeBQAAAAA=&#10;">
                <v:fill on="t" focussize="0,0"/>
                <v:stroke color="#000000" joinstyle="miter"/>
                <v:imagedata o:title=""/>
                <o:lock v:ext="edit" aspectratio="f"/>
                <v:textbox>
                  <w:txbxContent>
                    <w:p>
                      <w:pPr>
                        <w:jc w:val="center"/>
                        <w:rPr>
                          <w:color w:val="000000"/>
                        </w:rPr>
                      </w:pPr>
                      <w:r>
                        <w:rPr>
                          <w:rFonts w:hint="eastAsia"/>
                          <w:color w:val="000000"/>
                        </w:rPr>
                        <w:t>矿料级配测定</w:t>
                      </w:r>
                    </w:p>
                  </w:txbxContent>
                </v:textbox>
              </v:rect>
            </w:pict>
          </mc:Fallback>
        </mc:AlternateContent>
      </w:r>
      <w:r>
        <w:rPr>
          <w:color w:val="000000"/>
        </w:rPr>
        <mc:AlternateContent>
          <mc:Choice Requires="wps">
            <w:drawing>
              <wp:anchor distT="0" distB="0" distL="114300" distR="114300" simplePos="0" relativeHeight="251710464" behindDoc="0" locked="0" layoutInCell="1" allowOverlap="1">
                <wp:simplePos x="0" y="0"/>
                <wp:positionH relativeFrom="column">
                  <wp:posOffset>3808730</wp:posOffset>
                </wp:positionH>
                <wp:positionV relativeFrom="paragraph">
                  <wp:posOffset>104140</wp:posOffset>
                </wp:positionV>
                <wp:extent cx="1143000" cy="269240"/>
                <wp:effectExtent l="0" t="0" r="19050" b="16510"/>
                <wp:wrapNone/>
                <wp:docPr id="260" name="矩形 260"/>
                <wp:cNvGraphicFramePr/>
                <a:graphic xmlns:a="http://schemas.openxmlformats.org/drawingml/2006/main">
                  <a:graphicData uri="http://schemas.microsoft.com/office/word/2010/wordprocessingShape">
                    <wps:wsp>
                      <wps:cNvSpPr/>
                      <wps:spPr>
                        <a:xfrm>
                          <a:off x="0" y="0"/>
                          <a:ext cx="11430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rPr>
                            </w:pPr>
                            <w:r>
                              <w:rPr>
                                <w:rFonts w:hint="eastAsia"/>
                                <w:color w:val="000000"/>
                              </w:rPr>
                              <w:t>油石比测定</w:t>
                            </w:r>
                          </w:p>
                        </w:txbxContent>
                      </wps:txbx>
                      <wps:bodyPr vert="horz" anchor="t" upright="1"/>
                    </wps:wsp>
                  </a:graphicData>
                </a:graphic>
              </wp:anchor>
            </w:drawing>
          </mc:Choice>
          <mc:Fallback>
            <w:pict>
              <v:rect id="_x0000_s1026" o:spid="_x0000_s1026" o:spt="1" style="position:absolute;left:0pt;margin-left:299.9pt;margin-top:8.2pt;height:21.2pt;width:90pt;z-index:251710464;mso-width-relative:page;mso-height-relative:page;" fillcolor="#FFFFFF" filled="t" stroked="t" coordsize="21600,21600" o:gfxdata="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nFpw+tYAAAAJAQAADwAAAAAA&#10;AAABACAAAAAiAAAAZHJzL2Rvd25yZXYueG1sUEsBAhQAFAAAAAgAh07iQAYu7DQVAgAARAQAAA4A&#10;AAAAAAAAAQAgAAAAJQEAAGRycy9lMm9Eb2MueG1sUEsFBgAAAAAGAAYAWQEAAKwFAAAAAA==&#10;">
                <v:fill on="t" focussize="0,0"/>
                <v:stroke color="#000000" joinstyle="miter"/>
                <v:imagedata o:title=""/>
                <o:lock v:ext="edit" aspectratio="f"/>
                <v:textbox>
                  <w:txbxContent>
                    <w:p>
                      <w:pPr>
                        <w:jc w:val="center"/>
                        <w:rPr>
                          <w:color w:val="000000"/>
                        </w:rPr>
                      </w:pPr>
                      <w:r>
                        <w:rPr>
                          <w:rFonts w:hint="eastAsia"/>
                          <w:color w:val="000000"/>
                        </w:rPr>
                        <w:t>油石比测定</w:t>
                      </w:r>
                    </w:p>
                  </w:txbxContent>
                </v:textbox>
              </v:rect>
            </w:pict>
          </mc:Fallback>
        </mc:AlternateContent>
      </w:r>
      <w:r>
        <w:rPr>
          <w:color w:val="000000"/>
          <w:sz w:val="24"/>
        </w:rPr>
        <w:tab/>
      </w:r>
    </w:p>
    <w:p>
      <w:pPr>
        <w:snapToGrid w:val="0"/>
        <w:spacing w:before="156" w:beforeLines="50" w:after="156" w:afterLines="50" w:line="360" w:lineRule="auto"/>
        <w:ind w:firstLine="420" w:firstLineChars="200"/>
        <w:rPr>
          <w:color w:val="000000"/>
          <w:sz w:val="24"/>
        </w:rPr>
      </w:pPr>
      <w:r>
        <w:rPr>
          <w:color w:val="000000"/>
        </w:rPr>
        <mc:AlternateContent>
          <mc:Choice Requires="wps">
            <w:drawing>
              <wp:anchor distT="0" distB="0" distL="113665" distR="113665" simplePos="0" relativeHeight="251713536" behindDoc="0" locked="0" layoutInCell="1" allowOverlap="1">
                <wp:simplePos x="0" y="0"/>
                <wp:positionH relativeFrom="column">
                  <wp:posOffset>4387215</wp:posOffset>
                </wp:positionH>
                <wp:positionV relativeFrom="paragraph">
                  <wp:posOffset>6350</wp:posOffset>
                </wp:positionV>
                <wp:extent cx="0" cy="198120"/>
                <wp:effectExtent l="0" t="0" r="38100" b="30480"/>
                <wp:wrapNone/>
                <wp:docPr id="259" name="直接箭头连接符 259"/>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45.45pt;margin-top:0.5pt;height:15.6pt;width:0pt;z-index:251713536;mso-width-relative:page;mso-height-relative:page;" filled="f" stroked="t" coordsize="21600,21600" o:gfxdata="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0sAgdQAAAAIAQAADwAAAAAAAAABACAAAAAiAAAAZHJzL2Rvd25yZXYueG1sUEsBAhQA&#10;FAAAAAgAh07iQFwHuYv2AQAAwQMAAA4AAAAAAAAAAQAgAAAAIwEAAGRycy9lMm9Eb2MueG1sUEsF&#10;BgAAAAAGAAYAWQEAAIsFAAAAAA==&#10;">
                <v:fill on="f" focussize="0,0"/>
                <v:stroke color="#000000" joinstyle="round"/>
                <v:imagedata o:title=""/>
                <o:lock v:ext="edit" aspectratio="f"/>
              </v:shape>
            </w:pict>
          </mc:Fallback>
        </mc:AlternateContent>
      </w:r>
      <w:r>
        <w:rPr>
          <w:color w:val="000000"/>
        </w:rPr>
        <mc:AlternateContent>
          <mc:Choice Requires="wps">
            <w:drawing>
              <wp:anchor distT="0" distB="0" distL="113665" distR="113665" simplePos="0" relativeHeight="251688960" behindDoc="0" locked="0" layoutInCell="1" allowOverlap="1">
                <wp:simplePos x="0" y="0"/>
                <wp:positionH relativeFrom="column">
                  <wp:posOffset>3564890</wp:posOffset>
                </wp:positionH>
                <wp:positionV relativeFrom="paragraph">
                  <wp:posOffset>220980</wp:posOffset>
                </wp:positionV>
                <wp:extent cx="0" cy="431800"/>
                <wp:effectExtent l="76200" t="0" r="57150" b="63500"/>
                <wp:wrapNone/>
                <wp:docPr id="258" name="直接连接符 258"/>
                <wp:cNvGraphicFramePr/>
                <a:graphic xmlns:a="http://schemas.openxmlformats.org/drawingml/2006/main">
                  <a:graphicData uri="http://schemas.microsoft.com/office/word/2010/wordprocessingShape">
                    <wps:wsp>
                      <wps:cNvCnPr/>
                      <wps:spPr>
                        <a:xfrm>
                          <a:off x="0" y="0"/>
                          <a:ext cx="0" cy="4318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280.7pt;margin-top:17.4pt;height:34pt;width:0pt;z-index:251688960;mso-width-relative:page;mso-height-relative:page;" filled="f" stroked="t" coordsize="21600,21600" o:gfxdata="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sL01z9kAAAAKAQAADwAAAAAAAAABACAAAAAiAAAAZHJzL2Rvd25yZXYueG1sUEsB&#10;AhQAFAAAAAgAh07iQDCei3P0AQAA3wMAAA4AAAAAAAAAAQAgAAAAKAEAAGRycy9lMm9Eb2MueG1s&#10;UEsFBgAAAAAGAAYAWQEAAI4FAAAAAA==&#10;">
                <v:fill on="f" focussize="0,0"/>
                <v:stroke color="#000000" joinstyle="round" endarrow="block"/>
                <v:imagedata o:title=""/>
                <o:lock v:ext="edit" aspectratio="f"/>
              </v:line>
            </w:pict>
          </mc:Fallback>
        </mc:AlternateContent>
      </w:r>
      <w:r>
        <w:rPr>
          <w:color w:val="000000"/>
        </w:rPr>
        <mc:AlternateContent>
          <mc:Choice Requires="wps">
            <w:drawing>
              <wp:anchor distT="0" distB="0" distL="113665" distR="113665" simplePos="0" relativeHeight="251687936" behindDoc="0" locked="0" layoutInCell="1" allowOverlap="1">
                <wp:simplePos x="0" y="0"/>
                <wp:positionH relativeFrom="column">
                  <wp:posOffset>959485</wp:posOffset>
                </wp:positionH>
                <wp:positionV relativeFrom="paragraph">
                  <wp:posOffset>20955</wp:posOffset>
                </wp:positionV>
                <wp:extent cx="0" cy="612140"/>
                <wp:effectExtent l="76200" t="0" r="57150" b="54610"/>
                <wp:wrapNone/>
                <wp:docPr id="257" name="直接连接符 257"/>
                <wp:cNvGraphicFramePr/>
                <a:graphic xmlns:a="http://schemas.openxmlformats.org/drawingml/2006/main">
                  <a:graphicData uri="http://schemas.microsoft.com/office/word/2010/wordprocessingShape">
                    <wps:wsp>
                      <wps:cNvCnPr/>
                      <wps:spPr>
                        <a:xfrm>
                          <a:off x="0" y="0"/>
                          <a:ext cx="0" cy="6121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75.55pt;margin-top:1.65pt;height:48.2pt;width:0pt;z-index:251687936;mso-width-relative:page;mso-height-relative:page;" filled="f" stroked="t" coordsize="21600,21600" o:gfxdata="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POk/HXAAAACAEAAA8AAAAAAAAAAQAgAAAAIgAAAGRycy9kb3ducmV2LnhtbFBLAQIU&#10;ABQAAAAIAIdO4kDURwUw9AEAAN8DAAAOAAAAAAAAAAEAIAAAACYBAABkcnMvZTJvRG9jLnhtbFBL&#10;BQYAAAAABgAGAFkBAACMBQAAAAA=&#10;">
                <v:fill on="f" focussize="0,0"/>
                <v:stroke color="#000000" joinstyle="round" endarrow="block"/>
                <v:imagedata o:title=""/>
                <o:lock v:ext="edit" aspectratio="f"/>
              </v:line>
            </w:pict>
          </mc:Fallback>
        </mc:AlternateContent>
      </w:r>
      <w:r>
        <w:rPr>
          <w:color w:val="000000"/>
        </w:rPr>
        <mc:AlternateContent>
          <mc:Choice Requires="wps">
            <w:drawing>
              <wp:anchor distT="0" distB="0" distL="114300" distR="114300" simplePos="0" relativeHeight="251712512" behindDoc="0" locked="0" layoutInCell="1" allowOverlap="1">
                <wp:simplePos x="0" y="0"/>
                <wp:positionH relativeFrom="column">
                  <wp:posOffset>2731770</wp:posOffset>
                </wp:positionH>
                <wp:positionV relativeFrom="paragraph">
                  <wp:posOffset>208915</wp:posOffset>
                </wp:positionV>
                <wp:extent cx="1656080" cy="0"/>
                <wp:effectExtent l="0" t="0" r="0" b="0"/>
                <wp:wrapNone/>
                <wp:docPr id="256" name="直接连接符 256"/>
                <wp:cNvGraphicFramePr/>
                <a:graphic xmlns:a="http://schemas.openxmlformats.org/drawingml/2006/main">
                  <a:graphicData uri="http://schemas.microsoft.com/office/word/2010/wordprocessingShape">
                    <wps:wsp>
                      <wps:cNvCnPr/>
                      <wps:spPr>
                        <a:xfrm>
                          <a:off x="0" y="0"/>
                          <a:ext cx="165608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1pt;margin-top:16.45pt;height:0pt;width:130.4pt;z-index:251712512;mso-width-relative:page;mso-height-relative:page;" filled="f" stroked="t" coordsize="21600,21600" o:gfxdata="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3uprjWAAAACQEAAA8AAAAAAAAAAQAgAAAAIgAAAGRycy9kb3ducmV2LnhtbFBLAQIUABQAAAAI&#10;AIdO4kDKstka7wEAANwDAAAOAAAAAAAAAAEAIAAAACUBAABkcnMvZTJvRG9jLnhtbFBLBQYAAAAA&#10;BgAGAFkBAACGBQAAAAA=&#10;">
                <v:fill on="f" focussize="0,0"/>
                <v:stroke color="#000000" joinstyle="round"/>
                <v:imagedata o:title=""/>
                <o:lock v:ext="edit" aspectratio="f"/>
              </v:line>
            </w:pict>
          </mc:Fallback>
        </mc:AlternateContent>
      </w:r>
      <w:r>
        <w:rPr>
          <w:color w:val="000000"/>
        </w:rPr>
        <mc:AlternateContent>
          <mc:Choice Requires="wps">
            <w:drawing>
              <wp:anchor distT="0" distB="0" distL="113665" distR="113665" simplePos="0" relativeHeight="251711488" behindDoc="0" locked="0" layoutInCell="1" allowOverlap="1">
                <wp:simplePos x="0" y="0"/>
                <wp:positionH relativeFrom="column">
                  <wp:posOffset>2732405</wp:posOffset>
                </wp:positionH>
                <wp:positionV relativeFrom="paragraph">
                  <wp:posOffset>11430</wp:posOffset>
                </wp:positionV>
                <wp:extent cx="0" cy="198120"/>
                <wp:effectExtent l="0" t="0" r="38100" b="30480"/>
                <wp:wrapNone/>
                <wp:docPr id="186" name="直接箭头连接符 186"/>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215.15pt;margin-top:0.9pt;height:15.6pt;width:0pt;z-index:251711488;mso-width-relative:page;mso-height-relative:page;" filled="f" stroked="t" coordsize="21600,21600" o:gfxdata="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F9vhL0wAAAAgBAAAPAAAAAAAAAAEAIAAAACIAAABkcnMvZG93bnJldi54bWxQSwECFAAU&#10;AAAACACHTuJAle9UzfYBAADBAwAADgAAAAAAAAABACAAAAAiAQAAZHJzL2Uyb0RvYy54bWxQSwUG&#10;AAAAAAYABgBZAQAAigUAAAAA&#10;">
                <v:fill on="f" focussize="0,0"/>
                <v:stroke color="#000000" joinstyle="round"/>
                <v:imagedata o:title=""/>
                <o:lock v:ext="edit" aspectratio="f"/>
              </v:shape>
            </w:pict>
          </mc:Fallback>
        </mc:AlternateContent>
      </w:r>
    </w:p>
    <w:p>
      <w:pPr>
        <w:snapToGrid w:val="0"/>
        <w:spacing w:before="156" w:beforeLines="50" w:after="156" w:afterLines="50" w:line="360" w:lineRule="auto"/>
        <w:ind w:firstLine="420" w:firstLineChars="200"/>
        <w:rPr>
          <w:color w:val="000000"/>
          <w:sz w:val="24"/>
        </w:rPr>
      </w:pPr>
      <w:r>
        <w:rPr>
          <w:color w:val="000000"/>
        </w:rPr>
        <mc:AlternateContent>
          <mc:Choice Requires="wps">
            <w:drawing>
              <wp:anchor distT="0" distB="0" distL="114300" distR="114300" simplePos="0" relativeHeight="251701248" behindDoc="0" locked="0" layoutInCell="1" allowOverlap="1">
                <wp:simplePos x="0" y="0"/>
                <wp:positionH relativeFrom="column">
                  <wp:posOffset>9525</wp:posOffset>
                </wp:positionH>
                <wp:positionV relativeFrom="paragraph">
                  <wp:posOffset>154305</wp:posOffset>
                </wp:positionV>
                <wp:extent cx="4895850" cy="1550670"/>
                <wp:effectExtent l="0" t="0" r="19050" b="11430"/>
                <wp:wrapNone/>
                <wp:docPr id="185" name="矩形 185"/>
                <wp:cNvGraphicFramePr/>
                <a:graphic xmlns:a="http://schemas.openxmlformats.org/drawingml/2006/main">
                  <a:graphicData uri="http://schemas.microsoft.com/office/word/2010/wordprocessingShape">
                    <wps:wsp>
                      <wps:cNvSpPr/>
                      <wps:spPr>
                        <a:xfrm>
                          <a:off x="0" y="0"/>
                          <a:ext cx="4895850" cy="1550670"/>
                        </a:xfrm>
                        <a:prstGeom prst="rect">
                          <a:avLst/>
                        </a:prstGeom>
                        <a:solidFill>
                          <a:srgbClr val="FFFFFF">
                            <a:alpha val="0"/>
                          </a:srgbClr>
                        </a:solidFill>
                        <a:ln w="12700" cap="flat" cmpd="sng">
                          <a:solidFill>
                            <a:srgbClr val="000000"/>
                          </a:solidFill>
                          <a:prstDash val="dash"/>
                          <a:miter/>
                          <a:headEnd type="none" w="med" len="med"/>
                          <a:tailEnd type="none" w="med" len="med"/>
                        </a:ln>
                      </wps:spPr>
                      <wps:txbx>
                        <w:txbxContent>
                          <w:p>
                            <w:pPr>
                              <w:rPr>
                                <w:i/>
                              </w:rPr>
                            </w:pPr>
                          </w:p>
                        </w:txbxContent>
                      </wps:txbx>
                      <wps:bodyPr upright="1"/>
                    </wps:wsp>
                  </a:graphicData>
                </a:graphic>
              </wp:anchor>
            </w:drawing>
          </mc:Choice>
          <mc:Fallback>
            <w:pict>
              <v:rect id="_x0000_s1026" o:spid="_x0000_s1026" o:spt="1" style="position:absolute;left:0pt;margin-left:0.75pt;margin-top:12.15pt;height:122.1pt;width:385.5pt;z-index:251701248;mso-width-relative:page;mso-height-relative:page;" fillcolor="#FFFFFF" filled="t" stroked="t" coordsize="21600,21600" o:gfxdata="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I1S7bTAAAACAEAAA8AAAAAAAAAAQAg&#10;AAAAIgAAAGRycy9kb3ducmV2LnhtbFBLAQIUABQAAAAIAIdO4kCppV18EwIAAEsEAAAOAAAAAAAA&#10;AAEAIAAAACIBAABkcnMvZTJvRG9jLnhtbFBLBQYAAAAABgAGAFkBAACnBQAAAAA=&#10;">
                <v:fill on="t" opacity="0f" focussize="0,0"/>
                <v:stroke weight="1pt" color="#000000" joinstyle="miter" dashstyle="dash"/>
                <v:imagedata o:title=""/>
                <o:lock v:ext="edit" aspectratio="f"/>
                <v:textbox>
                  <w:txbxContent>
                    <w:p>
                      <w:pPr>
                        <w:rPr>
                          <w:i/>
                        </w:rPr>
                      </w:pPr>
                    </w:p>
                  </w:txbxContent>
                </v:textbox>
              </v:rect>
            </w:pict>
          </mc:Fallback>
        </mc:AlternateContent>
      </w:r>
      <w:r>
        <w:rPr>
          <w:color w:val="000000"/>
        </w:rPr>
        <mc:AlternateContent>
          <mc:Choice Requires="wps">
            <w:drawing>
              <wp:anchor distT="0" distB="0" distL="114300" distR="114300" simplePos="0" relativeHeight="251697152" behindDoc="0" locked="0" layoutInCell="1" allowOverlap="1">
                <wp:simplePos x="0" y="0"/>
                <wp:positionH relativeFrom="column">
                  <wp:posOffset>2554605</wp:posOffset>
                </wp:positionH>
                <wp:positionV relativeFrom="paragraph">
                  <wp:posOffset>268605</wp:posOffset>
                </wp:positionV>
                <wp:extent cx="1999615" cy="280670"/>
                <wp:effectExtent l="0" t="0" r="19685" b="24130"/>
                <wp:wrapNone/>
                <wp:docPr id="184" name="矩形 184"/>
                <wp:cNvGraphicFramePr/>
                <a:graphic xmlns:a="http://schemas.openxmlformats.org/drawingml/2006/main">
                  <a:graphicData uri="http://schemas.microsoft.com/office/word/2010/wordprocessingShape">
                    <wps:wsp>
                      <wps:cNvSpPr/>
                      <wps:spPr>
                        <a:xfrm>
                          <a:off x="0" y="0"/>
                          <a:ext cx="1999615"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新添加沥青混合料配合比设计</w:t>
                            </w:r>
                          </w:p>
                          <w:p>
                            <w:pPr>
                              <w:jc w:val="center"/>
                            </w:pPr>
                          </w:p>
                        </w:txbxContent>
                      </wps:txbx>
                      <wps:bodyPr upright="1"/>
                    </wps:wsp>
                  </a:graphicData>
                </a:graphic>
              </wp:anchor>
            </w:drawing>
          </mc:Choice>
          <mc:Fallback>
            <w:pict>
              <v:rect id="_x0000_s1026" o:spid="_x0000_s1026" o:spt="1" style="position:absolute;left:0pt;margin-left:201.15pt;margin-top:21.15pt;height:22.1pt;width:157.45pt;z-index:251697152;mso-width-relative:page;mso-height-relative:page;" fillcolor="#FFFFFF" filled="t" stroked="t" coordsize="21600,21600" o:gfxdata="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k46l9cAAAAJAQAADwAAAAAAAAABACAAAAAiAAAAZHJz&#10;L2Rvd25yZXYueG1sUEsBAhQAFAAAAAgAh07iQLe9MbQFAgAALQQAAA4AAAAAAAAAAQAgAAAAJgEA&#10;AGRycy9lMm9Eb2MueG1sUEsFBgAAAAAGAAYAWQEAAJ0FAAAAAA==&#10;">
                <v:fill on="t" focussize="0,0"/>
                <v:stroke color="#000000" joinstyle="miter"/>
                <v:imagedata o:title=""/>
                <o:lock v:ext="edit" aspectratio="f"/>
                <v:textbox>
                  <w:txbxContent>
                    <w:p>
                      <w:pPr>
                        <w:jc w:val="center"/>
                      </w:pPr>
                      <w:r>
                        <w:rPr>
                          <w:rFonts w:hint="eastAsia"/>
                        </w:rPr>
                        <w:t>新添加沥青混合料配合比设计</w:t>
                      </w:r>
                    </w:p>
                    <w:p>
                      <w:pPr>
                        <w:jc w:val="center"/>
                      </w:pPr>
                    </w:p>
                  </w:txbxContent>
                </v:textbox>
              </v:rect>
            </w:pict>
          </mc:Fallback>
        </mc:AlternateContent>
      </w:r>
      <w:r>
        <w:rPr>
          <w:color w:val="000000"/>
        </w:rPr>
        <mc:AlternateContent>
          <mc:Choice Requires="wps">
            <w:drawing>
              <wp:anchor distT="0" distB="0" distL="114300" distR="114300" simplePos="0" relativeHeight="251698176" behindDoc="0" locked="0" layoutInCell="1" allowOverlap="1">
                <wp:simplePos x="0" y="0"/>
                <wp:positionH relativeFrom="column">
                  <wp:posOffset>228600</wp:posOffset>
                </wp:positionH>
                <wp:positionV relativeFrom="paragraph">
                  <wp:posOffset>268605</wp:posOffset>
                </wp:positionV>
                <wp:extent cx="1835150" cy="280670"/>
                <wp:effectExtent l="0" t="0" r="12700" b="24130"/>
                <wp:wrapNone/>
                <wp:docPr id="183" name="矩形 183"/>
                <wp:cNvGraphicFramePr/>
                <a:graphic xmlns:a="http://schemas.openxmlformats.org/drawingml/2006/main">
                  <a:graphicData uri="http://schemas.microsoft.com/office/word/2010/wordprocessingShape">
                    <wps:wsp>
                      <wps:cNvSpPr/>
                      <wps:spPr>
                        <a:xfrm>
                          <a:off x="0" y="0"/>
                          <a:ext cx="1835150"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原路面沥青再生试验</w:t>
                            </w:r>
                          </w:p>
                        </w:txbxContent>
                      </wps:txbx>
                      <wps:bodyPr upright="1"/>
                    </wps:wsp>
                  </a:graphicData>
                </a:graphic>
              </wp:anchor>
            </w:drawing>
          </mc:Choice>
          <mc:Fallback>
            <w:pict>
              <v:rect id="_x0000_s1026" o:spid="_x0000_s1026" o:spt="1" style="position:absolute;left:0pt;margin-left:18pt;margin-top:21.15pt;height:22.1pt;width:144.5pt;z-index:251698176;mso-width-relative:page;mso-height-relative:page;" fillcolor="#FFFFFF" filled="t" stroked="t" coordsize="21600,21600" o:gfxdata="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HTWKdcAAAAIAQAADwAAAAAAAAABACAAAAAiAAAAZHJz&#10;L2Rvd25yZXYueG1sUEsBAhQAFAAAAAgAh07iQBgoJXMFAgAALQQAAA4AAAAAAAAAAQAgAAAAJgEA&#10;AGRycy9lMm9Eb2MueG1sUEsFBgAAAAAGAAYAWQEAAJ0FAAAAAA==&#10;">
                <v:fill on="t" focussize="0,0"/>
                <v:stroke color="#000000" joinstyle="miter"/>
                <v:imagedata o:title=""/>
                <o:lock v:ext="edit" aspectratio="f"/>
                <v:textbox>
                  <w:txbxContent>
                    <w:p>
                      <w:pPr>
                        <w:jc w:val="center"/>
                      </w:pPr>
                      <w:r>
                        <w:rPr>
                          <w:rFonts w:hint="eastAsia"/>
                        </w:rPr>
                        <w:t>原路面沥青再生试验</w:t>
                      </w:r>
                    </w:p>
                  </w:txbxContent>
                </v:textbox>
              </v:rect>
            </w:pict>
          </mc:Fallback>
        </mc:AlternateContent>
      </w:r>
    </w:p>
    <w:p>
      <w:pPr>
        <w:tabs>
          <w:tab w:val="right" w:pos="7886"/>
        </w:tabs>
        <w:snapToGrid w:val="0"/>
        <w:spacing w:before="156" w:beforeLines="50" w:after="156" w:afterLines="50" w:line="360" w:lineRule="auto"/>
        <w:ind w:firstLine="420" w:firstLineChars="200"/>
        <w:rPr>
          <w:color w:val="000000"/>
          <w:sz w:val="24"/>
        </w:rPr>
      </w:pPr>
      <w:r>
        <w:rPr>
          <w:color w:val="000000"/>
        </w:rPr>
        <mc:AlternateContent>
          <mc:Choice Requires="wps">
            <w:drawing>
              <wp:anchor distT="0" distB="0" distL="113665" distR="113665" simplePos="0" relativeHeight="251694080" behindDoc="0" locked="0" layoutInCell="1" allowOverlap="1">
                <wp:simplePos x="0" y="0"/>
                <wp:positionH relativeFrom="column">
                  <wp:posOffset>5400040</wp:posOffset>
                </wp:positionH>
                <wp:positionV relativeFrom="paragraph">
                  <wp:posOffset>304800</wp:posOffset>
                </wp:positionV>
                <wp:extent cx="0" cy="2654300"/>
                <wp:effectExtent l="0" t="0" r="38100" b="12700"/>
                <wp:wrapNone/>
                <wp:docPr id="182" name="直接连接符 182"/>
                <wp:cNvGraphicFramePr/>
                <a:graphic xmlns:a="http://schemas.openxmlformats.org/drawingml/2006/main">
                  <a:graphicData uri="http://schemas.microsoft.com/office/word/2010/wordprocessingShape">
                    <wps:wsp>
                      <wps:cNvCnPr/>
                      <wps:spPr>
                        <a:xfrm flipH="1" flipV="1">
                          <a:off x="0" y="0"/>
                          <a:ext cx="0" cy="26543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 y;margin-left:425.2pt;margin-top:24pt;height:209pt;width:0pt;z-index:251694080;mso-width-relative:page;mso-height-relative:page;" filled="f" stroked="t" coordsize="21600,21600" o:gfxdata="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yU4DttMAAAAKAQAADwAAAAAAAAABACAAAAAiAAAAZHJzL2Rvd25yZXYueG1sUEsB&#10;AhQAFAAAAAgAh07iQNVXU4r6AQAA8AMAAA4AAAAAAAAAAQAgAAAAIgEAAGRycy9lMm9Eb2MueG1s&#10;UEsFBgAAAAAGAAYAWQEAAI4FAAAAAA==&#10;">
                <v:fill on="f" focussize="0,0"/>
                <v:stroke color="#000000" joinstyle="round"/>
                <v:imagedata o:title=""/>
                <o:lock v:ext="edit" aspectratio="f"/>
              </v:line>
            </w:pict>
          </mc:Fallback>
        </mc:AlternateContent>
      </w:r>
      <w:r>
        <w:rPr>
          <w:color w:val="000000"/>
        </w:rPr>
        <mc:AlternateContent>
          <mc:Choice Requires="wps">
            <w:drawing>
              <wp:anchor distT="0" distB="0" distL="113665" distR="113665" simplePos="0" relativeHeight="251714560" behindDoc="0" locked="0" layoutInCell="1" allowOverlap="1">
                <wp:simplePos x="0" y="0"/>
                <wp:positionH relativeFrom="column">
                  <wp:posOffset>3564890</wp:posOffset>
                </wp:positionH>
                <wp:positionV relativeFrom="paragraph">
                  <wp:posOffset>187960</wp:posOffset>
                </wp:positionV>
                <wp:extent cx="0" cy="396240"/>
                <wp:effectExtent l="76200" t="0" r="57150" b="60960"/>
                <wp:wrapNone/>
                <wp:docPr id="181" name="直接连接符 181"/>
                <wp:cNvGraphicFramePr/>
                <a:graphic xmlns:a="http://schemas.openxmlformats.org/drawingml/2006/main">
                  <a:graphicData uri="http://schemas.microsoft.com/office/word/2010/wordprocessingShape">
                    <wps:wsp>
                      <wps:cNvCnPr/>
                      <wps:spPr>
                        <a:xfrm>
                          <a:off x="0" y="0"/>
                          <a:ext cx="0" cy="396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280.7pt;margin-top:14.8pt;height:31.2pt;width:0pt;z-index:251714560;mso-width-relative:page;mso-height-relative:page;" filled="f" stroked="t" coordsize="21600,21600" o:gfxdata="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hcqe3ZAAAACQEAAA8AAAAAAAAAAQAgAAAAIgAAAGRycy9kb3ducmV2LnhtbFBL&#10;AQIUABQAAAAIAIdO4kB60p/l9QEAAN8DAAAOAAAAAAAAAAEAIAAAACgBAABkcnMvZTJvRG9jLnht&#10;bFBLBQYAAAAABgAGAFkBAACPBQAAAAA=&#10;">
                <v:fill on="f" focussize="0,0"/>
                <v:stroke color="#000000" joinstyle="round" endarrow="block"/>
                <v:imagedata o:title=""/>
                <o:lock v:ext="edit" aspectratio="f"/>
              </v:line>
            </w:pict>
          </mc:Fallback>
        </mc:AlternateContent>
      </w:r>
      <w:r>
        <w:rPr>
          <w:color w:val="000000"/>
        </w:rPr>
        <mc:AlternateContent>
          <mc:Choice Requires="wps">
            <w:drawing>
              <wp:anchor distT="0" distB="0" distL="113665" distR="113665" simplePos="0" relativeHeight="251699200" behindDoc="0" locked="0" layoutInCell="1" allowOverlap="1">
                <wp:simplePos x="0" y="0"/>
                <wp:positionH relativeFrom="column">
                  <wp:posOffset>932815</wp:posOffset>
                </wp:positionH>
                <wp:positionV relativeFrom="paragraph">
                  <wp:posOffset>192405</wp:posOffset>
                </wp:positionV>
                <wp:extent cx="0" cy="396240"/>
                <wp:effectExtent l="76200" t="0" r="57150" b="60960"/>
                <wp:wrapNone/>
                <wp:docPr id="180" name="直接连接符 180"/>
                <wp:cNvGraphicFramePr/>
                <a:graphic xmlns:a="http://schemas.openxmlformats.org/drawingml/2006/main">
                  <a:graphicData uri="http://schemas.microsoft.com/office/word/2010/wordprocessingShape">
                    <wps:wsp>
                      <wps:cNvCnPr/>
                      <wps:spPr>
                        <a:xfrm>
                          <a:off x="0" y="0"/>
                          <a:ext cx="0" cy="396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73.45pt;margin-top:15.15pt;height:31.2pt;width:0pt;z-index:251699200;mso-width-relative:page;mso-height-relative:page;" filled="f" stroked="t" coordsize="21600,21600" o:gfxdata="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miHXDZAAAACQEAAA8AAAAAAAAAAQAgAAAAIgAAAGRycy9kb3ducmV2LnhtbFBL&#10;AQIUABQAAAAIAIdO4kDKSn489QEAAN8DAAAOAAAAAAAAAAEAIAAAACgBAABkcnMvZTJvRG9jLnht&#10;bFBLBQYAAAAABgAGAFkBAACPBQAAAAA=&#10;">
                <v:fill on="f" focussize="0,0"/>
                <v:stroke color="#000000" joinstyle="round" endarrow="block"/>
                <v:imagedata o:title=""/>
                <o:lock v:ext="edit" aspectratio="f"/>
              </v:line>
            </w:pict>
          </mc:Fallback>
        </mc:AlternateContent>
      </w:r>
      <w:r>
        <w:rPr>
          <w:color w:val="000000"/>
        </w:rPr>
        <mc:AlternateContent>
          <mc:Choice Requires="wps">
            <w:drawing>
              <wp:anchor distT="0" distB="0" distL="114300" distR="114300" simplePos="0" relativeHeight="251695104" behindDoc="0" locked="0" layoutInCell="1" allowOverlap="1">
                <wp:simplePos x="0" y="0"/>
                <wp:positionH relativeFrom="column">
                  <wp:posOffset>4905375</wp:posOffset>
                </wp:positionH>
                <wp:positionV relativeFrom="paragraph">
                  <wp:posOffset>304165</wp:posOffset>
                </wp:positionV>
                <wp:extent cx="488950" cy="0"/>
                <wp:effectExtent l="38100" t="76200" r="0" b="95250"/>
                <wp:wrapNone/>
                <wp:docPr id="179" name="直接连接符 179"/>
                <wp:cNvGraphicFramePr/>
                <a:graphic xmlns:a="http://schemas.openxmlformats.org/drawingml/2006/main">
                  <a:graphicData uri="http://schemas.microsoft.com/office/word/2010/wordprocessingShape">
                    <wps:wsp>
                      <wps:cNvCnPr/>
                      <wps:spPr>
                        <a:xfrm flipH="1">
                          <a:off x="0" y="0"/>
                          <a:ext cx="488950" cy="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86.25pt;margin-top:23.95pt;height:0pt;width:38.5pt;z-index:251695104;mso-width-relative:page;mso-height-relative:page;" filled="f" stroked="t" coordsize="21600,21600" o:gfxdata="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oBx2M2AAAAAkBAAAPAAAAAAAAAAEAIAAAACIAAABkcnMvZG93bnJl&#10;di54bWxQSwECFAAUAAAACACHTuJAK1/qWP0BAADpAwAADgAAAAAAAAABACAAAAAnAQAAZHJzL2Uy&#10;b0RvYy54bWxQSwUGAAAAAAYABgBZAQAAlgUAAAAA&#10;">
                <v:fill on="f" focussize="0,0"/>
                <v:stroke color="#000000" joinstyle="round" endarrow="block"/>
                <v:imagedata o:title=""/>
                <o:lock v:ext="edit" aspectratio="f"/>
              </v:line>
            </w:pict>
          </mc:Fallback>
        </mc:AlternateContent>
      </w:r>
      <w:r>
        <w:rPr>
          <w:color w:val="000000"/>
          <w:sz w:val="24"/>
        </w:rPr>
        <w:tab/>
      </w:r>
    </w:p>
    <w:p>
      <w:pPr>
        <w:snapToGrid w:val="0"/>
        <w:spacing w:before="156" w:beforeLines="50" w:after="156" w:afterLines="50" w:line="360" w:lineRule="auto"/>
        <w:ind w:firstLine="420" w:firstLineChars="200"/>
        <w:rPr>
          <w:color w:val="000000"/>
          <w:sz w:val="24"/>
        </w:rPr>
      </w:pPr>
      <w:r>
        <w:rPr>
          <w:color w:val="000000"/>
        </w:rPr>
        <mc:AlternateContent>
          <mc:Choice Requires="wps">
            <w:drawing>
              <wp:anchor distT="0" distB="0" distL="114300" distR="114300" simplePos="0" relativeHeight="251702272" behindDoc="0" locked="0" layoutInCell="1" allowOverlap="1">
                <wp:simplePos x="0" y="0"/>
                <wp:positionH relativeFrom="column">
                  <wp:posOffset>2526030</wp:posOffset>
                </wp:positionH>
                <wp:positionV relativeFrom="paragraph">
                  <wp:posOffset>229870</wp:posOffset>
                </wp:positionV>
                <wp:extent cx="2028190" cy="267335"/>
                <wp:effectExtent l="0" t="0" r="10160" b="18415"/>
                <wp:wrapNone/>
                <wp:docPr id="178" name="矩形 178"/>
                <wp:cNvGraphicFramePr/>
                <a:graphic xmlns:a="http://schemas.openxmlformats.org/drawingml/2006/main">
                  <a:graphicData uri="http://schemas.microsoft.com/office/word/2010/wordprocessingShape">
                    <wps:wsp>
                      <wps:cNvSpPr/>
                      <wps:spPr>
                        <a:xfrm>
                          <a:off x="0" y="0"/>
                          <a:ext cx="2028190" cy="2673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t>再生沥青混合料配合比设计</w:t>
                            </w:r>
                          </w:p>
                        </w:txbxContent>
                      </wps:txbx>
                      <wps:bodyPr upright="1"/>
                    </wps:wsp>
                  </a:graphicData>
                </a:graphic>
              </wp:anchor>
            </w:drawing>
          </mc:Choice>
          <mc:Fallback>
            <w:pict>
              <v:rect id="_x0000_s1026" o:spid="_x0000_s1026" o:spt="1" style="position:absolute;left:0pt;margin-left:198.9pt;margin-top:18.1pt;height:21.05pt;width:159.7pt;z-index:251702272;mso-width-relative:page;mso-height-relative:page;" fillcolor="#FFFFFF" filled="t" stroked="t" coordsize="21600,21600" o:gfxdata="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GNHPTXAAAACQEAAA8AAAAAAAAAAQAgAAAAIgAAAGRycy9k&#10;b3ducmV2LnhtbFBLAQIUABQAAAAIAIdO4kCjHHrgAwIAAC0EAAAOAAAAAAAAAAEAIAAAACYBAABk&#10;cnMvZTJvRG9jLnhtbFBLBQYAAAAABgAGAFkBAACbBQAAAAA=&#10;">
                <v:fill on="t" focussize="0,0"/>
                <v:stroke color="#000000" joinstyle="miter"/>
                <v:imagedata o:title=""/>
                <o:lock v:ext="edit" aspectratio="f"/>
                <v:textbox>
                  <w:txbxContent>
                    <w:p>
                      <w:pPr>
                        <w:jc w:val="center"/>
                      </w:pPr>
                      <w:r>
                        <w:t>再生沥青混合料配合比设计</w:t>
                      </w:r>
                    </w:p>
                  </w:txbxContent>
                </v:textbox>
              </v:rect>
            </w:pict>
          </mc:Fallback>
        </mc:AlternateContent>
      </w:r>
      <w:r>
        <w:rPr>
          <w:color w:val="000000"/>
        </w:rPr>
        <mc:AlternateContent>
          <mc:Choice Requires="wps">
            <w:drawing>
              <wp:anchor distT="0" distB="0" distL="114300" distR="114300" simplePos="0" relativeHeight="251691008" behindDoc="0" locked="0" layoutInCell="1" allowOverlap="1">
                <wp:simplePos x="0" y="0"/>
                <wp:positionH relativeFrom="column">
                  <wp:posOffset>228600</wp:posOffset>
                </wp:positionH>
                <wp:positionV relativeFrom="paragraph">
                  <wp:posOffset>228600</wp:posOffset>
                </wp:positionV>
                <wp:extent cx="1835150" cy="280670"/>
                <wp:effectExtent l="0" t="0" r="12700" b="24130"/>
                <wp:wrapNone/>
                <wp:docPr id="177" name="矩形 177"/>
                <wp:cNvGraphicFramePr/>
                <a:graphic xmlns:a="http://schemas.openxmlformats.org/drawingml/2006/main">
                  <a:graphicData uri="http://schemas.microsoft.com/office/word/2010/wordprocessingShape">
                    <wps:wsp>
                      <wps:cNvSpPr/>
                      <wps:spPr>
                        <a:xfrm>
                          <a:off x="0" y="0"/>
                          <a:ext cx="1835150"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再生剂类型和用量确定</w:t>
                            </w:r>
                          </w:p>
                        </w:txbxContent>
                      </wps:txbx>
                      <wps:bodyPr upright="1"/>
                    </wps:wsp>
                  </a:graphicData>
                </a:graphic>
              </wp:anchor>
            </w:drawing>
          </mc:Choice>
          <mc:Fallback>
            <w:pict>
              <v:rect id="_x0000_s1026" o:spid="_x0000_s1026" o:spt="1" style="position:absolute;left:0pt;margin-left:18pt;margin-top:18pt;height:22.1pt;width:144.5pt;z-index:251691008;mso-width-relative:page;mso-height-relative:page;" fillcolor="#FFFFFF" filled="t" stroked="t" coordsize="21600,21600" o:gfxdata="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zsiD71gAAAAgBAAAPAAAAAAAAAAEAIAAAACIAAABkcnMv&#10;ZG93bnJldi54bWxQSwECFAAUAAAACACHTuJAP/R7/gUCAAAtBAAADgAAAAAAAAABACAAAAAlAQAA&#10;ZHJzL2Uyb0RvYy54bWxQSwUGAAAAAAYABgBZAQAAnAUAAAAA&#10;">
                <v:fill on="t" focussize="0,0"/>
                <v:stroke color="#000000" joinstyle="miter"/>
                <v:imagedata o:title=""/>
                <o:lock v:ext="edit" aspectratio="f"/>
                <v:textbox>
                  <w:txbxContent>
                    <w:p>
                      <w:pPr>
                        <w:jc w:val="center"/>
                      </w:pPr>
                      <w:r>
                        <w:rPr>
                          <w:rFonts w:hint="eastAsia"/>
                        </w:rPr>
                        <w:t>再生剂类型和用量确定</w:t>
                      </w:r>
                    </w:p>
                  </w:txbxContent>
                </v:textbox>
              </v:rect>
            </w:pict>
          </mc:Fallback>
        </mc:AlternateContent>
      </w:r>
    </w:p>
    <w:p>
      <w:pPr>
        <w:snapToGrid w:val="0"/>
        <w:spacing w:before="156" w:beforeLines="50" w:after="156" w:afterLines="50" w:line="360" w:lineRule="auto"/>
        <w:ind w:firstLine="420" w:firstLineChars="200"/>
        <w:rPr>
          <w:color w:val="000000"/>
          <w:sz w:val="24"/>
        </w:rPr>
      </w:pPr>
      <w:r>
        <w:rPr>
          <w:color w:val="000000"/>
        </w:rPr>
        <mc:AlternateContent>
          <mc:Choice Requires="wps">
            <w:drawing>
              <wp:anchor distT="0" distB="0" distL="113665" distR="113665" simplePos="0" relativeHeight="251689984" behindDoc="0" locked="0" layoutInCell="1" allowOverlap="1">
                <wp:simplePos x="0" y="0"/>
                <wp:positionH relativeFrom="column">
                  <wp:posOffset>3580765</wp:posOffset>
                </wp:positionH>
                <wp:positionV relativeFrom="paragraph">
                  <wp:posOffset>135255</wp:posOffset>
                </wp:positionV>
                <wp:extent cx="0" cy="187325"/>
                <wp:effectExtent l="0" t="0" r="38100" b="22225"/>
                <wp:wrapNone/>
                <wp:docPr id="176" name="直接连接符 176"/>
                <wp:cNvGraphicFramePr/>
                <a:graphic xmlns:a="http://schemas.openxmlformats.org/drawingml/2006/main">
                  <a:graphicData uri="http://schemas.microsoft.com/office/word/2010/wordprocessingShape">
                    <wps:wsp>
                      <wps:cNvCnPr/>
                      <wps:spPr>
                        <a:xfrm flipV="1">
                          <a:off x="0" y="0"/>
                          <a:ext cx="0" cy="18732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281.95pt;margin-top:10.65pt;height:14.75pt;width:0pt;z-index:251689984;mso-width-relative:page;mso-height-relative:page;" filled="f" stroked="t" coordsize="21600,21600" o:gfxdata="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toLKX1QAAAAkBAAAPAAAAAAAAAAEAIAAAACIAAABkcnMvZG93bnJldi54bWxQSwECFAAUAAAA&#10;CACHTuJAbiS0iPEBAADlAwAADgAAAAAAAAABACAAAAAkAQAAZHJzL2Uyb0RvYy54bWxQSwUGAAAA&#10;AAYABgBZAQAAhwUAAAAA&#10;">
                <v:fill on="f" focussize="0,0"/>
                <v:stroke color="#000000" joinstyle="round"/>
                <v:imagedata o:title=""/>
                <o:lock v:ext="edit" aspectratio="f"/>
              </v:line>
            </w:pict>
          </mc:Fallback>
        </mc:AlternateContent>
      </w:r>
      <w:r>
        <w:rPr>
          <w:color w:val="000000"/>
        </w:rPr>
        <mc:AlternateContent>
          <mc:Choice Requires="wps">
            <w:drawing>
              <wp:anchor distT="0" distB="0" distL="114300" distR="114300" simplePos="0" relativeHeight="251693056" behindDoc="0" locked="0" layoutInCell="1" allowOverlap="1">
                <wp:simplePos x="0" y="0"/>
                <wp:positionH relativeFrom="column">
                  <wp:posOffset>922655</wp:posOffset>
                </wp:positionH>
                <wp:positionV relativeFrom="paragraph">
                  <wp:posOffset>324485</wp:posOffset>
                </wp:positionV>
                <wp:extent cx="2663825" cy="0"/>
                <wp:effectExtent l="0" t="0" r="0" b="0"/>
                <wp:wrapNone/>
                <wp:docPr id="175" name="直接连接符 175"/>
                <wp:cNvGraphicFramePr/>
                <a:graphic xmlns:a="http://schemas.openxmlformats.org/drawingml/2006/main">
                  <a:graphicData uri="http://schemas.microsoft.com/office/word/2010/wordprocessingShape">
                    <wps:wsp>
                      <wps:cNvCnPr/>
                      <wps:spPr>
                        <a:xfrm>
                          <a:off x="0" y="0"/>
                          <a:ext cx="266382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72.65pt;margin-top:25.55pt;height:0pt;width:209.75pt;z-index:251693056;mso-width-relative:page;mso-height-relative:page;" filled="f" stroked="t" coordsize="21600,21600" o:gfxdata="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V&#10;XO1d1gAAAAkBAAAPAAAAAAAAAAEAIAAAACIAAABkcnMvZG93bnJldi54bWxQSwECFAAUAAAACACH&#10;TuJAvXmnR+0BAADcAwAADgAAAAAAAAABACAAAAAlAQAAZHJzL2Uyb0RvYy54bWxQSwUGAAAAAAYA&#10;BgBZAQAAhAUAAAAA&#10;">
                <v:fill on="f" focussize="0,0"/>
                <v:stroke color="#000000" joinstyle="round"/>
                <v:imagedata o:title=""/>
                <o:lock v:ext="edit" aspectratio="f"/>
              </v:line>
            </w:pict>
          </mc:Fallback>
        </mc:AlternateContent>
      </w:r>
      <w:r>
        <w:rPr>
          <w:color w:val="000000"/>
        </w:rPr>
        <mc:AlternateContent>
          <mc:Choice Requires="wps">
            <w:drawing>
              <wp:anchor distT="0" distB="0" distL="113665" distR="113665" simplePos="0" relativeHeight="251703296" behindDoc="0" locked="0" layoutInCell="1" allowOverlap="1">
                <wp:simplePos x="0" y="0"/>
                <wp:positionH relativeFrom="column">
                  <wp:posOffset>2329180</wp:posOffset>
                </wp:positionH>
                <wp:positionV relativeFrom="paragraph">
                  <wp:posOffset>334645</wp:posOffset>
                </wp:positionV>
                <wp:extent cx="0" cy="467995"/>
                <wp:effectExtent l="76200" t="0" r="57150" b="65405"/>
                <wp:wrapNone/>
                <wp:docPr id="174" name="直接连接符 174"/>
                <wp:cNvGraphicFramePr/>
                <a:graphic xmlns:a="http://schemas.openxmlformats.org/drawingml/2006/main">
                  <a:graphicData uri="http://schemas.microsoft.com/office/word/2010/wordprocessingShape">
                    <wps:wsp>
                      <wps:cNvCnPr/>
                      <wps:spPr>
                        <a:xfrm>
                          <a:off x="0" y="0"/>
                          <a:ext cx="0" cy="46799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183.4pt;margin-top:26.35pt;height:36.85pt;width:0pt;z-index:251703296;mso-width-relative:page;mso-height-relative:page;" filled="f" stroked="t" coordsize="21600,21600" o:gfxdata="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IjxyD2QAAAAoBAAAPAAAAAAAAAAEAIAAAACIAAABkcnMvZG93bnJldi54bWxQSwEC&#10;FAAUAAAACACHTuJAqk8Hp/MBAADfAwAADgAAAAAAAAABACAAAAAoAQAAZHJzL2Uyb0RvYy54bWxQ&#10;SwUGAAAAAAYABgBZAQAAjQUAAAAA&#10;">
                <v:fill on="f" focussize="0,0"/>
                <v:stroke color="#000000" joinstyle="round" endarrow="block"/>
                <v:imagedata o:title=""/>
                <o:lock v:ext="edit" aspectratio="f"/>
              </v:line>
            </w:pict>
          </mc:Fallback>
        </mc:AlternateContent>
      </w:r>
      <w:r>
        <w:rPr>
          <w:color w:val="000000"/>
        </w:rPr>
        <mc:AlternateContent>
          <mc:Choice Requires="wps">
            <w:drawing>
              <wp:anchor distT="0" distB="0" distL="113665" distR="113665" simplePos="0" relativeHeight="251692032" behindDoc="0" locked="0" layoutInCell="1" allowOverlap="1">
                <wp:simplePos x="0" y="0"/>
                <wp:positionH relativeFrom="column">
                  <wp:posOffset>922020</wp:posOffset>
                </wp:positionH>
                <wp:positionV relativeFrom="paragraph">
                  <wp:posOffset>147320</wp:posOffset>
                </wp:positionV>
                <wp:extent cx="0" cy="179705"/>
                <wp:effectExtent l="0" t="0" r="38100" b="29845"/>
                <wp:wrapNone/>
                <wp:docPr id="173" name="直接连接符 173"/>
                <wp:cNvGraphicFramePr/>
                <a:graphic xmlns:a="http://schemas.openxmlformats.org/drawingml/2006/main">
                  <a:graphicData uri="http://schemas.microsoft.com/office/word/2010/wordprocessingShape">
                    <wps:wsp>
                      <wps:cNvCnPr/>
                      <wps:spPr>
                        <a:xfrm>
                          <a:off x="0" y="0"/>
                          <a:ext cx="0" cy="17970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72.6pt;margin-top:11.6pt;height:14.15pt;width:0pt;z-index:251692032;mso-width-relative:page;mso-height-relative:page;" filled="f" stroked="t" coordsize="21600,21600" o:gfxdata="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F5Ccf&#10;1gAAAAkBAAAPAAAAAAAAAAEAIAAAACIAAABkcnMvZG93bnJldi54bWxQSwECFAAUAAAACACHTuJA&#10;V2K27uoBAADbAwAADgAAAAAAAAABACAAAAAlAQAAZHJzL2Uyb0RvYy54bWxQSwUGAAAAAAYABgBZ&#10;AQAAgQUAAAAA&#10;">
                <v:fill on="f" focussize="0,0"/>
                <v:stroke color="#000000" joinstyle="round"/>
                <v:imagedata o:title=""/>
                <o:lock v:ext="edit" aspectratio="f"/>
              </v:line>
            </w:pict>
          </mc:Fallback>
        </mc:AlternateContent>
      </w:r>
    </w:p>
    <w:p>
      <w:pPr>
        <w:snapToGrid w:val="0"/>
        <w:spacing w:before="156" w:beforeLines="50" w:after="156" w:afterLines="50" w:line="360" w:lineRule="auto"/>
        <w:ind w:firstLine="480" w:firstLineChars="200"/>
        <w:rPr>
          <w:color w:val="000000"/>
          <w:sz w:val="24"/>
        </w:rPr>
      </w:pPr>
    </w:p>
    <w:p>
      <w:pPr>
        <w:snapToGrid w:val="0"/>
        <w:spacing w:before="156" w:beforeLines="50" w:after="156" w:afterLines="50" w:line="360" w:lineRule="auto"/>
        <w:ind w:firstLine="420" w:firstLineChars="200"/>
        <w:rPr>
          <w:color w:val="000000"/>
          <w:sz w:val="24"/>
        </w:rPr>
      </w:pPr>
      <w:r>
        <w:rPr>
          <w:color w:val="000000"/>
        </w:rPr>
        <mc:AlternateContent>
          <mc:Choice Requires="wps">
            <w:drawing>
              <wp:anchor distT="0" distB="0" distL="114300" distR="114300" simplePos="0" relativeHeight="251704320" behindDoc="0" locked="0" layoutInCell="1" allowOverlap="1">
                <wp:simplePos x="0" y="0"/>
                <wp:positionH relativeFrom="column">
                  <wp:posOffset>1068705</wp:posOffset>
                </wp:positionH>
                <wp:positionV relativeFrom="paragraph">
                  <wp:posOffset>55245</wp:posOffset>
                </wp:positionV>
                <wp:extent cx="2529840" cy="280670"/>
                <wp:effectExtent l="0" t="0" r="22860" b="24130"/>
                <wp:wrapNone/>
                <wp:docPr id="172" name="矩形 172"/>
                <wp:cNvGraphicFramePr/>
                <a:graphic xmlns:a="http://schemas.openxmlformats.org/drawingml/2006/main">
                  <a:graphicData uri="http://schemas.microsoft.com/office/word/2010/wordprocessingShape">
                    <wps:wsp>
                      <wps:cNvSpPr/>
                      <wps:spPr>
                        <a:xfrm>
                          <a:off x="0" y="0"/>
                          <a:ext cx="2529840"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rPr>
                            </w:pPr>
                            <w:r>
                              <w:rPr>
                                <w:rFonts w:hint="eastAsia"/>
                                <w:color w:val="000000"/>
                              </w:rPr>
                              <w:t>再生沥青混合料最佳沥青用量确定</w:t>
                            </w:r>
                          </w:p>
                        </w:txbxContent>
                      </wps:txbx>
                      <wps:bodyPr upright="1"/>
                    </wps:wsp>
                  </a:graphicData>
                </a:graphic>
              </wp:anchor>
            </w:drawing>
          </mc:Choice>
          <mc:Fallback>
            <w:pict>
              <v:rect id="_x0000_s1026" o:spid="_x0000_s1026" o:spt="1" style="position:absolute;left:0pt;margin-left:84.15pt;margin-top:4.35pt;height:22.1pt;width:199.2pt;z-index:251704320;mso-width-relative:page;mso-height-relative:page;" fillcolor="#FFFFFF" filled="t" stroked="t" coordsize="21600,21600" o:gfxdata="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Xu4ZNYAAAAIAQAADwAAAAAAAAABACAAAAAiAAAAZHJz&#10;L2Rvd25yZXYueG1sUEsBAhQAFAAAAAgAh07iQPE8aJcGAgAALQQAAA4AAAAAAAAAAQAgAAAAJQEA&#10;AGRycy9lMm9Eb2MueG1sUEsFBgAAAAAGAAYAWQEAAJ0FAAAAAA==&#10;">
                <v:fill on="t" focussize="0,0"/>
                <v:stroke color="#000000" joinstyle="miter"/>
                <v:imagedata o:title=""/>
                <o:lock v:ext="edit" aspectratio="f"/>
                <v:textbox>
                  <w:txbxContent>
                    <w:p>
                      <w:pPr>
                        <w:jc w:val="center"/>
                        <w:rPr>
                          <w:color w:val="000000"/>
                        </w:rPr>
                      </w:pPr>
                      <w:r>
                        <w:rPr>
                          <w:rFonts w:hint="eastAsia"/>
                          <w:color w:val="000000"/>
                        </w:rPr>
                        <w:t>再生沥青混合料最佳沥青用量确定</w:t>
                      </w:r>
                    </w:p>
                  </w:txbxContent>
                </v:textbox>
              </v:rect>
            </w:pict>
          </mc:Fallback>
        </mc:AlternateContent>
      </w:r>
      <w:r>
        <w:rPr>
          <w:color w:val="000000"/>
          <w:sz w:val="24"/>
        </w:rPr>
        <mc:AlternateContent>
          <mc:Choice Requires="wps">
            <w:drawing>
              <wp:anchor distT="0" distB="0" distL="113665" distR="113665" simplePos="0" relativeHeight="251705344" behindDoc="0" locked="0" layoutInCell="1" allowOverlap="1">
                <wp:simplePos x="0" y="0"/>
                <wp:positionH relativeFrom="column">
                  <wp:posOffset>2329180</wp:posOffset>
                </wp:positionH>
                <wp:positionV relativeFrom="paragraph">
                  <wp:posOffset>335915</wp:posOffset>
                </wp:positionV>
                <wp:extent cx="0" cy="323850"/>
                <wp:effectExtent l="76200" t="0" r="76200" b="57150"/>
                <wp:wrapNone/>
                <wp:docPr id="171" name="直接连接符 171"/>
                <wp:cNvGraphicFramePr/>
                <a:graphic xmlns:a="http://schemas.openxmlformats.org/drawingml/2006/main">
                  <a:graphicData uri="http://schemas.microsoft.com/office/word/2010/wordprocessingShape">
                    <wps:wsp>
                      <wps:cNvCnPr/>
                      <wps:spPr>
                        <a:xfrm>
                          <a:off x="0" y="0"/>
                          <a:ext cx="0" cy="3238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183.4pt;margin-top:26.45pt;height:25.5pt;width:0pt;z-index:251705344;mso-width-relative:page;mso-height-relative:page;" filled="f" stroked="t" coordsize="21600,21600" o:gfxdata="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sdHRPZAAAACgEAAA8AAAAAAAAAAQAgAAAAIgAAAGRycy9kb3ducmV2LnhtbFBL&#10;AQIUABQAAAAIAIdO4kB5NBTp9QEAAN8DAAAOAAAAAAAAAAEAIAAAACgBAABkcnMvZTJvRG9jLnht&#10;bFBLBQYAAAAABgAGAFkBAACPBQAAAAA=&#10;">
                <v:fill on="f" focussize="0,0"/>
                <v:stroke color="#000000" joinstyle="round" endarrow="block"/>
                <v:imagedata o:title=""/>
                <o:lock v:ext="edit" aspectratio="f"/>
              </v:line>
            </w:pict>
          </mc:Fallback>
        </mc:AlternateContent>
      </w:r>
    </w:p>
    <w:p>
      <w:pPr>
        <w:snapToGrid w:val="0"/>
        <w:spacing w:before="156" w:beforeLines="50" w:after="156" w:afterLines="50" w:line="360" w:lineRule="auto"/>
        <w:ind w:firstLine="480" w:firstLineChars="200"/>
        <w:rPr>
          <w:color w:val="000000"/>
          <w:sz w:val="24"/>
        </w:rPr>
      </w:pPr>
      <w:r>
        <w:rPr>
          <w:color w:val="000000"/>
          <w:sz w:val="24"/>
        </w:rPr>
        <mc:AlternateContent>
          <mc:Choice Requires="wps">
            <w:drawing>
              <wp:anchor distT="0" distB="0" distL="114300" distR="114300" simplePos="0" relativeHeight="251706368" behindDoc="0" locked="0" layoutInCell="1" allowOverlap="1">
                <wp:simplePos x="0" y="0"/>
                <wp:positionH relativeFrom="column">
                  <wp:posOffset>1341755</wp:posOffset>
                </wp:positionH>
                <wp:positionV relativeFrom="paragraph">
                  <wp:posOffset>285115</wp:posOffset>
                </wp:positionV>
                <wp:extent cx="1976755" cy="280670"/>
                <wp:effectExtent l="0" t="0" r="23495" b="24130"/>
                <wp:wrapNone/>
                <wp:docPr id="170" name="矩形 170"/>
                <wp:cNvGraphicFramePr/>
                <a:graphic xmlns:a="http://schemas.openxmlformats.org/drawingml/2006/main">
                  <a:graphicData uri="http://schemas.microsoft.com/office/word/2010/wordprocessingShape">
                    <wps:wsp>
                      <wps:cNvSpPr/>
                      <wps:spPr>
                        <a:xfrm>
                          <a:off x="0" y="0"/>
                          <a:ext cx="1976755"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rPr>
                            </w:pPr>
                            <w:r>
                              <w:rPr>
                                <w:rFonts w:hint="eastAsia"/>
                                <w:color w:val="000000"/>
                              </w:rPr>
                              <w:t>再生沥青混合料性能验证</w:t>
                            </w:r>
                          </w:p>
                        </w:txbxContent>
                      </wps:txbx>
                      <wps:bodyPr upright="1"/>
                    </wps:wsp>
                  </a:graphicData>
                </a:graphic>
              </wp:anchor>
            </w:drawing>
          </mc:Choice>
          <mc:Fallback>
            <w:pict>
              <v:rect id="_x0000_s1026" o:spid="_x0000_s1026" o:spt="1" style="position:absolute;left:0pt;margin-left:105.65pt;margin-top:22.45pt;height:22.1pt;width:155.65pt;z-index:251706368;mso-width-relative:page;mso-height-relative:page;" fillcolor="#FFFFFF" filled="t" stroked="t" coordsize="21600,21600" o:gfxdata="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USwYNgAAAAJAQAADwAAAAAAAAABACAAAAAiAAAAZHJz&#10;L2Rvd25yZXYueG1sUEsBAhQAFAAAAAgAh07iQJqysOMEAgAALQQAAA4AAAAAAAAAAQAgAAAAJwEA&#10;AGRycy9lMm9Eb2MueG1sUEsFBgAAAAAGAAYAWQEAAJ0FAAAAAA==&#10;">
                <v:fill on="t" focussize="0,0"/>
                <v:stroke color="#000000" joinstyle="miter"/>
                <v:imagedata o:title=""/>
                <o:lock v:ext="edit" aspectratio="f"/>
                <v:textbox>
                  <w:txbxContent>
                    <w:p>
                      <w:pPr>
                        <w:jc w:val="center"/>
                        <w:rPr>
                          <w:color w:val="000000"/>
                        </w:rPr>
                      </w:pPr>
                      <w:r>
                        <w:rPr>
                          <w:rFonts w:hint="eastAsia"/>
                          <w:color w:val="000000"/>
                        </w:rPr>
                        <w:t>再生沥青混合料性能验证</w:t>
                      </w:r>
                    </w:p>
                  </w:txbxContent>
                </v:textbox>
              </v:rect>
            </w:pict>
          </mc:Fallback>
        </mc:AlternateContent>
      </w:r>
    </w:p>
    <w:p>
      <w:pPr>
        <w:snapToGrid w:val="0"/>
        <w:spacing w:before="156" w:beforeLines="50" w:after="156" w:afterLines="50" w:line="360" w:lineRule="auto"/>
        <w:ind w:firstLine="420" w:firstLineChars="200"/>
        <w:rPr>
          <w:color w:val="000000"/>
          <w:sz w:val="24"/>
        </w:rPr>
      </w:pPr>
      <w:r>
        <w:rPr>
          <w:color w:val="000000"/>
        </w:rPr>
        <mc:AlternateContent>
          <mc:Choice Requires="wps">
            <w:drawing>
              <wp:anchor distT="0" distB="0" distL="113665" distR="113665" simplePos="0" relativeHeight="251715584" behindDoc="0" locked="0" layoutInCell="1" allowOverlap="1">
                <wp:simplePos x="0" y="0"/>
                <wp:positionH relativeFrom="column">
                  <wp:posOffset>2329180</wp:posOffset>
                </wp:positionH>
                <wp:positionV relativeFrom="paragraph">
                  <wp:posOffset>202565</wp:posOffset>
                </wp:positionV>
                <wp:extent cx="0" cy="323850"/>
                <wp:effectExtent l="76200" t="0" r="76200" b="57150"/>
                <wp:wrapNone/>
                <wp:docPr id="169" name="直接连接符 169"/>
                <wp:cNvGraphicFramePr/>
                <a:graphic xmlns:a="http://schemas.openxmlformats.org/drawingml/2006/main">
                  <a:graphicData uri="http://schemas.microsoft.com/office/word/2010/wordprocessingShape">
                    <wps:wsp>
                      <wps:cNvCnPr/>
                      <wps:spPr>
                        <a:xfrm>
                          <a:off x="0" y="0"/>
                          <a:ext cx="0" cy="3238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183.4pt;margin-top:15.95pt;height:25.5pt;width:0pt;z-index:251715584;mso-width-relative:page;mso-height-relative:page;" filled="f" stroked="t" coordsize="21600,21600" o:gfxdata="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xIca3ZAAAACQEAAA8AAAAAAAAAAQAgAAAAIgAAAGRycy9kb3ducmV2LnhtbFBL&#10;AQIUABQAAAAIAIdO4kCovBVb9QEAAN8DAAAOAAAAAAAAAAEAIAAAACgBAABkcnMvZTJvRG9jLnht&#10;bFBLBQYAAAAABgAGAFkBAACPBQAAAAA=&#10;">
                <v:fill on="f" focussize="0,0"/>
                <v:stroke color="#000000" joinstyle="round" endarrow="block"/>
                <v:imagedata o:title=""/>
                <o:lock v:ext="edit" aspectratio="f"/>
              </v:line>
            </w:pict>
          </mc:Fallback>
        </mc:AlternateContent>
      </w:r>
    </w:p>
    <w:p>
      <w:pPr>
        <w:snapToGrid w:val="0"/>
        <w:spacing w:before="156" w:beforeLines="50" w:after="156" w:afterLines="50" w:line="360" w:lineRule="auto"/>
        <w:rPr>
          <w:color w:val="000000"/>
          <w:sz w:val="24"/>
        </w:rPr>
      </w:pPr>
      <w:r>
        <w:rPr>
          <w:color w:val="000000"/>
        </w:rPr>
        <mc:AlternateContent>
          <mc:Choice Requires="wps">
            <w:drawing>
              <wp:anchor distT="0" distB="0" distL="114300" distR="114300" simplePos="0" relativeHeight="251696128" behindDoc="0" locked="0" layoutInCell="1" allowOverlap="1">
                <wp:simplePos x="0" y="0"/>
                <wp:positionH relativeFrom="column">
                  <wp:posOffset>4143375</wp:posOffset>
                </wp:positionH>
                <wp:positionV relativeFrom="paragraph">
                  <wp:posOffset>80010</wp:posOffset>
                </wp:positionV>
                <wp:extent cx="370840" cy="280670"/>
                <wp:effectExtent l="0" t="0" r="0" b="5080"/>
                <wp:wrapNone/>
                <wp:docPr id="168" name="矩形 168"/>
                <wp:cNvGraphicFramePr/>
                <a:graphic xmlns:a="http://schemas.openxmlformats.org/drawingml/2006/main">
                  <a:graphicData uri="http://schemas.microsoft.com/office/word/2010/wordprocessingShape">
                    <wps:wsp>
                      <wps:cNvSpPr/>
                      <wps:spPr>
                        <a:xfrm>
                          <a:off x="0" y="0"/>
                          <a:ext cx="370840" cy="280670"/>
                        </a:xfrm>
                        <a:prstGeom prst="rect">
                          <a:avLst/>
                        </a:prstGeom>
                        <a:solidFill>
                          <a:srgbClr val="FFFFFF"/>
                        </a:solidFill>
                        <a:ln w="9525">
                          <a:noFill/>
                          <a:miter/>
                        </a:ln>
                      </wps:spPr>
                      <wps:txbx>
                        <w:txbxContent>
                          <w:p>
                            <w:pPr>
                              <w:rPr>
                                <w:color w:val="000000"/>
                              </w:rPr>
                            </w:pPr>
                            <w:r>
                              <w:rPr>
                                <w:rFonts w:hint="eastAsia"/>
                                <w:color w:val="000000"/>
                              </w:rPr>
                              <w:t>否</w:t>
                            </w:r>
                          </w:p>
                        </w:txbxContent>
                      </wps:txbx>
                      <wps:bodyPr upright="1"/>
                    </wps:wsp>
                  </a:graphicData>
                </a:graphic>
              </wp:anchor>
            </w:drawing>
          </mc:Choice>
          <mc:Fallback>
            <w:pict>
              <v:rect id="_x0000_s1026" o:spid="_x0000_s1026" o:spt="1" style="position:absolute;left:0pt;margin-left:326.25pt;margin-top:6.3pt;height:22.1pt;width:29.2pt;z-index:251696128;mso-width-relative:page;mso-height-relative:page;" fillcolor="#FFFFFF" filled="t" stroked="f" coordsize="21600,21600" o:gfxdata="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er9CZtcAAAAJAQAADwAAAAAAAAABACAAAAAiAAAAZHJzL2Rv&#10;d25yZXYueG1sUEsBAhQAFAAAAAgAh07iQNFuIqXJAQAAgAMAAA4AAAAAAAAAAQAgAAAAJgEAAGRy&#10;cy9lMm9Eb2MueG1sUEsFBgAAAAAGAAYAWQEAAGEFAAAAAA==&#10;">
                <v:fill on="t" focussize="0,0"/>
                <v:stroke on="f" joinstyle="miter"/>
                <v:imagedata o:title=""/>
                <o:lock v:ext="edit" aspectratio="f"/>
                <v:textbox>
                  <w:txbxContent>
                    <w:p>
                      <w:pPr>
                        <w:rPr>
                          <w:color w:val="000000"/>
                        </w:rPr>
                      </w:pPr>
                      <w:r>
                        <w:rPr>
                          <w:rFonts w:hint="eastAsia"/>
                          <w:color w:val="000000"/>
                        </w:rPr>
                        <w:t>否</w:t>
                      </w:r>
                    </w:p>
                  </w:txbxContent>
                </v:textbox>
              </v:rect>
            </w:pict>
          </mc:Fallback>
        </mc:AlternateContent>
      </w:r>
      <w:r>
        <w:rPr>
          <w:color w:val="000000"/>
        </w:rPr>
        <mc:AlternateContent>
          <mc:Choice Requires="wps">
            <w:drawing>
              <wp:anchor distT="0" distB="0" distL="114300" distR="114300" simplePos="0" relativeHeight="251707392" behindDoc="0" locked="0" layoutInCell="1" allowOverlap="1">
                <wp:simplePos x="0" y="0"/>
                <wp:positionH relativeFrom="column">
                  <wp:posOffset>904240</wp:posOffset>
                </wp:positionH>
                <wp:positionV relativeFrom="paragraph">
                  <wp:posOffset>153670</wp:posOffset>
                </wp:positionV>
                <wp:extent cx="2841625" cy="561975"/>
                <wp:effectExtent l="38100" t="19050" r="53975" b="47625"/>
                <wp:wrapNone/>
                <wp:docPr id="167" name="流程图: 决策 167"/>
                <wp:cNvGraphicFramePr/>
                <a:graphic xmlns:a="http://schemas.openxmlformats.org/drawingml/2006/main">
                  <a:graphicData uri="http://schemas.microsoft.com/office/word/2010/wordprocessingShape">
                    <wps:wsp>
                      <wps:cNvSpPr/>
                      <wps:spPr>
                        <a:xfrm>
                          <a:off x="0" y="0"/>
                          <a:ext cx="2841625" cy="56197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rPr>
                            </w:pPr>
                            <w:r>
                              <w:rPr>
                                <w:rFonts w:hint="eastAsia"/>
                                <w:color w:val="000000"/>
                              </w:rPr>
                              <w:t>配合比符合要求</w:t>
                            </w:r>
                          </w:p>
                        </w:txbxContent>
                      </wps:txbx>
                      <wps:bodyPr upright="1"/>
                    </wps:wsp>
                  </a:graphicData>
                </a:graphic>
              </wp:anchor>
            </w:drawing>
          </mc:Choice>
          <mc:Fallback>
            <w:pict>
              <v:shape id="_x0000_s1026" o:spid="_x0000_s1026" o:spt="110" type="#_x0000_t110" style="position:absolute;left:0pt;margin-left:71.2pt;margin-top:12.1pt;height:44.25pt;width:223.75pt;z-index:251707392;mso-width-relative:page;mso-height-relative:page;" fillcolor="#FFFFFF" filled="t" stroked="t" coordsize="21600,21600" o:gfxdata="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VSKLG2AAA&#10;AAoBAAAPAAAAAAAAAAEAIAAAACIAAABkcnMvZG93bnJldi54bWxQSwECFAAUAAAACACHTuJAQ2eI&#10;fB4CAABFBAAADgAAAAAAAAABACAAAAAnAQAAZHJzL2Uyb0RvYy54bWxQSwUGAAAAAAYABgBZAQAA&#10;twUAAAAA&#10;">
                <v:fill on="t" focussize="0,0"/>
                <v:stroke color="#000000" joinstyle="miter"/>
                <v:imagedata o:title=""/>
                <o:lock v:ext="edit" aspectratio="f"/>
                <v:textbox>
                  <w:txbxContent>
                    <w:p>
                      <w:pPr>
                        <w:jc w:val="center"/>
                        <w:rPr>
                          <w:color w:val="000000"/>
                        </w:rPr>
                      </w:pPr>
                      <w:r>
                        <w:rPr>
                          <w:rFonts w:hint="eastAsia"/>
                          <w:color w:val="000000"/>
                        </w:rPr>
                        <w:t>配合比符合要求</w:t>
                      </w:r>
                    </w:p>
                  </w:txbxContent>
                </v:textbox>
              </v:shape>
            </w:pict>
          </mc:Fallback>
        </mc:AlternateContent>
      </w:r>
    </w:p>
    <w:p>
      <w:pPr>
        <w:snapToGrid w:val="0"/>
        <w:spacing w:before="156" w:beforeLines="50" w:after="156" w:afterLines="50" w:line="360" w:lineRule="auto"/>
        <w:jc w:val="center"/>
        <w:rPr>
          <w:b/>
          <w:color w:val="000000"/>
          <w:szCs w:val="21"/>
        </w:rPr>
      </w:pPr>
      <w:r>
        <w:rPr>
          <w:color w:val="000000"/>
        </w:rPr>
        <mc:AlternateContent>
          <mc:Choice Requires="wps">
            <w:drawing>
              <wp:anchor distT="0" distB="0" distL="114300" distR="114300" simplePos="0" relativeHeight="251683840" behindDoc="0" locked="0" layoutInCell="1" allowOverlap="1">
                <wp:simplePos x="0" y="0"/>
                <wp:positionH relativeFrom="column">
                  <wp:posOffset>3743960</wp:posOffset>
                </wp:positionH>
                <wp:positionV relativeFrom="paragraph">
                  <wp:posOffset>62865</wp:posOffset>
                </wp:positionV>
                <wp:extent cx="1651000" cy="0"/>
                <wp:effectExtent l="0" t="0" r="0" b="0"/>
                <wp:wrapNone/>
                <wp:docPr id="166" name="直接连接符 166"/>
                <wp:cNvGraphicFramePr/>
                <a:graphic xmlns:a="http://schemas.openxmlformats.org/drawingml/2006/main">
                  <a:graphicData uri="http://schemas.microsoft.com/office/word/2010/wordprocessingShape">
                    <wps:wsp>
                      <wps:cNvCnPr/>
                      <wps:spPr>
                        <a:xfrm>
                          <a:off x="0" y="0"/>
                          <a:ext cx="16510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94.8pt;margin-top:4.95pt;height:0pt;width:130pt;z-index:251683840;mso-width-relative:page;mso-height-relative:page;" filled="f" stroked="t" coordsize="21600,21600" o:gfxdata="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KYyS&#10;W9QAAAAHAQAADwAAAAAAAAABACAAAAAiAAAAZHJzL2Rvd25yZXYueG1sUEsBAhQAFAAAAAgAh07i&#10;QCzlIyLtAQAA3AMAAA4AAAAAAAAAAQAgAAAAIwEAAGRycy9lMm9Eb2MueG1sUEsFBgAAAAAGAAYA&#10;WQEAAIIFAAAAAA==&#10;">
                <v:fill on="f" focussize="0,0"/>
                <v:stroke color="#000000" joinstyle="round"/>
                <v:imagedata o:title=""/>
                <o:lock v:ext="edit" aspectratio="f"/>
              </v:line>
            </w:pict>
          </mc:Fallback>
        </mc:AlternateContent>
      </w:r>
    </w:p>
    <w:p>
      <w:pPr>
        <w:snapToGrid w:val="0"/>
        <w:spacing w:before="156" w:beforeLines="50" w:after="156" w:afterLines="50" w:line="360" w:lineRule="auto"/>
        <w:jc w:val="center"/>
        <w:rPr>
          <w:b/>
          <w:color w:val="000000"/>
          <w:szCs w:val="21"/>
        </w:rPr>
      </w:pPr>
      <w:r>
        <w:rPr>
          <w:color w:val="000000"/>
        </w:rPr>
        <mc:AlternateContent>
          <mc:Choice Requires="wps">
            <w:drawing>
              <wp:anchor distT="0" distB="0" distL="114300" distR="114300" simplePos="0" relativeHeight="251700224" behindDoc="0" locked="0" layoutInCell="1" allowOverlap="1">
                <wp:simplePos x="0" y="0"/>
                <wp:positionH relativeFrom="column">
                  <wp:posOffset>2590800</wp:posOffset>
                </wp:positionH>
                <wp:positionV relativeFrom="paragraph">
                  <wp:posOffset>24765</wp:posOffset>
                </wp:positionV>
                <wp:extent cx="370840" cy="280670"/>
                <wp:effectExtent l="0" t="0" r="0" b="5080"/>
                <wp:wrapNone/>
                <wp:docPr id="165" name="矩形 165"/>
                <wp:cNvGraphicFramePr/>
                <a:graphic xmlns:a="http://schemas.openxmlformats.org/drawingml/2006/main">
                  <a:graphicData uri="http://schemas.microsoft.com/office/word/2010/wordprocessingShape">
                    <wps:wsp>
                      <wps:cNvSpPr/>
                      <wps:spPr>
                        <a:xfrm>
                          <a:off x="0" y="0"/>
                          <a:ext cx="370840" cy="280670"/>
                        </a:xfrm>
                        <a:prstGeom prst="rect">
                          <a:avLst/>
                        </a:prstGeom>
                        <a:solidFill>
                          <a:srgbClr val="FFFFFF"/>
                        </a:solidFill>
                        <a:ln w="9525">
                          <a:noFill/>
                          <a:miter/>
                        </a:ln>
                      </wps:spPr>
                      <wps:txbx>
                        <w:txbxContent>
                          <w:p>
                            <w:pPr>
                              <w:rPr>
                                <w:color w:val="000000"/>
                              </w:rPr>
                            </w:pPr>
                            <w:r>
                              <w:rPr>
                                <w:rFonts w:hint="eastAsia"/>
                                <w:color w:val="000000"/>
                              </w:rPr>
                              <w:t>是</w:t>
                            </w:r>
                          </w:p>
                        </w:txbxContent>
                      </wps:txbx>
                      <wps:bodyPr upright="1"/>
                    </wps:wsp>
                  </a:graphicData>
                </a:graphic>
              </wp:anchor>
            </w:drawing>
          </mc:Choice>
          <mc:Fallback>
            <w:pict>
              <v:rect id="_x0000_s1026" o:spid="_x0000_s1026" o:spt="1" style="position:absolute;left:0pt;margin-left:204pt;margin-top:1.95pt;height:22.1pt;width:29.2pt;z-index:251700224;mso-width-relative:page;mso-height-relative:page;" fillcolor="#FFFFFF" filled="t" stroked="f" coordsize="21600,21600" o:gfxdata="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HSos71gAAAAgBAAAPAAAAAAAAAAEAIAAAACIAAABkcnMvZG93&#10;bnJldi54bWxQSwECFAAUAAAACACHTuJAF0QYHskBAACAAwAADgAAAAAAAAABACAAAAAlAQAAZHJz&#10;L2Uyb0RvYy54bWxQSwUGAAAAAAYABgBZAQAAYAUAAAAA&#10;">
                <v:fill on="t" focussize="0,0"/>
                <v:stroke on="f" joinstyle="miter"/>
                <v:imagedata o:title=""/>
                <o:lock v:ext="edit" aspectratio="f"/>
                <v:textbox>
                  <w:txbxContent>
                    <w:p>
                      <w:pPr>
                        <w:rPr>
                          <w:color w:val="000000"/>
                        </w:rPr>
                      </w:pPr>
                      <w:r>
                        <w:rPr>
                          <w:rFonts w:hint="eastAsia"/>
                          <w:color w:val="000000"/>
                        </w:rPr>
                        <w:t>是</w:t>
                      </w:r>
                    </w:p>
                  </w:txbxContent>
                </v:textbox>
              </v:rect>
            </w:pict>
          </mc:Fallback>
        </mc:AlternateContent>
      </w:r>
      <w:r>
        <w:rPr>
          <w:color w:val="000000"/>
        </w:rPr>
        <mc:AlternateContent>
          <mc:Choice Requires="wps">
            <w:drawing>
              <wp:anchor distT="0" distB="0" distL="114300" distR="114300" simplePos="0" relativeHeight="251708416" behindDoc="0" locked="0" layoutInCell="1" allowOverlap="1">
                <wp:simplePos x="0" y="0"/>
                <wp:positionH relativeFrom="column">
                  <wp:posOffset>2322195</wp:posOffset>
                </wp:positionH>
                <wp:positionV relativeFrom="paragraph">
                  <wp:posOffset>36195</wp:posOffset>
                </wp:positionV>
                <wp:extent cx="1270" cy="360045"/>
                <wp:effectExtent l="76200" t="0" r="74930" b="59055"/>
                <wp:wrapNone/>
                <wp:docPr id="164" name="直接连接符 164"/>
                <wp:cNvGraphicFramePr/>
                <a:graphic xmlns:a="http://schemas.openxmlformats.org/drawingml/2006/main">
                  <a:graphicData uri="http://schemas.microsoft.com/office/word/2010/wordprocessingShape">
                    <wps:wsp>
                      <wps:cNvCnPr/>
                      <wps:spPr>
                        <a:xfrm>
                          <a:off x="0" y="0"/>
                          <a:ext cx="1270" cy="36004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182.85pt;margin-top:2.85pt;height:28.35pt;width:0.1pt;z-index:251708416;mso-width-relative:page;mso-height-relative:page;" filled="f" stroked="t" coordsize="21600,21600" o:gfxdata="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IltTZjYAAAACAEAAA8AAAAAAAAAAQAgAAAAIgAAAGRycy9kb3ducmV2LnhtbFBL&#10;AQIUABQAAAAIAIdO4kAfG7Aa9gEAAOIDAAAOAAAAAAAAAAEAIAAAACcBAABkcnMvZTJvRG9jLnht&#10;bFBLBQYAAAAABgAGAFkBAACPBQAAAAA=&#10;">
                <v:fill on="f" focussize="0,0"/>
                <v:stroke color="#000000" joinstyle="round" endarrow="block"/>
                <v:imagedata o:title=""/>
                <o:lock v:ext="edit" aspectratio="f"/>
              </v:line>
            </w:pict>
          </mc:Fallback>
        </mc:AlternateContent>
      </w:r>
    </w:p>
    <w:p>
      <w:pPr>
        <w:snapToGrid w:val="0"/>
        <w:spacing w:before="156" w:beforeLines="50" w:after="156" w:afterLines="50" w:line="360" w:lineRule="auto"/>
        <w:jc w:val="center"/>
        <w:rPr>
          <w:b/>
          <w:color w:val="000000"/>
          <w:szCs w:val="21"/>
        </w:rPr>
      </w:pPr>
      <w:r>
        <w:rPr>
          <w:b/>
          <w:color w:val="000000"/>
          <w:szCs w:val="21"/>
        </w:rPr>
        <mc:AlternateContent>
          <mc:Choice Requires="wps">
            <w:drawing>
              <wp:anchor distT="0" distB="0" distL="114300" distR="114300" simplePos="0" relativeHeight="251709440" behindDoc="0" locked="0" layoutInCell="1" allowOverlap="1">
                <wp:simplePos x="0" y="0"/>
                <wp:positionH relativeFrom="column">
                  <wp:posOffset>1029335</wp:posOffset>
                </wp:positionH>
                <wp:positionV relativeFrom="paragraph">
                  <wp:posOffset>54610</wp:posOffset>
                </wp:positionV>
                <wp:extent cx="2594610" cy="302895"/>
                <wp:effectExtent l="0" t="0" r="15240" b="20955"/>
                <wp:wrapNone/>
                <wp:docPr id="163" name="矩形 163"/>
                <wp:cNvGraphicFramePr/>
                <a:graphic xmlns:a="http://schemas.openxmlformats.org/drawingml/2006/main">
                  <a:graphicData uri="http://schemas.microsoft.com/office/word/2010/wordprocessingShape">
                    <wps:wsp>
                      <wps:cNvSpPr/>
                      <wps:spPr>
                        <a:xfrm>
                          <a:off x="0" y="0"/>
                          <a:ext cx="2594610" cy="3028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rPr>
                            </w:pPr>
                            <w:r>
                              <w:rPr>
                                <w:rFonts w:hint="eastAsia"/>
                                <w:color w:val="000000"/>
                              </w:rPr>
                              <w:t>完成再生沥青混合料配合比设计</w:t>
                            </w:r>
                          </w:p>
                        </w:txbxContent>
                      </wps:txbx>
                      <wps:bodyPr upright="1"/>
                    </wps:wsp>
                  </a:graphicData>
                </a:graphic>
              </wp:anchor>
            </w:drawing>
          </mc:Choice>
          <mc:Fallback>
            <w:pict>
              <v:rect id="_x0000_s1026" o:spid="_x0000_s1026" o:spt="1" style="position:absolute;left:0pt;margin-left:81.05pt;margin-top:4.3pt;height:23.85pt;width:204.3pt;z-index:251709440;mso-width-relative:page;mso-height-relative:page;" fillcolor="#FFFFFF" filled="t" stroked="t" coordsize="21600,21600" o:gfxdata="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MNDM9NYAAAAIAQAADwAAAAAAAAABACAAAAAiAAAAZHJzL2Rv&#10;d25yZXYueG1sUEsBAhQAFAAAAAgAh07iQMimo/4DAgAALQQAAA4AAAAAAAAAAQAgAAAAJQEAAGRy&#10;cy9lMm9Eb2MueG1sUEsFBgAAAAAGAAYAWQEAAJoFAAAAAA==&#10;">
                <v:fill on="t" focussize="0,0"/>
                <v:stroke color="#000000" joinstyle="miter"/>
                <v:imagedata o:title=""/>
                <o:lock v:ext="edit" aspectratio="f"/>
                <v:textbox>
                  <w:txbxContent>
                    <w:p>
                      <w:pPr>
                        <w:jc w:val="center"/>
                        <w:rPr>
                          <w:color w:val="000000"/>
                        </w:rPr>
                      </w:pPr>
                      <w:r>
                        <w:rPr>
                          <w:rFonts w:hint="eastAsia"/>
                          <w:color w:val="000000"/>
                        </w:rPr>
                        <w:t>完成再生沥青混合料配合比设计</w:t>
                      </w:r>
                    </w:p>
                  </w:txbxContent>
                </v:textbox>
              </v:rect>
            </w:pict>
          </mc:Fallback>
        </mc:AlternateContent>
      </w:r>
    </w:p>
    <w:p>
      <w:pPr>
        <w:pStyle w:val="60"/>
        <w:numPr>
          <w:ilvl w:val="0"/>
          <w:numId w:val="0"/>
        </w:numPr>
        <w:rPr>
          <w:szCs w:val="21"/>
        </w:rPr>
      </w:pPr>
    </w:p>
    <w:p>
      <w:pPr>
        <w:pStyle w:val="138"/>
        <w:numPr>
          <w:ilvl w:val="0"/>
          <w:numId w:val="0"/>
        </w:numPr>
        <w:spacing w:before="156" w:after="156"/>
        <w:rPr>
          <w:szCs w:val="21"/>
        </w:rPr>
      </w:pPr>
      <w:r>
        <w:rPr>
          <w:szCs w:val="21"/>
        </w:rPr>
        <mc:AlternateContent>
          <mc:Choice Requires="wps">
            <w:drawing>
              <wp:anchor distT="0" distB="0" distL="114300" distR="114300" simplePos="0" relativeHeight="251682816" behindDoc="0" locked="0" layoutInCell="1" allowOverlap="1">
                <wp:simplePos x="0" y="0"/>
                <wp:positionH relativeFrom="column">
                  <wp:posOffset>-1600200</wp:posOffset>
                </wp:positionH>
                <wp:positionV relativeFrom="paragraph">
                  <wp:posOffset>86360</wp:posOffset>
                </wp:positionV>
                <wp:extent cx="0" cy="266700"/>
                <wp:effectExtent l="52705" t="6350" r="61595" b="22225"/>
                <wp:wrapNone/>
                <wp:docPr id="187" name="直接连接符 187"/>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126pt;margin-top:6.8pt;height:21pt;width:0pt;z-index:251682816;mso-width-relative:page;mso-height-relative:page;" filled="f" stroked="t" coordsize="21600,21600" o:gfxdata="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NIuV52QAAAAsBAAAPAAAAAAAAAAEAIAAAACIAAABkcnMvZG93&#10;bnJldi54bWxQSwECFAAUAAAACACHTuJAn3Nqiv8BAADbAwAADgAAAAAAAAABACAAAAAoAQAAZHJz&#10;L2Uyb0RvYy54bWxQSwUGAAAAAAYABgBZAQAAmQUAAAAA&#10;">
                <v:fill on="f" focussize="0,0"/>
                <v:stroke color="#000000" joinstyle="round" endarrow="block"/>
                <v:imagedata o:title=""/>
                <o:lock v:ext="edit" aspectratio="f"/>
              </v:line>
            </w:pict>
          </mc:Fallback>
        </mc:AlternateContent>
      </w:r>
      <w:r>
        <w:rPr>
          <w:szCs w:val="21"/>
        </w:rPr>
        <w:t>图A.2复拌再生混合料配合比设计流程</w:t>
      </w:r>
    </w:p>
    <w:p>
      <w:pPr>
        <w:pStyle w:val="114"/>
        <w:wordWrap/>
        <w:spacing w:before="312" w:after="312"/>
        <w:outlineLvl w:val="9"/>
        <w:rPr>
          <w:rFonts w:ascii="宋体" w:eastAsia="宋体"/>
          <w:color w:val="000000"/>
          <w:kern w:val="0"/>
        </w:rPr>
      </w:pPr>
      <w:bookmarkStart w:id="180" w:name="_Toc323278136"/>
      <w:r>
        <w:rPr>
          <w:rFonts w:hAnsi="黑体"/>
          <w:color w:val="000000"/>
          <w:kern w:val="0"/>
        </w:rPr>
        <w:t xml:space="preserve">A.4  </w:t>
      </w:r>
      <w:r>
        <w:rPr>
          <w:rFonts w:ascii="宋体" w:eastAsia="宋体"/>
          <w:color w:val="000000"/>
          <w:kern w:val="0"/>
        </w:rPr>
        <w:t>试验路检验再生沥青混合料性能</w:t>
      </w:r>
      <w:bookmarkEnd w:id="180"/>
    </w:p>
    <w:p>
      <w:pPr>
        <w:pStyle w:val="60"/>
        <w:numPr>
          <w:ilvl w:val="0"/>
          <w:numId w:val="0"/>
        </w:numPr>
        <w:rPr>
          <w:szCs w:val="21"/>
        </w:rPr>
      </w:pPr>
      <w:r>
        <w:rPr>
          <w:rFonts w:ascii="黑体" w:hAnsi="黑体" w:eastAsia="黑体" w:cs="黑体"/>
          <w:szCs w:val="21"/>
        </w:rPr>
        <w:t xml:space="preserve">A.4.1  </w:t>
      </w:r>
      <w:r>
        <w:rPr>
          <w:szCs w:val="21"/>
        </w:rPr>
        <w:t>旧沥青混合料的室内再生试验与就地热再生现场施工有很大的区别，不同的路况、不同的再生设备以及不同的再生工艺又加剧了再生的差异。因此，就地热再生沥青混合料的性能必须经试验路检验。</w:t>
      </w:r>
    </w:p>
    <w:p>
      <w:pPr>
        <w:pStyle w:val="60"/>
        <w:numPr>
          <w:ilvl w:val="0"/>
          <w:numId w:val="0"/>
        </w:numPr>
        <w:rPr>
          <w:szCs w:val="21"/>
        </w:rPr>
      </w:pPr>
      <w:r>
        <w:rPr>
          <w:rFonts w:ascii="黑体" w:hAnsi="黑体" w:eastAsia="黑体" w:cs="黑体"/>
          <w:szCs w:val="21"/>
        </w:rPr>
        <w:t xml:space="preserve">A.4.2  </w:t>
      </w:r>
      <w:r>
        <w:rPr>
          <w:szCs w:val="21"/>
        </w:rPr>
        <w:t>试验路检验再生沥青混合料性能的项目主要有：沥青混合料的级配、再生沥青混合料马歇尔试验是否满足标准要求。现场检测项目包括：平整度、渗水系数、压实度等。如果试验路检测结果存在问题，必须分析原因，找出问题予以修正，直至满足设计和标准要求为止。</w:t>
      </w:r>
    </w:p>
    <w:p>
      <w:pPr>
        <w:widowControl/>
        <w:jc w:val="left"/>
        <w:rPr>
          <w:rFonts w:ascii="宋体"/>
          <w:color w:val="000000"/>
          <w:kern w:val="0"/>
          <w:szCs w:val="20"/>
        </w:rPr>
      </w:pPr>
      <w:r>
        <w:rPr>
          <w:rFonts w:ascii="宋体"/>
          <w:color w:val="000000"/>
          <w:kern w:val="0"/>
        </w:rPr>
        <w:br w:type="page"/>
      </w:r>
    </w:p>
    <w:p>
      <w:pPr>
        <w:pStyle w:val="96"/>
      </w:pPr>
      <w:r>
        <w:rPr>
          <w:rFonts w:hint="eastAsia"/>
        </w:rPr>
        <w:t>附录B</w:t>
      </w:r>
      <w:r>
        <w:br w:type="textWrapping"/>
      </w:r>
      <w:bookmarkStart w:id="181" w:name="_Toc7377578"/>
      <w:bookmarkStart w:id="182" w:name="_Toc7377853"/>
      <w:bookmarkStart w:id="183" w:name="_Toc7377009"/>
      <w:bookmarkStart w:id="184" w:name="_Toc7377559"/>
      <w:r>
        <w:rPr>
          <w:rFonts w:hint="eastAsia"/>
        </w:rPr>
        <w:t>（资料性附录）</w:t>
      </w:r>
      <w:r>
        <w:br w:type="textWrapping"/>
      </w:r>
      <w:bookmarkEnd w:id="181"/>
      <w:bookmarkEnd w:id="182"/>
      <w:bookmarkEnd w:id="183"/>
      <w:bookmarkEnd w:id="184"/>
      <w:r>
        <w:rPr>
          <w:rFonts w:hint="eastAsia"/>
        </w:rPr>
        <w:t>分项、子分部工程检验记录表</w:t>
      </w:r>
    </w:p>
    <w:p>
      <w:pPr>
        <w:pStyle w:val="114"/>
        <w:wordWrap/>
        <w:spacing w:before="312" w:after="312"/>
        <w:rPr>
          <w:rFonts w:ascii="宋体" w:eastAsia="宋体"/>
          <w:color w:val="000000"/>
          <w:kern w:val="0"/>
        </w:rPr>
      </w:pPr>
      <w:r>
        <w:rPr>
          <w:rFonts w:hint="eastAsia" w:hAnsi="黑体"/>
          <w:color w:val="000000"/>
          <w:kern w:val="0"/>
        </w:rPr>
        <w:t>B</w:t>
      </w:r>
      <w:r>
        <w:rPr>
          <w:rFonts w:hAnsi="黑体"/>
          <w:color w:val="000000"/>
          <w:kern w:val="0"/>
        </w:rPr>
        <w:t xml:space="preserve">.1  </w:t>
      </w:r>
      <w:r>
        <w:rPr>
          <w:rFonts w:hint="eastAsia" w:ascii="宋体" w:eastAsia="宋体"/>
          <w:color w:val="000000"/>
          <w:kern w:val="0"/>
        </w:rPr>
        <w:t>隐蔽工程和检验批的质量验收记录宜由施工单位项目专业质量检查员填写，监理工程师（建设单位项目专业技术负责人）组织项目专业质量检查员进行验收，并应按表B.1和表B.2记录。</w:t>
      </w:r>
    </w:p>
    <w:p>
      <w:pPr>
        <w:pStyle w:val="114"/>
        <w:wordWrap/>
        <w:spacing w:before="312" w:after="312"/>
        <w:rPr>
          <w:color w:val="000000"/>
        </w:rPr>
      </w:pPr>
      <w:r>
        <w:rPr>
          <w:rFonts w:hint="eastAsia" w:hAnsi="黑体"/>
          <w:color w:val="000000"/>
          <w:kern w:val="0"/>
        </w:rPr>
        <w:t>B</w:t>
      </w:r>
      <w:r>
        <w:rPr>
          <w:rFonts w:hAnsi="黑体"/>
          <w:color w:val="000000"/>
          <w:kern w:val="0"/>
        </w:rPr>
        <w:t xml:space="preserve">.2  </w:t>
      </w:r>
      <w:r>
        <w:rPr>
          <w:rFonts w:hint="eastAsia" w:ascii="宋体" w:eastAsia="宋体"/>
          <w:color w:val="000000"/>
          <w:kern w:val="0"/>
        </w:rPr>
        <w:t>分项工程质量应由监理工程师（建设单位项目专业技术负责人）组织施工单位项目专业质量（技术）负责人等进行验收，并按表B.3 记录。</w:t>
      </w:r>
    </w:p>
    <w:p>
      <w:pPr>
        <w:pStyle w:val="114"/>
        <w:wordWrap/>
        <w:spacing w:before="312" w:after="312"/>
        <w:rPr>
          <w:color w:val="000000"/>
        </w:rPr>
      </w:pPr>
      <w:r>
        <w:rPr>
          <w:rFonts w:hint="eastAsia" w:hAnsi="黑体"/>
          <w:color w:val="000000"/>
          <w:kern w:val="0"/>
        </w:rPr>
        <w:t>B</w:t>
      </w:r>
      <w:r>
        <w:rPr>
          <w:rFonts w:hAnsi="黑体"/>
          <w:color w:val="000000"/>
          <w:kern w:val="0"/>
        </w:rPr>
        <w:t xml:space="preserve">.3  </w:t>
      </w:r>
      <w:r>
        <w:rPr>
          <w:rFonts w:hint="eastAsia" w:ascii="宋体" w:eastAsia="宋体"/>
          <w:color w:val="000000"/>
          <w:kern w:val="0"/>
        </w:rPr>
        <w:t>子分部工程质量应由总监理工程师（建设单位项目专业负责人）组织施工单位项目经理和有关设计单位项目负责人进行验收，并按表B.4记录。</w:t>
      </w: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96"/>
        <w:outlineLvl w:val="9"/>
      </w:pPr>
      <w:r>
        <w:rPr>
          <w:rFonts w:hint="eastAsia"/>
        </w:rPr>
        <w:t>表B</w:t>
      </w:r>
      <w:r>
        <w:t xml:space="preserve">.1  </w:t>
      </w:r>
      <w:r>
        <w:rPr>
          <w:rFonts w:hint="eastAsia"/>
        </w:rPr>
        <w:t>城镇道路沥青路面就地热再生隐蔽工程验收记录</w:t>
      </w:r>
    </w:p>
    <w:p>
      <w:pPr>
        <w:ind w:right="-144" w:firstLine="7980" w:firstLineChars="3800"/>
        <w:rPr>
          <w:szCs w:val="21"/>
          <w:u w:val="single"/>
        </w:rPr>
      </w:pPr>
      <w:r>
        <w:rPr>
          <w:szCs w:val="21"/>
        </w:rPr>
        <w:t>编号：</w:t>
      </w:r>
      <w:r>
        <w:rPr>
          <w:szCs w:val="21"/>
          <w:u w:val="single"/>
        </w:rPr>
        <w:t xml:space="preserve">        </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737"/>
        <w:gridCol w:w="796"/>
        <w:gridCol w:w="2593"/>
        <w:gridCol w:w="909"/>
        <w:gridCol w:w="1275"/>
        <w:gridCol w:w="635"/>
        <w:gridCol w:w="1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5" w:type="pct"/>
            <w:gridSpan w:val="3"/>
            <w:vAlign w:val="center"/>
          </w:tcPr>
          <w:p>
            <w:pPr>
              <w:jc w:val="center"/>
              <w:rPr>
                <w:sz w:val="18"/>
                <w:szCs w:val="18"/>
              </w:rPr>
            </w:pPr>
            <w:r>
              <w:rPr>
                <w:sz w:val="18"/>
                <w:szCs w:val="18"/>
              </w:rPr>
              <w:t>工程名称</w:t>
            </w:r>
          </w:p>
        </w:tc>
        <w:tc>
          <w:tcPr>
            <w:tcW w:w="3855" w:type="pct"/>
            <w:gridSpan w:val="5"/>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5" w:type="pct"/>
            <w:gridSpan w:val="3"/>
            <w:vAlign w:val="center"/>
          </w:tcPr>
          <w:p>
            <w:pPr>
              <w:jc w:val="center"/>
              <w:rPr>
                <w:sz w:val="18"/>
                <w:szCs w:val="18"/>
              </w:rPr>
            </w:pPr>
            <w:r>
              <w:rPr>
                <w:rFonts w:hint="eastAsia"/>
                <w:sz w:val="18"/>
                <w:szCs w:val="18"/>
              </w:rPr>
              <w:t>施工单位</w:t>
            </w:r>
          </w:p>
        </w:tc>
        <w:tc>
          <w:tcPr>
            <w:tcW w:w="3855" w:type="pct"/>
            <w:gridSpan w:val="5"/>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5" w:type="pct"/>
            <w:gridSpan w:val="3"/>
            <w:vAlign w:val="center"/>
          </w:tcPr>
          <w:p>
            <w:pPr>
              <w:jc w:val="center"/>
              <w:rPr>
                <w:sz w:val="18"/>
                <w:szCs w:val="18"/>
              </w:rPr>
            </w:pPr>
            <w:r>
              <w:rPr>
                <w:rFonts w:hint="eastAsia"/>
                <w:sz w:val="18"/>
                <w:szCs w:val="18"/>
              </w:rPr>
              <w:t>子</w:t>
            </w:r>
            <w:r>
              <w:rPr>
                <w:sz w:val="18"/>
                <w:szCs w:val="18"/>
              </w:rPr>
              <w:t>分</w:t>
            </w:r>
            <w:r>
              <w:rPr>
                <w:rFonts w:hint="eastAsia"/>
                <w:sz w:val="18"/>
                <w:szCs w:val="18"/>
              </w:rPr>
              <w:t>部</w:t>
            </w:r>
            <w:r>
              <w:rPr>
                <w:sz w:val="18"/>
                <w:szCs w:val="18"/>
              </w:rPr>
              <w:t>工程名称</w:t>
            </w:r>
          </w:p>
        </w:tc>
        <w:tc>
          <w:tcPr>
            <w:tcW w:w="1355" w:type="pct"/>
            <w:vAlign w:val="center"/>
          </w:tcPr>
          <w:p>
            <w:pPr>
              <w:jc w:val="center"/>
              <w:rPr>
                <w:sz w:val="18"/>
                <w:szCs w:val="18"/>
              </w:rPr>
            </w:pPr>
          </w:p>
        </w:tc>
        <w:tc>
          <w:tcPr>
            <w:tcW w:w="1141" w:type="pct"/>
            <w:gridSpan w:val="2"/>
            <w:vAlign w:val="center"/>
          </w:tcPr>
          <w:p>
            <w:pPr>
              <w:jc w:val="center"/>
              <w:rPr>
                <w:sz w:val="18"/>
                <w:szCs w:val="18"/>
              </w:rPr>
            </w:pPr>
            <w:r>
              <w:rPr>
                <w:sz w:val="18"/>
                <w:szCs w:val="18"/>
              </w:rPr>
              <w:t>分</w:t>
            </w:r>
            <w:r>
              <w:rPr>
                <w:rFonts w:hint="eastAsia"/>
                <w:sz w:val="18"/>
                <w:szCs w:val="18"/>
              </w:rPr>
              <w:t>项</w:t>
            </w:r>
            <w:r>
              <w:rPr>
                <w:sz w:val="18"/>
                <w:szCs w:val="18"/>
              </w:rPr>
              <w:t>工程名称</w:t>
            </w:r>
          </w:p>
        </w:tc>
        <w:tc>
          <w:tcPr>
            <w:tcW w:w="1360" w:type="pct"/>
            <w:gridSpan w:val="2"/>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5" w:type="pct"/>
            <w:gridSpan w:val="3"/>
            <w:vAlign w:val="center"/>
          </w:tcPr>
          <w:p>
            <w:pPr>
              <w:jc w:val="center"/>
              <w:rPr>
                <w:sz w:val="18"/>
                <w:szCs w:val="18"/>
              </w:rPr>
            </w:pPr>
            <w:r>
              <w:rPr>
                <w:sz w:val="18"/>
                <w:szCs w:val="18"/>
              </w:rPr>
              <w:t>隐蔽工程项目</w:t>
            </w:r>
          </w:p>
        </w:tc>
        <w:tc>
          <w:tcPr>
            <w:tcW w:w="1355" w:type="pct"/>
            <w:vAlign w:val="center"/>
          </w:tcPr>
          <w:p>
            <w:pPr>
              <w:jc w:val="center"/>
              <w:rPr>
                <w:sz w:val="18"/>
                <w:szCs w:val="18"/>
              </w:rPr>
            </w:pPr>
          </w:p>
        </w:tc>
        <w:tc>
          <w:tcPr>
            <w:tcW w:w="1141" w:type="pct"/>
            <w:gridSpan w:val="2"/>
            <w:vAlign w:val="center"/>
          </w:tcPr>
          <w:p>
            <w:pPr>
              <w:jc w:val="center"/>
              <w:rPr>
                <w:sz w:val="18"/>
                <w:szCs w:val="18"/>
              </w:rPr>
            </w:pPr>
            <w:r>
              <w:rPr>
                <w:rFonts w:hint="eastAsia"/>
                <w:sz w:val="18"/>
                <w:szCs w:val="18"/>
              </w:rPr>
              <w:t>检验日期</w:t>
            </w:r>
          </w:p>
        </w:tc>
        <w:tc>
          <w:tcPr>
            <w:tcW w:w="1360" w:type="pct"/>
            <w:gridSpan w:val="2"/>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45" w:type="pct"/>
            <w:gridSpan w:val="3"/>
            <w:vAlign w:val="center"/>
          </w:tcPr>
          <w:p>
            <w:pPr>
              <w:jc w:val="center"/>
              <w:rPr>
                <w:sz w:val="18"/>
                <w:szCs w:val="18"/>
              </w:rPr>
            </w:pPr>
            <w:r>
              <w:rPr>
                <w:rFonts w:hint="eastAsia"/>
                <w:sz w:val="18"/>
                <w:szCs w:val="18"/>
              </w:rPr>
              <w:t>项目经理</w:t>
            </w:r>
          </w:p>
        </w:tc>
        <w:tc>
          <w:tcPr>
            <w:tcW w:w="1355" w:type="pct"/>
            <w:vAlign w:val="center"/>
          </w:tcPr>
          <w:p>
            <w:pPr>
              <w:jc w:val="center"/>
              <w:rPr>
                <w:sz w:val="18"/>
                <w:szCs w:val="18"/>
              </w:rPr>
            </w:pPr>
          </w:p>
        </w:tc>
        <w:tc>
          <w:tcPr>
            <w:tcW w:w="1141" w:type="pct"/>
            <w:gridSpan w:val="2"/>
            <w:vAlign w:val="center"/>
          </w:tcPr>
          <w:p>
            <w:pPr>
              <w:jc w:val="center"/>
              <w:rPr>
                <w:sz w:val="18"/>
                <w:szCs w:val="18"/>
              </w:rPr>
            </w:pPr>
            <w:r>
              <w:rPr>
                <w:rFonts w:hint="eastAsia"/>
                <w:sz w:val="18"/>
                <w:szCs w:val="18"/>
              </w:rPr>
              <w:t>项目技术负责人</w:t>
            </w:r>
          </w:p>
        </w:tc>
        <w:tc>
          <w:tcPr>
            <w:tcW w:w="1360" w:type="pct"/>
            <w:gridSpan w:val="2"/>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5" w:type="pct"/>
            <w:gridSpan w:val="5"/>
            <w:vAlign w:val="center"/>
          </w:tcPr>
          <w:p>
            <w:pPr>
              <w:jc w:val="center"/>
              <w:rPr>
                <w:sz w:val="18"/>
                <w:szCs w:val="18"/>
              </w:rPr>
            </w:pPr>
            <w:r>
              <w:rPr>
                <w:sz w:val="18"/>
                <w:szCs w:val="18"/>
              </w:rPr>
              <w:t>质量要求</w:t>
            </w:r>
          </w:p>
        </w:tc>
        <w:tc>
          <w:tcPr>
            <w:tcW w:w="998" w:type="pct"/>
            <w:gridSpan w:val="2"/>
            <w:vAlign w:val="center"/>
          </w:tcPr>
          <w:p>
            <w:pPr>
              <w:jc w:val="center"/>
              <w:rPr>
                <w:sz w:val="18"/>
                <w:szCs w:val="18"/>
              </w:rPr>
            </w:pPr>
            <w:r>
              <w:rPr>
                <w:sz w:val="18"/>
                <w:szCs w:val="18"/>
              </w:rPr>
              <w:t>施工单位自查记录</w:t>
            </w:r>
          </w:p>
        </w:tc>
        <w:tc>
          <w:tcPr>
            <w:tcW w:w="1027" w:type="pct"/>
            <w:vAlign w:val="center"/>
          </w:tcPr>
          <w:p>
            <w:pPr>
              <w:jc w:val="center"/>
              <w:rPr>
                <w:sz w:val="18"/>
                <w:szCs w:val="18"/>
              </w:rPr>
            </w:pPr>
            <w:r>
              <w:rPr>
                <w:sz w:val="18"/>
                <w:szCs w:val="18"/>
              </w:rPr>
              <w:t>监理（建设）单位验收记录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vMerge w:val="restart"/>
            <w:tcBorders>
              <w:right w:val="single" w:color="auto" w:sz="4" w:space="0"/>
            </w:tcBorders>
            <w:vAlign w:val="center"/>
          </w:tcPr>
          <w:p>
            <w:pPr>
              <w:jc w:val="center"/>
              <w:rPr>
                <w:sz w:val="18"/>
                <w:szCs w:val="18"/>
              </w:rPr>
            </w:pPr>
            <w:r>
              <w:rPr>
                <w:sz w:val="18"/>
                <w:szCs w:val="18"/>
              </w:rPr>
              <w:t>隐蔽工程部位</w:t>
            </w:r>
          </w:p>
        </w:tc>
        <w:tc>
          <w:tcPr>
            <w:tcW w:w="385" w:type="pct"/>
            <w:tcBorders>
              <w:left w:val="single" w:color="auto" w:sz="4" w:space="0"/>
            </w:tcBorders>
            <w:vAlign w:val="center"/>
          </w:tcPr>
          <w:p>
            <w:pPr>
              <w:jc w:val="center"/>
              <w:rPr>
                <w:sz w:val="18"/>
                <w:szCs w:val="18"/>
              </w:rPr>
            </w:pPr>
            <w:r>
              <w:rPr>
                <w:sz w:val="18"/>
                <w:szCs w:val="18"/>
              </w:rPr>
              <w:t>1</w:t>
            </w:r>
          </w:p>
        </w:tc>
        <w:tc>
          <w:tcPr>
            <w:tcW w:w="2246" w:type="pct"/>
            <w:gridSpan w:val="3"/>
            <w:vAlign w:val="center"/>
          </w:tcPr>
          <w:p>
            <w:pPr>
              <w:jc w:val="center"/>
              <w:rPr>
                <w:sz w:val="18"/>
                <w:szCs w:val="18"/>
              </w:rPr>
            </w:pPr>
          </w:p>
        </w:tc>
        <w:tc>
          <w:tcPr>
            <w:tcW w:w="998" w:type="pct"/>
            <w:gridSpan w:val="2"/>
            <w:vAlign w:val="center"/>
          </w:tcPr>
          <w:p>
            <w:pPr>
              <w:jc w:val="center"/>
              <w:rPr>
                <w:sz w:val="18"/>
                <w:szCs w:val="18"/>
              </w:rPr>
            </w:pPr>
          </w:p>
        </w:tc>
        <w:tc>
          <w:tcPr>
            <w:tcW w:w="102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44" w:type="pct"/>
            <w:vMerge w:val="continue"/>
            <w:tcBorders>
              <w:right w:val="single" w:color="auto" w:sz="4" w:space="0"/>
            </w:tcBorders>
            <w:vAlign w:val="center"/>
          </w:tcPr>
          <w:p>
            <w:pPr>
              <w:jc w:val="center"/>
              <w:rPr>
                <w:sz w:val="18"/>
                <w:szCs w:val="18"/>
              </w:rPr>
            </w:pPr>
          </w:p>
        </w:tc>
        <w:tc>
          <w:tcPr>
            <w:tcW w:w="385" w:type="pct"/>
            <w:tcBorders>
              <w:left w:val="single" w:color="auto" w:sz="4" w:space="0"/>
            </w:tcBorders>
            <w:vAlign w:val="center"/>
          </w:tcPr>
          <w:p>
            <w:pPr>
              <w:jc w:val="center"/>
              <w:rPr>
                <w:sz w:val="18"/>
                <w:szCs w:val="18"/>
              </w:rPr>
            </w:pPr>
            <w:r>
              <w:rPr>
                <w:sz w:val="18"/>
                <w:szCs w:val="18"/>
              </w:rPr>
              <w:t>2</w:t>
            </w:r>
          </w:p>
        </w:tc>
        <w:tc>
          <w:tcPr>
            <w:tcW w:w="2246" w:type="pct"/>
            <w:gridSpan w:val="3"/>
            <w:vAlign w:val="center"/>
          </w:tcPr>
          <w:p>
            <w:pPr>
              <w:jc w:val="center"/>
              <w:rPr>
                <w:sz w:val="18"/>
                <w:szCs w:val="18"/>
              </w:rPr>
            </w:pPr>
          </w:p>
        </w:tc>
        <w:tc>
          <w:tcPr>
            <w:tcW w:w="998" w:type="pct"/>
            <w:gridSpan w:val="2"/>
            <w:vAlign w:val="center"/>
          </w:tcPr>
          <w:p>
            <w:pPr>
              <w:jc w:val="center"/>
              <w:rPr>
                <w:sz w:val="18"/>
                <w:szCs w:val="18"/>
              </w:rPr>
            </w:pPr>
          </w:p>
        </w:tc>
        <w:tc>
          <w:tcPr>
            <w:tcW w:w="102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44" w:type="pct"/>
            <w:vMerge w:val="continue"/>
            <w:tcBorders>
              <w:right w:val="single" w:color="auto" w:sz="4" w:space="0"/>
            </w:tcBorders>
            <w:vAlign w:val="center"/>
          </w:tcPr>
          <w:p>
            <w:pPr>
              <w:jc w:val="center"/>
              <w:rPr>
                <w:sz w:val="18"/>
                <w:szCs w:val="18"/>
              </w:rPr>
            </w:pPr>
          </w:p>
        </w:tc>
        <w:tc>
          <w:tcPr>
            <w:tcW w:w="385" w:type="pct"/>
            <w:tcBorders>
              <w:left w:val="single" w:color="auto" w:sz="4" w:space="0"/>
            </w:tcBorders>
            <w:vAlign w:val="center"/>
          </w:tcPr>
          <w:p>
            <w:pPr>
              <w:jc w:val="center"/>
              <w:rPr>
                <w:sz w:val="18"/>
                <w:szCs w:val="18"/>
              </w:rPr>
            </w:pPr>
            <w:r>
              <w:rPr>
                <w:sz w:val="18"/>
                <w:szCs w:val="18"/>
              </w:rPr>
              <w:t>3</w:t>
            </w:r>
          </w:p>
        </w:tc>
        <w:tc>
          <w:tcPr>
            <w:tcW w:w="2246" w:type="pct"/>
            <w:gridSpan w:val="3"/>
            <w:vAlign w:val="center"/>
          </w:tcPr>
          <w:p>
            <w:pPr>
              <w:jc w:val="center"/>
              <w:rPr>
                <w:sz w:val="18"/>
                <w:szCs w:val="18"/>
              </w:rPr>
            </w:pPr>
          </w:p>
        </w:tc>
        <w:tc>
          <w:tcPr>
            <w:tcW w:w="998" w:type="pct"/>
            <w:gridSpan w:val="2"/>
            <w:vAlign w:val="center"/>
          </w:tcPr>
          <w:p>
            <w:pPr>
              <w:jc w:val="center"/>
              <w:rPr>
                <w:sz w:val="18"/>
                <w:szCs w:val="18"/>
              </w:rPr>
            </w:pPr>
          </w:p>
        </w:tc>
        <w:tc>
          <w:tcPr>
            <w:tcW w:w="102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44" w:type="pct"/>
            <w:vMerge w:val="continue"/>
            <w:tcBorders>
              <w:right w:val="single" w:color="auto" w:sz="4" w:space="0"/>
            </w:tcBorders>
            <w:vAlign w:val="center"/>
          </w:tcPr>
          <w:p>
            <w:pPr>
              <w:jc w:val="center"/>
              <w:rPr>
                <w:sz w:val="18"/>
                <w:szCs w:val="18"/>
              </w:rPr>
            </w:pPr>
          </w:p>
        </w:tc>
        <w:tc>
          <w:tcPr>
            <w:tcW w:w="385" w:type="pct"/>
            <w:tcBorders>
              <w:left w:val="single" w:color="auto" w:sz="4" w:space="0"/>
            </w:tcBorders>
            <w:vAlign w:val="center"/>
          </w:tcPr>
          <w:p>
            <w:pPr>
              <w:jc w:val="center"/>
              <w:rPr>
                <w:sz w:val="18"/>
                <w:szCs w:val="18"/>
              </w:rPr>
            </w:pPr>
            <w:r>
              <w:rPr>
                <w:sz w:val="18"/>
                <w:szCs w:val="18"/>
              </w:rPr>
              <w:t>4</w:t>
            </w:r>
          </w:p>
        </w:tc>
        <w:tc>
          <w:tcPr>
            <w:tcW w:w="2246" w:type="pct"/>
            <w:gridSpan w:val="3"/>
            <w:vAlign w:val="center"/>
          </w:tcPr>
          <w:p>
            <w:pPr>
              <w:jc w:val="center"/>
              <w:rPr>
                <w:sz w:val="18"/>
                <w:szCs w:val="18"/>
              </w:rPr>
            </w:pPr>
          </w:p>
        </w:tc>
        <w:tc>
          <w:tcPr>
            <w:tcW w:w="998" w:type="pct"/>
            <w:gridSpan w:val="2"/>
            <w:vAlign w:val="center"/>
          </w:tcPr>
          <w:p>
            <w:pPr>
              <w:jc w:val="center"/>
              <w:rPr>
                <w:sz w:val="18"/>
                <w:szCs w:val="18"/>
              </w:rPr>
            </w:pPr>
          </w:p>
        </w:tc>
        <w:tc>
          <w:tcPr>
            <w:tcW w:w="102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44" w:type="pct"/>
            <w:vMerge w:val="continue"/>
            <w:tcBorders>
              <w:right w:val="single" w:color="auto" w:sz="4" w:space="0"/>
            </w:tcBorders>
            <w:vAlign w:val="center"/>
          </w:tcPr>
          <w:p>
            <w:pPr>
              <w:jc w:val="center"/>
              <w:rPr>
                <w:sz w:val="18"/>
                <w:szCs w:val="18"/>
              </w:rPr>
            </w:pPr>
          </w:p>
        </w:tc>
        <w:tc>
          <w:tcPr>
            <w:tcW w:w="385" w:type="pct"/>
            <w:tcBorders>
              <w:left w:val="single" w:color="auto" w:sz="4" w:space="0"/>
            </w:tcBorders>
            <w:vAlign w:val="center"/>
          </w:tcPr>
          <w:p>
            <w:pPr>
              <w:jc w:val="center"/>
              <w:rPr>
                <w:sz w:val="18"/>
                <w:szCs w:val="18"/>
              </w:rPr>
            </w:pPr>
            <w:r>
              <w:rPr>
                <w:sz w:val="18"/>
                <w:szCs w:val="18"/>
              </w:rPr>
              <w:t>5</w:t>
            </w:r>
          </w:p>
        </w:tc>
        <w:tc>
          <w:tcPr>
            <w:tcW w:w="2246" w:type="pct"/>
            <w:gridSpan w:val="3"/>
            <w:tcBorders>
              <w:bottom w:val="single" w:color="auto" w:sz="4" w:space="0"/>
            </w:tcBorders>
            <w:vAlign w:val="center"/>
          </w:tcPr>
          <w:p>
            <w:pPr>
              <w:jc w:val="center"/>
              <w:rPr>
                <w:sz w:val="18"/>
                <w:szCs w:val="18"/>
              </w:rPr>
            </w:pPr>
          </w:p>
        </w:tc>
        <w:tc>
          <w:tcPr>
            <w:tcW w:w="998" w:type="pct"/>
            <w:gridSpan w:val="2"/>
            <w:vAlign w:val="center"/>
          </w:tcPr>
          <w:p>
            <w:pPr>
              <w:jc w:val="center"/>
              <w:rPr>
                <w:sz w:val="18"/>
                <w:szCs w:val="18"/>
              </w:rPr>
            </w:pPr>
          </w:p>
        </w:tc>
        <w:tc>
          <w:tcPr>
            <w:tcW w:w="102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jc w:val="center"/>
        </w:trPr>
        <w:tc>
          <w:tcPr>
            <w:tcW w:w="1145" w:type="pct"/>
            <w:gridSpan w:val="3"/>
            <w:vAlign w:val="center"/>
          </w:tcPr>
          <w:p>
            <w:pPr>
              <w:jc w:val="center"/>
              <w:rPr>
                <w:sz w:val="18"/>
                <w:szCs w:val="18"/>
              </w:rPr>
            </w:pPr>
            <w:r>
              <w:rPr>
                <w:sz w:val="18"/>
                <w:szCs w:val="18"/>
              </w:rPr>
              <w:t>施工单位检查结论</w:t>
            </w:r>
          </w:p>
        </w:tc>
        <w:tc>
          <w:tcPr>
            <w:tcW w:w="3855" w:type="pct"/>
            <w:gridSpan w:val="5"/>
          </w:tcPr>
          <w:p>
            <w:pPr>
              <w:jc w:val="left"/>
              <w:rPr>
                <w:sz w:val="18"/>
                <w:szCs w:val="18"/>
              </w:rPr>
            </w:pPr>
          </w:p>
          <w:p>
            <w:pPr>
              <w:jc w:val="left"/>
              <w:rPr>
                <w:sz w:val="18"/>
                <w:szCs w:val="18"/>
              </w:rPr>
            </w:pPr>
            <w:r>
              <w:rPr>
                <w:sz w:val="18"/>
                <w:szCs w:val="18"/>
              </w:rPr>
              <w:t>项目专业质量检查员：</w:t>
            </w:r>
          </w:p>
          <w:p>
            <w:pPr>
              <w:jc w:val="left"/>
              <w:rPr>
                <w:sz w:val="18"/>
                <w:szCs w:val="18"/>
              </w:rPr>
            </w:pPr>
            <w:r>
              <w:rPr>
                <w:sz w:val="18"/>
                <w:szCs w:val="18"/>
              </w:rPr>
              <w:t>（项目技术负责人）</w:t>
            </w:r>
          </w:p>
          <w:p>
            <w:pPr>
              <w:jc w:val="left"/>
              <w:rPr>
                <w:sz w:val="18"/>
                <w:szCs w:val="18"/>
              </w:rPr>
            </w:pPr>
          </w:p>
          <w:p>
            <w:pPr>
              <w:jc w:val="left"/>
              <w:rPr>
                <w:sz w:val="18"/>
                <w:szCs w:val="18"/>
              </w:rPr>
            </w:pPr>
          </w:p>
          <w:p>
            <w:pPr>
              <w:jc w:val="left"/>
              <w:rPr>
                <w:sz w:val="18"/>
                <w:szCs w:val="18"/>
              </w:rPr>
            </w:pPr>
          </w:p>
          <w:p>
            <w:pPr>
              <w:jc w:val="left"/>
              <w:rPr>
                <w:sz w:val="18"/>
                <w:szCs w:val="18"/>
              </w:rPr>
            </w:pPr>
          </w:p>
          <w:p>
            <w:pPr>
              <w:jc w:val="right"/>
              <w:rPr>
                <w:sz w:val="18"/>
                <w:szCs w:val="18"/>
              </w:rPr>
            </w:pPr>
          </w:p>
          <w:p>
            <w:pPr>
              <w:jc w:val="right"/>
              <w:rPr>
                <w:sz w:val="18"/>
                <w:szCs w:val="18"/>
              </w:rPr>
            </w:pPr>
          </w:p>
          <w:p>
            <w:pPr>
              <w:jc w:val="right"/>
              <w:rPr>
                <w:sz w:val="18"/>
                <w:szCs w:val="18"/>
              </w:rPr>
            </w:pPr>
          </w:p>
          <w:p>
            <w:pPr>
              <w:jc w:val="right"/>
              <w:rPr>
                <w:sz w:val="18"/>
                <w:szCs w:val="18"/>
              </w:rPr>
            </w:pPr>
            <w:r>
              <w:rPr>
                <w:sz w:val="18"/>
                <w:szCs w:val="1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jc w:val="center"/>
        </w:trPr>
        <w:tc>
          <w:tcPr>
            <w:tcW w:w="1145" w:type="pct"/>
            <w:gridSpan w:val="3"/>
            <w:vAlign w:val="center"/>
          </w:tcPr>
          <w:p>
            <w:pPr>
              <w:jc w:val="center"/>
              <w:rPr>
                <w:sz w:val="18"/>
                <w:szCs w:val="18"/>
              </w:rPr>
            </w:pPr>
            <w:r>
              <w:rPr>
                <w:sz w:val="18"/>
                <w:szCs w:val="18"/>
              </w:rPr>
              <w:t>监理（建设）单位验收结论</w:t>
            </w:r>
          </w:p>
        </w:tc>
        <w:tc>
          <w:tcPr>
            <w:tcW w:w="3855" w:type="pct"/>
            <w:gridSpan w:val="5"/>
          </w:tcPr>
          <w:p>
            <w:pPr>
              <w:jc w:val="left"/>
              <w:rPr>
                <w:sz w:val="18"/>
                <w:szCs w:val="18"/>
              </w:rPr>
            </w:pPr>
            <w:r>
              <w:rPr>
                <w:sz w:val="18"/>
                <w:szCs w:val="18"/>
              </w:rPr>
              <w:t>监理工程师：</w:t>
            </w:r>
          </w:p>
          <w:p>
            <w:pPr>
              <w:jc w:val="left"/>
              <w:rPr>
                <w:sz w:val="18"/>
                <w:szCs w:val="18"/>
              </w:rPr>
            </w:pPr>
            <w:r>
              <w:rPr>
                <w:sz w:val="18"/>
                <w:szCs w:val="18"/>
              </w:rPr>
              <w:t>（建设单位项目负责人）</w:t>
            </w: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right"/>
              <w:rPr>
                <w:sz w:val="18"/>
                <w:szCs w:val="18"/>
              </w:rPr>
            </w:pPr>
            <w:r>
              <w:rPr>
                <w:sz w:val="18"/>
                <w:szCs w:val="18"/>
              </w:rPr>
              <w:t>年    月    日</w:t>
            </w:r>
          </w:p>
        </w:tc>
      </w:tr>
    </w:tbl>
    <w:p>
      <w:pPr>
        <w:ind w:firstLine="420" w:firstLineChars="200"/>
        <w:jc w:val="left"/>
      </w:pPr>
    </w:p>
    <w:p>
      <w:pPr>
        <w:ind w:firstLine="420" w:firstLineChars="200"/>
        <w:jc w:val="left"/>
      </w:pPr>
    </w:p>
    <w:p>
      <w:pPr>
        <w:pStyle w:val="25"/>
      </w:pPr>
    </w:p>
    <w:p>
      <w:pPr>
        <w:pStyle w:val="96"/>
        <w:outlineLvl w:val="9"/>
      </w:pPr>
      <w:r>
        <w:rPr>
          <w:rFonts w:hint="eastAsia"/>
        </w:rPr>
        <w:t>表B</w:t>
      </w:r>
      <w:r>
        <w:t>.</w:t>
      </w:r>
      <w:r>
        <w:rPr>
          <w:rFonts w:hint="eastAsia"/>
        </w:rPr>
        <w:t>2</w:t>
      </w:r>
      <w:r>
        <w:t xml:space="preserve">  </w:t>
      </w:r>
      <w:r>
        <w:rPr>
          <w:rFonts w:hint="eastAsia"/>
        </w:rPr>
        <w:t>城镇道路沥青路面就地热再生分项工程检验批质量验收记录</w:t>
      </w:r>
    </w:p>
    <w:p>
      <w:pPr>
        <w:ind w:right="-144" w:firstLine="7980" w:firstLineChars="3800"/>
        <w:rPr>
          <w:szCs w:val="21"/>
          <w:u w:val="single"/>
        </w:rPr>
      </w:pPr>
      <w:r>
        <w:rPr>
          <w:szCs w:val="21"/>
        </w:rPr>
        <w:t>编号：</w:t>
      </w:r>
      <w:r>
        <w:rPr>
          <w:szCs w:val="21"/>
          <w:u w:val="single"/>
        </w:rPr>
        <w:t xml:space="preserve">        </w:t>
      </w:r>
    </w:p>
    <w:tbl>
      <w:tblPr>
        <w:tblStyle w:val="3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718"/>
        <w:gridCol w:w="796"/>
        <w:gridCol w:w="318"/>
        <w:gridCol w:w="2389"/>
        <w:gridCol w:w="2228"/>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gridSpan w:val="3"/>
            <w:vAlign w:val="center"/>
          </w:tcPr>
          <w:p>
            <w:pPr>
              <w:jc w:val="center"/>
              <w:rPr>
                <w:sz w:val="18"/>
                <w:szCs w:val="18"/>
              </w:rPr>
            </w:pPr>
            <w:r>
              <w:rPr>
                <w:sz w:val="18"/>
                <w:szCs w:val="18"/>
              </w:rPr>
              <w:t>工程名称</w:t>
            </w:r>
          </w:p>
        </w:tc>
        <w:tc>
          <w:tcPr>
            <w:tcW w:w="3855" w:type="pct"/>
            <w:gridSpan w:val="4"/>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gridSpan w:val="3"/>
            <w:vAlign w:val="center"/>
          </w:tcPr>
          <w:p>
            <w:pPr>
              <w:jc w:val="center"/>
              <w:rPr>
                <w:sz w:val="18"/>
                <w:szCs w:val="18"/>
              </w:rPr>
            </w:pPr>
            <w:r>
              <w:rPr>
                <w:rFonts w:hint="eastAsia"/>
                <w:sz w:val="18"/>
                <w:szCs w:val="18"/>
              </w:rPr>
              <w:t>施工单位</w:t>
            </w:r>
          </w:p>
        </w:tc>
        <w:tc>
          <w:tcPr>
            <w:tcW w:w="3855" w:type="pct"/>
            <w:gridSpan w:val="4"/>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gridSpan w:val="3"/>
            <w:vAlign w:val="center"/>
          </w:tcPr>
          <w:p>
            <w:pPr>
              <w:jc w:val="center"/>
              <w:rPr>
                <w:sz w:val="18"/>
                <w:szCs w:val="18"/>
              </w:rPr>
            </w:pPr>
            <w:r>
              <w:rPr>
                <w:rFonts w:hint="eastAsia"/>
                <w:sz w:val="18"/>
                <w:szCs w:val="18"/>
              </w:rPr>
              <w:t>子</w:t>
            </w:r>
            <w:r>
              <w:rPr>
                <w:sz w:val="18"/>
                <w:szCs w:val="18"/>
              </w:rPr>
              <w:t>分</w:t>
            </w:r>
            <w:r>
              <w:rPr>
                <w:rFonts w:hint="eastAsia"/>
                <w:sz w:val="18"/>
                <w:szCs w:val="18"/>
              </w:rPr>
              <w:t>部</w:t>
            </w:r>
            <w:r>
              <w:rPr>
                <w:sz w:val="18"/>
                <w:szCs w:val="18"/>
              </w:rPr>
              <w:t>工程名称</w:t>
            </w:r>
          </w:p>
        </w:tc>
        <w:tc>
          <w:tcPr>
            <w:tcW w:w="1414" w:type="pct"/>
            <w:gridSpan w:val="2"/>
            <w:vAlign w:val="center"/>
          </w:tcPr>
          <w:p>
            <w:pPr>
              <w:jc w:val="center"/>
              <w:rPr>
                <w:sz w:val="18"/>
                <w:szCs w:val="18"/>
              </w:rPr>
            </w:pPr>
          </w:p>
        </w:tc>
        <w:tc>
          <w:tcPr>
            <w:tcW w:w="1164" w:type="pct"/>
            <w:vAlign w:val="center"/>
          </w:tcPr>
          <w:p>
            <w:pPr>
              <w:jc w:val="center"/>
              <w:rPr>
                <w:sz w:val="18"/>
                <w:szCs w:val="18"/>
              </w:rPr>
            </w:pPr>
            <w:r>
              <w:rPr>
                <w:sz w:val="18"/>
                <w:szCs w:val="18"/>
              </w:rPr>
              <w:t>分</w:t>
            </w:r>
            <w:r>
              <w:rPr>
                <w:rFonts w:hint="eastAsia"/>
                <w:sz w:val="18"/>
                <w:szCs w:val="18"/>
              </w:rPr>
              <w:t>项</w:t>
            </w:r>
            <w:r>
              <w:rPr>
                <w:sz w:val="18"/>
                <w:szCs w:val="18"/>
              </w:rPr>
              <w:t>工程名称</w:t>
            </w:r>
          </w:p>
        </w:tc>
        <w:tc>
          <w:tcPr>
            <w:tcW w:w="127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gridSpan w:val="3"/>
            <w:vAlign w:val="center"/>
          </w:tcPr>
          <w:p>
            <w:pPr>
              <w:jc w:val="center"/>
              <w:rPr>
                <w:sz w:val="18"/>
                <w:szCs w:val="18"/>
              </w:rPr>
            </w:pPr>
            <w:r>
              <w:rPr>
                <w:rFonts w:hAnsi="宋体"/>
                <w:sz w:val="18"/>
                <w:szCs w:val="18"/>
              </w:rPr>
              <w:t>检验批</w:t>
            </w:r>
            <w:r>
              <w:rPr>
                <w:sz w:val="18"/>
                <w:szCs w:val="18"/>
              </w:rPr>
              <w:t>/</w:t>
            </w:r>
            <w:r>
              <w:rPr>
                <w:rFonts w:hAnsi="宋体"/>
                <w:sz w:val="18"/>
                <w:szCs w:val="18"/>
              </w:rPr>
              <w:t>分项系统、部位</w:t>
            </w:r>
          </w:p>
        </w:tc>
        <w:tc>
          <w:tcPr>
            <w:tcW w:w="1414" w:type="pct"/>
            <w:gridSpan w:val="2"/>
            <w:vAlign w:val="center"/>
          </w:tcPr>
          <w:p>
            <w:pPr>
              <w:jc w:val="center"/>
              <w:rPr>
                <w:sz w:val="18"/>
                <w:szCs w:val="18"/>
              </w:rPr>
            </w:pPr>
          </w:p>
        </w:tc>
        <w:tc>
          <w:tcPr>
            <w:tcW w:w="1164" w:type="pct"/>
            <w:vAlign w:val="center"/>
          </w:tcPr>
          <w:p>
            <w:pPr>
              <w:jc w:val="center"/>
              <w:rPr>
                <w:sz w:val="18"/>
                <w:szCs w:val="18"/>
              </w:rPr>
            </w:pPr>
            <w:r>
              <w:rPr>
                <w:rFonts w:hint="eastAsia"/>
                <w:sz w:val="18"/>
                <w:szCs w:val="18"/>
              </w:rPr>
              <w:t>检验日期</w:t>
            </w:r>
          </w:p>
        </w:tc>
        <w:tc>
          <w:tcPr>
            <w:tcW w:w="127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gridSpan w:val="3"/>
            <w:vAlign w:val="center"/>
          </w:tcPr>
          <w:p>
            <w:pPr>
              <w:jc w:val="center"/>
              <w:rPr>
                <w:sz w:val="18"/>
                <w:szCs w:val="18"/>
              </w:rPr>
            </w:pPr>
            <w:r>
              <w:rPr>
                <w:rFonts w:hint="eastAsia"/>
                <w:sz w:val="18"/>
                <w:szCs w:val="18"/>
              </w:rPr>
              <w:t>项目经理</w:t>
            </w:r>
          </w:p>
        </w:tc>
        <w:tc>
          <w:tcPr>
            <w:tcW w:w="1414" w:type="pct"/>
            <w:gridSpan w:val="2"/>
            <w:vAlign w:val="center"/>
          </w:tcPr>
          <w:p>
            <w:pPr>
              <w:jc w:val="center"/>
              <w:rPr>
                <w:sz w:val="18"/>
                <w:szCs w:val="18"/>
              </w:rPr>
            </w:pPr>
          </w:p>
        </w:tc>
        <w:tc>
          <w:tcPr>
            <w:tcW w:w="1164" w:type="pct"/>
            <w:vAlign w:val="center"/>
          </w:tcPr>
          <w:p>
            <w:pPr>
              <w:jc w:val="center"/>
              <w:rPr>
                <w:sz w:val="18"/>
                <w:szCs w:val="18"/>
              </w:rPr>
            </w:pPr>
            <w:r>
              <w:rPr>
                <w:rFonts w:hint="eastAsia"/>
                <w:sz w:val="18"/>
                <w:szCs w:val="18"/>
              </w:rPr>
              <w:t>项目技术负责人</w:t>
            </w:r>
          </w:p>
        </w:tc>
        <w:tc>
          <w:tcPr>
            <w:tcW w:w="127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9" w:type="pct"/>
            <w:gridSpan w:val="5"/>
            <w:vAlign w:val="center"/>
          </w:tcPr>
          <w:p>
            <w:pPr>
              <w:jc w:val="center"/>
              <w:rPr>
                <w:sz w:val="18"/>
                <w:szCs w:val="18"/>
              </w:rPr>
            </w:pPr>
            <w:r>
              <w:rPr>
                <w:rFonts w:hAnsi="宋体"/>
                <w:sz w:val="18"/>
                <w:szCs w:val="18"/>
              </w:rPr>
              <w:t>检测项目</w:t>
            </w:r>
          </w:p>
        </w:tc>
        <w:tc>
          <w:tcPr>
            <w:tcW w:w="1164" w:type="pct"/>
            <w:vAlign w:val="center"/>
          </w:tcPr>
          <w:p>
            <w:pPr>
              <w:jc w:val="center"/>
              <w:rPr>
                <w:sz w:val="18"/>
                <w:szCs w:val="18"/>
              </w:rPr>
            </w:pPr>
            <w:r>
              <w:rPr>
                <w:rFonts w:hAnsi="宋体"/>
                <w:sz w:val="18"/>
                <w:szCs w:val="18"/>
              </w:rPr>
              <w:t>施工单位检查评定结果</w:t>
            </w:r>
          </w:p>
        </w:tc>
        <w:tc>
          <w:tcPr>
            <w:tcW w:w="1277" w:type="pct"/>
            <w:vAlign w:val="center"/>
          </w:tcPr>
          <w:p>
            <w:pPr>
              <w:jc w:val="center"/>
              <w:rPr>
                <w:sz w:val="18"/>
                <w:szCs w:val="18"/>
              </w:rPr>
            </w:pPr>
            <w:r>
              <w:rPr>
                <w:rFonts w:hAnsi="宋体"/>
                <w:sz w:val="18"/>
                <w:szCs w:val="18"/>
              </w:rPr>
              <w:t>监理（建设）单位验收结果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restart"/>
            <w:tcBorders>
              <w:right w:val="single" w:color="auto" w:sz="4" w:space="0"/>
            </w:tcBorders>
            <w:vAlign w:val="center"/>
          </w:tcPr>
          <w:p>
            <w:pPr>
              <w:jc w:val="center"/>
              <w:rPr>
                <w:sz w:val="18"/>
                <w:szCs w:val="18"/>
              </w:rPr>
            </w:pPr>
            <w:r>
              <w:rPr>
                <w:rFonts w:hAnsi="宋体"/>
                <w:sz w:val="18"/>
                <w:szCs w:val="18"/>
              </w:rPr>
              <w:t>主控项目</w:t>
            </w:r>
          </w:p>
        </w:tc>
        <w:tc>
          <w:tcPr>
            <w:tcW w:w="375" w:type="pct"/>
            <w:tcBorders>
              <w:left w:val="single" w:color="auto" w:sz="4" w:space="0"/>
            </w:tcBorders>
            <w:vAlign w:val="center"/>
          </w:tcPr>
          <w:p>
            <w:pPr>
              <w:jc w:val="center"/>
              <w:rPr>
                <w:sz w:val="18"/>
                <w:szCs w:val="18"/>
              </w:rPr>
            </w:pPr>
            <w:r>
              <w:rPr>
                <w:sz w:val="18"/>
                <w:szCs w:val="18"/>
              </w:rPr>
              <w:t>1</w:t>
            </w:r>
          </w:p>
        </w:tc>
        <w:tc>
          <w:tcPr>
            <w:tcW w:w="1830" w:type="pct"/>
            <w:gridSpan w:val="3"/>
            <w:vAlign w:val="center"/>
          </w:tcPr>
          <w:p>
            <w:pPr>
              <w:jc w:val="center"/>
              <w:rPr>
                <w:sz w:val="18"/>
                <w:szCs w:val="18"/>
              </w:rPr>
            </w:pPr>
          </w:p>
        </w:tc>
        <w:tc>
          <w:tcPr>
            <w:tcW w:w="1164" w:type="pct"/>
            <w:vAlign w:val="center"/>
          </w:tcPr>
          <w:p>
            <w:pPr>
              <w:jc w:val="center"/>
              <w:rPr>
                <w:sz w:val="18"/>
                <w:szCs w:val="18"/>
              </w:rPr>
            </w:pPr>
          </w:p>
        </w:tc>
        <w:tc>
          <w:tcPr>
            <w:tcW w:w="127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Borders>
              <w:right w:val="single" w:color="auto" w:sz="4" w:space="0"/>
            </w:tcBorders>
            <w:vAlign w:val="center"/>
          </w:tcPr>
          <w:p>
            <w:pPr>
              <w:jc w:val="center"/>
              <w:rPr>
                <w:sz w:val="18"/>
                <w:szCs w:val="18"/>
              </w:rPr>
            </w:pPr>
          </w:p>
        </w:tc>
        <w:tc>
          <w:tcPr>
            <w:tcW w:w="375" w:type="pct"/>
            <w:tcBorders>
              <w:left w:val="single" w:color="auto" w:sz="4" w:space="0"/>
            </w:tcBorders>
            <w:vAlign w:val="center"/>
          </w:tcPr>
          <w:p>
            <w:pPr>
              <w:jc w:val="center"/>
              <w:rPr>
                <w:sz w:val="18"/>
                <w:szCs w:val="18"/>
              </w:rPr>
            </w:pPr>
            <w:r>
              <w:rPr>
                <w:sz w:val="18"/>
                <w:szCs w:val="18"/>
              </w:rPr>
              <w:t>2</w:t>
            </w:r>
          </w:p>
        </w:tc>
        <w:tc>
          <w:tcPr>
            <w:tcW w:w="1830" w:type="pct"/>
            <w:gridSpan w:val="3"/>
            <w:vAlign w:val="center"/>
          </w:tcPr>
          <w:p>
            <w:pPr>
              <w:jc w:val="center"/>
              <w:rPr>
                <w:sz w:val="18"/>
                <w:szCs w:val="18"/>
              </w:rPr>
            </w:pPr>
          </w:p>
        </w:tc>
        <w:tc>
          <w:tcPr>
            <w:tcW w:w="1164" w:type="pct"/>
            <w:vAlign w:val="center"/>
          </w:tcPr>
          <w:p>
            <w:pPr>
              <w:jc w:val="center"/>
              <w:rPr>
                <w:sz w:val="18"/>
                <w:szCs w:val="18"/>
              </w:rPr>
            </w:pPr>
          </w:p>
        </w:tc>
        <w:tc>
          <w:tcPr>
            <w:tcW w:w="127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Borders>
              <w:right w:val="single" w:color="auto" w:sz="4" w:space="0"/>
            </w:tcBorders>
            <w:vAlign w:val="center"/>
          </w:tcPr>
          <w:p>
            <w:pPr>
              <w:jc w:val="center"/>
              <w:rPr>
                <w:sz w:val="18"/>
                <w:szCs w:val="18"/>
              </w:rPr>
            </w:pPr>
          </w:p>
        </w:tc>
        <w:tc>
          <w:tcPr>
            <w:tcW w:w="375" w:type="pct"/>
            <w:tcBorders>
              <w:left w:val="single" w:color="auto" w:sz="4" w:space="0"/>
            </w:tcBorders>
            <w:vAlign w:val="center"/>
          </w:tcPr>
          <w:p>
            <w:pPr>
              <w:jc w:val="center"/>
              <w:rPr>
                <w:sz w:val="18"/>
                <w:szCs w:val="18"/>
              </w:rPr>
            </w:pPr>
            <w:r>
              <w:rPr>
                <w:sz w:val="18"/>
                <w:szCs w:val="18"/>
              </w:rPr>
              <w:t>3</w:t>
            </w:r>
          </w:p>
        </w:tc>
        <w:tc>
          <w:tcPr>
            <w:tcW w:w="1830" w:type="pct"/>
            <w:gridSpan w:val="3"/>
            <w:vAlign w:val="center"/>
          </w:tcPr>
          <w:p>
            <w:pPr>
              <w:jc w:val="center"/>
              <w:rPr>
                <w:sz w:val="18"/>
                <w:szCs w:val="18"/>
              </w:rPr>
            </w:pPr>
          </w:p>
        </w:tc>
        <w:tc>
          <w:tcPr>
            <w:tcW w:w="1164" w:type="pct"/>
            <w:vAlign w:val="center"/>
          </w:tcPr>
          <w:p>
            <w:pPr>
              <w:jc w:val="center"/>
              <w:rPr>
                <w:sz w:val="18"/>
                <w:szCs w:val="18"/>
              </w:rPr>
            </w:pPr>
          </w:p>
        </w:tc>
        <w:tc>
          <w:tcPr>
            <w:tcW w:w="127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Borders>
              <w:right w:val="single" w:color="auto" w:sz="4" w:space="0"/>
            </w:tcBorders>
            <w:vAlign w:val="center"/>
          </w:tcPr>
          <w:p>
            <w:pPr>
              <w:jc w:val="center"/>
              <w:rPr>
                <w:sz w:val="18"/>
                <w:szCs w:val="18"/>
              </w:rPr>
            </w:pPr>
          </w:p>
        </w:tc>
        <w:tc>
          <w:tcPr>
            <w:tcW w:w="375" w:type="pct"/>
            <w:tcBorders>
              <w:left w:val="single" w:color="auto" w:sz="4" w:space="0"/>
            </w:tcBorders>
            <w:vAlign w:val="center"/>
          </w:tcPr>
          <w:p>
            <w:pPr>
              <w:jc w:val="center"/>
              <w:rPr>
                <w:sz w:val="18"/>
                <w:szCs w:val="18"/>
              </w:rPr>
            </w:pPr>
            <w:r>
              <w:rPr>
                <w:sz w:val="18"/>
                <w:szCs w:val="18"/>
              </w:rPr>
              <w:t>4</w:t>
            </w:r>
          </w:p>
        </w:tc>
        <w:tc>
          <w:tcPr>
            <w:tcW w:w="1830" w:type="pct"/>
            <w:gridSpan w:val="3"/>
            <w:vAlign w:val="center"/>
          </w:tcPr>
          <w:p>
            <w:pPr>
              <w:jc w:val="center"/>
              <w:rPr>
                <w:sz w:val="18"/>
                <w:szCs w:val="18"/>
              </w:rPr>
            </w:pPr>
          </w:p>
        </w:tc>
        <w:tc>
          <w:tcPr>
            <w:tcW w:w="1164" w:type="pct"/>
            <w:vAlign w:val="center"/>
          </w:tcPr>
          <w:p>
            <w:pPr>
              <w:jc w:val="center"/>
              <w:rPr>
                <w:sz w:val="18"/>
                <w:szCs w:val="18"/>
              </w:rPr>
            </w:pPr>
          </w:p>
        </w:tc>
        <w:tc>
          <w:tcPr>
            <w:tcW w:w="127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Borders>
              <w:right w:val="single" w:color="auto" w:sz="4" w:space="0"/>
            </w:tcBorders>
            <w:vAlign w:val="center"/>
          </w:tcPr>
          <w:p>
            <w:pPr>
              <w:jc w:val="center"/>
              <w:rPr>
                <w:sz w:val="18"/>
                <w:szCs w:val="18"/>
              </w:rPr>
            </w:pPr>
          </w:p>
        </w:tc>
        <w:tc>
          <w:tcPr>
            <w:tcW w:w="375" w:type="pct"/>
            <w:tcBorders>
              <w:left w:val="single" w:color="auto" w:sz="4" w:space="0"/>
            </w:tcBorders>
            <w:vAlign w:val="center"/>
          </w:tcPr>
          <w:p>
            <w:pPr>
              <w:jc w:val="center"/>
              <w:rPr>
                <w:sz w:val="18"/>
                <w:szCs w:val="18"/>
              </w:rPr>
            </w:pPr>
            <w:r>
              <w:rPr>
                <w:sz w:val="18"/>
                <w:szCs w:val="18"/>
              </w:rPr>
              <w:t>5</w:t>
            </w:r>
          </w:p>
        </w:tc>
        <w:tc>
          <w:tcPr>
            <w:tcW w:w="1830" w:type="pct"/>
            <w:gridSpan w:val="3"/>
            <w:vAlign w:val="center"/>
          </w:tcPr>
          <w:p>
            <w:pPr>
              <w:jc w:val="center"/>
              <w:rPr>
                <w:sz w:val="18"/>
                <w:szCs w:val="18"/>
              </w:rPr>
            </w:pPr>
          </w:p>
        </w:tc>
        <w:tc>
          <w:tcPr>
            <w:tcW w:w="1164" w:type="pct"/>
            <w:vAlign w:val="center"/>
          </w:tcPr>
          <w:p>
            <w:pPr>
              <w:jc w:val="center"/>
              <w:rPr>
                <w:sz w:val="18"/>
                <w:szCs w:val="18"/>
              </w:rPr>
            </w:pPr>
          </w:p>
        </w:tc>
        <w:tc>
          <w:tcPr>
            <w:tcW w:w="127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restart"/>
            <w:tcBorders>
              <w:right w:val="single" w:color="auto" w:sz="4" w:space="0"/>
            </w:tcBorders>
            <w:vAlign w:val="center"/>
          </w:tcPr>
          <w:p>
            <w:pPr>
              <w:jc w:val="center"/>
              <w:rPr>
                <w:sz w:val="18"/>
                <w:szCs w:val="18"/>
              </w:rPr>
            </w:pPr>
            <w:r>
              <w:rPr>
                <w:rFonts w:hAnsi="宋体"/>
                <w:sz w:val="18"/>
                <w:szCs w:val="18"/>
              </w:rPr>
              <w:t>一般项目</w:t>
            </w:r>
          </w:p>
        </w:tc>
        <w:tc>
          <w:tcPr>
            <w:tcW w:w="375" w:type="pct"/>
            <w:tcBorders>
              <w:left w:val="single" w:color="auto" w:sz="4" w:space="0"/>
            </w:tcBorders>
            <w:vAlign w:val="center"/>
          </w:tcPr>
          <w:p>
            <w:pPr>
              <w:jc w:val="center"/>
              <w:rPr>
                <w:sz w:val="18"/>
                <w:szCs w:val="18"/>
              </w:rPr>
            </w:pPr>
            <w:r>
              <w:rPr>
                <w:sz w:val="18"/>
                <w:szCs w:val="18"/>
              </w:rPr>
              <w:t>1</w:t>
            </w:r>
          </w:p>
        </w:tc>
        <w:tc>
          <w:tcPr>
            <w:tcW w:w="1830" w:type="pct"/>
            <w:gridSpan w:val="3"/>
            <w:vAlign w:val="center"/>
          </w:tcPr>
          <w:p>
            <w:pPr>
              <w:jc w:val="center"/>
              <w:rPr>
                <w:sz w:val="18"/>
                <w:szCs w:val="18"/>
              </w:rPr>
            </w:pPr>
          </w:p>
        </w:tc>
        <w:tc>
          <w:tcPr>
            <w:tcW w:w="1164" w:type="pct"/>
            <w:vAlign w:val="center"/>
          </w:tcPr>
          <w:p>
            <w:pPr>
              <w:jc w:val="center"/>
              <w:rPr>
                <w:sz w:val="18"/>
                <w:szCs w:val="18"/>
              </w:rPr>
            </w:pPr>
          </w:p>
        </w:tc>
        <w:tc>
          <w:tcPr>
            <w:tcW w:w="127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Borders>
              <w:right w:val="single" w:color="auto" w:sz="4" w:space="0"/>
            </w:tcBorders>
            <w:vAlign w:val="center"/>
          </w:tcPr>
          <w:p>
            <w:pPr>
              <w:jc w:val="center"/>
              <w:rPr>
                <w:sz w:val="18"/>
                <w:szCs w:val="18"/>
              </w:rPr>
            </w:pPr>
          </w:p>
        </w:tc>
        <w:tc>
          <w:tcPr>
            <w:tcW w:w="375" w:type="pct"/>
            <w:tcBorders>
              <w:left w:val="single" w:color="auto" w:sz="4" w:space="0"/>
            </w:tcBorders>
            <w:vAlign w:val="center"/>
          </w:tcPr>
          <w:p>
            <w:pPr>
              <w:jc w:val="center"/>
              <w:rPr>
                <w:sz w:val="18"/>
                <w:szCs w:val="18"/>
              </w:rPr>
            </w:pPr>
            <w:r>
              <w:rPr>
                <w:sz w:val="18"/>
                <w:szCs w:val="18"/>
              </w:rPr>
              <w:t>2</w:t>
            </w:r>
          </w:p>
        </w:tc>
        <w:tc>
          <w:tcPr>
            <w:tcW w:w="1830" w:type="pct"/>
            <w:gridSpan w:val="3"/>
            <w:vAlign w:val="center"/>
          </w:tcPr>
          <w:p>
            <w:pPr>
              <w:jc w:val="center"/>
              <w:rPr>
                <w:sz w:val="18"/>
                <w:szCs w:val="18"/>
              </w:rPr>
            </w:pPr>
          </w:p>
        </w:tc>
        <w:tc>
          <w:tcPr>
            <w:tcW w:w="1164" w:type="pct"/>
            <w:vAlign w:val="center"/>
          </w:tcPr>
          <w:p>
            <w:pPr>
              <w:jc w:val="center"/>
              <w:rPr>
                <w:sz w:val="18"/>
                <w:szCs w:val="18"/>
              </w:rPr>
            </w:pPr>
          </w:p>
        </w:tc>
        <w:tc>
          <w:tcPr>
            <w:tcW w:w="127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Borders>
              <w:right w:val="single" w:color="auto" w:sz="4" w:space="0"/>
            </w:tcBorders>
            <w:vAlign w:val="center"/>
          </w:tcPr>
          <w:p>
            <w:pPr>
              <w:jc w:val="center"/>
              <w:rPr>
                <w:sz w:val="18"/>
                <w:szCs w:val="18"/>
              </w:rPr>
            </w:pPr>
          </w:p>
        </w:tc>
        <w:tc>
          <w:tcPr>
            <w:tcW w:w="375" w:type="pct"/>
            <w:tcBorders>
              <w:left w:val="single" w:color="auto" w:sz="4" w:space="0"/>
            </w:tcBorders>
            <w:vAlign w:val="center"/>
          </w:tcPr>
          <w:p>
            <w:pPr>
              <w:jc w:val="center"/>
              <w:rPr>
                <w:sz w:val="18"/>
                <w:szCs w:val="18"/>
              </w:rPr>
            </w:pPr>
            <w:r>
              <w:rPr>
                <w:sz w:val="18"/>
                <w:szCs w:val="18"/>
              </w:rPr>
              <w:t>3</w:t>
            </w:r>
          </w:p>
        </w:tc>
        <w:tc>
          <w:tcPr>
            <w:tcW w:w="1830" w:type="pct"/>
            <w:gridSpan w:val="3"/>
            <w:vAlign w:val="center"/>
          </w:tcPr>
          <w:p>
            <w:pPr>
              <w:jc w:val="center"/>
              <w:rPr>
                <w:sz w:val="18"/>
                <w:szCs w:val="18"/>
              </w:rPr>
            </w:pPr>
          </w:p>
        </w:tc>
        <w:tc>
          <w:tcPr>
            <w:tcW w:w="1164" w:type="pct"/>
            <w:vAlign w:val="center"/>
          </w:tcPr>
          <w:p>
            <w:pPr>
              <w:jc w:val="center"/>
              <w:rPr>
                <w:sz w:val="18"/>
                <w:szCs w:val="18"/>
              </w:rPr>
            </w:pPr>
          </w:p>
        </w:tc>
        <w:tc>
          <w:tcPr>
            <w:tcW w:w="127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Borders>
              <w:right w:val="single" w:color="auto" w:sz="4" w:space="0"/>
            </w:tcBorders>
            <w:vAlign w:val="center"/>
          </w:tcPr>
          <w:p>
            <w:pPr>
              <w:jc w:val="center"/>
              <w:rPr>
                <w:sz w:val="18"/>
                <w:szCs w:val="18"/>
              </w:rPr>
            </w:pPr>
          </w:p>
        </w:tc>
        <w:tc>
          <w:tcPr>
            <w:tcW w:w="375" w:type="pct"/>
            <w:tcBorders>
              <w:left w:val="single" w:color="auto" w:sz="4" w:space="0"/>
            </w:tcBorders>
            <w:vAlign w:val="center"/>
          </w:tcPr>
          <w:p>
            <w:pPr>
              <w:jc w:val="center"/>
              <w:rPr>
                <w:sz w:val="18"/>
                <w:szCs w:val="18"/>
              </w:rPr>
            </w:pPr>
            <w:r>
              <w:rPr>
                <w:sz w:val="18"/>
                <w:szCs w:val="18"/>
              </w:rPr>
              <w:t>4</w:t>
            </w:r>
          </w:p>
        </w:tc>
        <w:tc>
          <w:tcPr>
            <w:tcW w:w="1830" w:type="pct"/>
            <w:gridSpan w:val="3"/>
            <w:vAlign w:val="center"/>
          </w:tcPr>
          <w:p>
            <w:pPr>
              <w:jc w:val="center"/>
              <w:rPr>
                <w:sz w:val="18"/>
                <w:szCs w:val="18"/>
              </w:rPr>
            </w:pPr>
          </w:p>
        </w:tc>
        <w:tc>
          <w:tcPr>
            <w:tcW w:w="1164" w:type="pct"/>
            <w:vAlign w:val="center"/>
          </w:tcPr>
          <w:p>
            <w:pPr>
              <w:jc w:val="center"/>
              <w:rPr>
                <w:sz w:val="18"/>
                <w:szCs w:val="18"/>
              </w:rPr>
            </w:pPr>
          </w:p>
        </w:tc>
        <w:tc>
          <w:tcPr>
            <w:tcW w:w="127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Borders>
              <w:right w:val="single" w:color="auto" w:sz="4" w:space="0"/>
            </w:tcBorders>
            <w:vAlign w:val="center"/>
          </w:tcPr>
          <w:p>
            <w:pPr>
              <w:jc w:val="center"/>
              <w:rPr>
                <w:sz w:val="18"/>
                <w:szCs w:val="18"/>
              </w:rPr>
            </w:pPr>
          </w:p>
        </w:tc>
        <w:tc>
          <w:tcPr>
            <w:tcW w:w="375" w:type="pct"/>
            <w:tcBorders>
              <w:left w:val="single" w:color="auto" w:sz="4" w:space="0"/>
            </w:tcBorders>
            <w:vAlign w:val="center"/>
          </w:tcPr>
          <w:p>
            <w:pPr>
              <w:jc w:val="center"/>
              <w:rPr>
                <w:sz w:val="18"/>
                <w:szCs w:val="18"/>
              </w:rPr>
            </w:pPr>
            <w:r>
              <w:rPr>
                <w:sz w:val="18"/>
                <w:szCs w:val="18"/>
              </w:rPr>
              <w:t>5</w:t>
            </w:r>
          </w:p>
        </w:tc>
        <w:tc>
          <w:tcPr>
            <w:tcW w:w="1830" w:type="pct"/>
            <w:gridSpan w:val="3"/>
            <w:vAlign w:val="center"/>
          </w:tcPr>
          <w:p>
            <w:pPr>
              <w:jc w:val="center"/>
              <w:rPr>
                <w:sz w:val="18"/>
                <w:szCs w:val="18"/>
              </w:rPr>
            </w:pPr>
          </w:p>
        </w:tc>
        <w:tc>
          <w:tcPr>
            <w:tcW w:w="1164" w:type="pct"/>
            <w:vAlign w:val="center"/>
          </w:tcPr>
          <w:p>
            <w:pPr>
              <w:jc w:val="center"/>
              <w:rPr>
                <w:sz w:val="18"/>
                <w:szCs w:val="18"/>
              </w:rPr>
            </w:pPr>
          </w:p>
        </w:tc>
        <w:tc>
          <w:tcPr>
            <w:tcW w:w="1277"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pct"/>
            <w:gridSpan w:val="4"/>
            <w:vAlign w:val="center"/>
          </w:tcPr>
          <w:p>
            <w:pPr>
              <w:jc w:val="center"/>
              <w:rPr>
                <w:sz w:val="18"/>
                <w:szCs w:val="18"/>
              </w:rPr>
            </w:pPr>
            <w:r>
              <w:rPr>
                <w:sz w:val="18"/>
                <w:szCs w:val="18"/>
              </w:rPr>
              <w:t>施工单位检查结论</w:t>
            </w:r>
          </w:p>
        </w:tc>
        <w:tc>
          <w:tcPr>
            <w:tcW w:w="3689" w:type="pct"/>
            <w:gridSpan w:val="3"/>
          </w:tcPr>
          <w:p>
            <w:pPr>
              <w:jc w:val="left"/>
              <w:rPr>
                <w:sz w:val="18"/>
                <w:szCs w:val="18"/>
              </w:rPr>
            </w:pPr>
          </w:p>
          <w:p>
            <w:pPr>
              <w:jc w:val="left"/>
              <w:rPr>
                <w:sz w:val="18"/>
                <w:szCs w:val="18"/>
              </w:rPr>
            </w:pPr>
            <w:r>
              <w:rPr>
                <w:sz w:val="18"/>
                <w:szCs w:val="18"/>
              </w:rPr>
              <w:t>项目专业质量检查员：</w:t>
            </w:r>
          </w:p>
          <w:p>
            <w:pPr>
              <w:jc w:val="left"/>
              <w:rPr>
                <w:sz w:val="18"/>
                <w:szCs w:val="18"/>
              </w:rPr>
            </w:pPr>
            <w:r>
              <w:rPr>
                <w:sz w:val="18"/>
                <w:szCs w:val="18"/>
              </w:rPr>
              <w:t>（项目技术负责人）</w:t>
            </w: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right"/>
              <w:rPr>
                <w:sz w:val="18"/>
                <w:szCs w:val="18"/>
              </w:rPr>
            </w:pPr>
            <w:r>
              <w:rPr>
                <w:sz w:val="18"/>
                <w:szCs w:val="1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pct"/>
            <w:gridSpan w:val="4"/>
            <w:vAlign w:val="center"/>
          </w:tcPr>
          <w:p>
            <w:pPr>
              <w:jc w:val="center"/>
              <w:rPr>
                <w:sz w:val="18"/>
                <w:szCs w:val="18"/>
              </w:rPr>
            </w:pPr>
            <w:r>
              <w:rPr>
                <w:sz w:val="18"/>
                <w:szCs w:val="18"/>
              </w:rPr>
              <w:t>监理（建设）单位验收结论</w:t>
            </w:r>
          </w:p>
        </w:tc>
        <w:tc>
          <w:tcPr>
            <w:tcW w:w="3689" w:type="pct"/>
            <w:gridSpan w:val="3"/>
          </w:tcPr>
          <w:p>
            <w:pPr>
              <w:jc w:val="left"/>
              <w:rPr>
                <w:sz w:val="18"/>
                <w:szCs w:val="18"/>
              </w:rPr>
            </w:pPr>
          </w:p>
          <w:p>
            <w:pPr>
              <w:jc w:val="left"/>
              <w:rPr>
                <w:sz w:val="18"/>
                <w:szCs w:val="18"/>
              </w:rPr>
            </w:pPr>
            <w:r>
              <w:rPr>
                <w:sz w:val="18"/>
                <w:szCs w:val="18"/>
              </w:rPr>
              <w:t>监理工程师：</w:t>
            </w:r>
          </w:p>
          <w:p>
            <w:pPr>
              <w:jc w:val="left"/>
              <w:rPr>
                <w:sz w:val="18"/>
                <w:szCs w:val="18"/>
              </w:rPr>
            </w:pPr>
            <w:r>
              <w:rPr>
                <w:sz w:val="18"/>
                <w:szCs w:val="18"/>
              </w:rPr>
              <w:t>（建设单位项目负责人）</w:t>
            </w: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right"/>
              <w:rPr>
                <w:sz w:val="18"/>
                <w:szCs w:val="18"/>
              </w:rPr>
            </w:pPr>
            <w:r>
              <w:rPr>
                <w:sz w:val="18"/>
                <w:szCs w:val="18"/>
              </w:rPr>
              <w:t>年    月    日</w:t>
            </w:r>
          </w:p>
        </w:tc>
      </w:tr>
    </w:tbl>
    <w:p>
      <w:pPr>
        <w:pStyle w:val="96"/>
        <w:outlineLvl w:val="9"/>
      </w:pPr>
      <w:r>
        <w:rPr>
          <w:rFonts w:hint="eastAsia"/>
        </w:rPr>
        <w:t>表B</w:t>
      </w:r>
      <w:r>
        <w:t>.</w:t>
      </w:r>
      <w:r>
        <w:rPr>
          <w:rFonts w:hint="eastAsia"/>
        </w:rPr>
        <w:t>3</w:t>
      </w:r>
      <w:r>
        <w:t xml:space="preserve">  </w:t>
      </w:r>
      <w:r>
        <w:rPr>
          <w:rFonts w:hint="eastAsia"/>
        </w:rPr>
        <w:t>城镇道路沥青路面就地热再生分项工程质量验收记录</w:t>
      </w:r>
    </w:p>
    <w:p>
      <w:pPr>
        <w:ind w:right="-144" w:firstLine="7980" w:firstLineChars="3800"/>
        <w:rPr>
          <w:szCs w:val="21"/>
          <w:u w:val="single"/>
        </w:rPr>
      </w:pPr>
      <w:r>
        <w:rPr>
          <w:szCs w:val="21"/>
        </w:rPr>
        <w:t>编号：</w:t>
      </w:r>
      <w:r>
        <w:rPr>
          <w:szCs w:val="21"/>
          <w:u w:val="single"/>
        </w:rPr>
        <w:t xml:space="preserve">        </w:t>
      </w:r>
    </w:p>
    <w:tbl>
      <w:tblPr>
        <w:tblStyle w:val="3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2"/>
        <w:gridCol w:w="2593"/>
        <w:gridCol w:w="2184"/>
        <w:gridCol w:w="2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vAlign w:val="center"/>
          </w:tcPr>
          <w:p>
            <w:pPr>
              <w:jc w:val="center"/>
              <w:rPr>
                <w:sz w:val="18"/>
                <w:szCs w:val="18"/>
              </w:rPr>
            </w:pPr>
            <w:r>
              <w:rPr>
                <w:sz w:val="18"/>
                <w:szCs w:val="18"/>
              </w:rPr>
              <w:t>工程名称</w:t>
            </w:r>
          </w:p>
        </w:tc>
        <w:tc>
          <w:tcPr>
            <w:tcW w:w="3855" w:type="pct"/>
            <w:gridSpan w:val="3"/>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vAlign w:val="center"/>
          </w:tcPr>
          <w:p>
            <w:pPr>
              <w:jc w:val="center"/>
              <w:rPr>
                <w:sz w:val="18"/>
                <w:szCs w:val="18"/>
              </w:rPr>
            </w:pPr>
            <w:r>
              <w:rPr>
                <w:rFonts w:hint="eastAsia"/>
                <w:sz w:val="18"/>
                <w:szCs w:val="18"/>
              </w:rPr>
              <w:t>施工单位</w:t>
            </w:r>
          </w:p>
        </w:tc>
        <w:tc>
          <w:tcPr>
            <w:tcW w:w="3855" w:type="pct"/>
            <w:gridSpan w:val="3"/>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vAlign w:val="center"/>
          </w:tcPr>
          <w:p>
            <w:pPr>
              <w:jc w:val="center"/>
              <w:rPr>
                <w:sz w:val="18"/>
                <w:szCs w:val="18"/>
              </w:rPr>
            </w:pPr>
            <w:r>
              <w:rPr>
                <w:rFonts w:hint="eastAsia"/>
                <w:sz w:val="18"/>
                <w:szCs w:val="18"/>
              </w:rPr>
              <w:t>子</w:t>
            </w:r>
            <w:r>
              <w:rPr>
                <w:sz w:val="18"/>
                <w:szCs w:val="18"/>
              </w:rPr>
              <w:t>分</w:t>
            </w:r>
            <w:r>
              <w:rPr>
                <w:rFonts w:hint="eastAsia"/>
                <w:sz w:val="18"/>
                <w:szCs w:val="18"/>
              </w:rPr>
              <w:t>部</w:t>
            </w:r>
            <w:r>
              <w:rPr>
                <w:sz w:val="18"/>
                <w:szCs w:val="18"/>
              </w:rPr>
              <w:t>工程名称</w:t>
            </w:r>
          </w:p>
        </w:tc>
        <w:tc>
          <w:tcPr>
            <w:tcW w:w="1355" w:type="pct"/>
            <w:vAlign w:val="center"/>
          </w:tcPr>
          <w:p>
            <w:pPr>
              <w:jc w:val="center"/>
              <w:rPr>
                <w:sz w:val="18"/>
                <w:szCs w:val="18"/>
              </w:rPr>
            </w:pPr>
          </w:p>
        </w:tc>
        <w:tc>
          <w:tcPr>
            <w:tcW w:w="1141" w:type="pct"/>
            <w:vAlign w:val="center"/>
          </w:tcPr>
          <w:p>
            <w:pPr>
              <w:jc w:val="center"/>
              <w:rPr>
                <w:sz w:val="18"/>
                <w:szCs w:val="18"/>
              </w:rPr>
            </w:pPr>
            <w:r>
              <w:rPr>
                <w:sz w:val="18"/>
                <w:szCs w:val="18"/>
              </w:rPr>
              <w:t>分</w:t>
            </w:r>
            <w:r>
              <w:rPr>
                <w:rFonts w:hint="eastAsia"/>
                <w:sz w:val="18"/>
                <w:szCs w:val="18"/>
              </w:rPr>
              <w:t>项</w:t>
            </w:r>
            <w:r>
              <w:rPr>
                <w:sz w:val="18"/>
                <w:szCs w:val="18"/>
              </w:rPr>
              <w:t>工程名称</w:t>
            </w:r>
          </w:p>
        </w:tc>
        <w:tc>
          <w:tcPr>
            <w:tcW w:w="1360"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vAlign w:val="center"/>
          </w:tcPr>
          <w:p>
            <w:pPr>
              <w:jc w:val="center"/>
              <w:rPr>
                <w:sz w:val="18"/>
                <w:szCs w:val="18"/>
              </w:rPr>
            </w:pPr>
            <w:r>
              <w:rPr>
                <w:rFonts w:hAnsi="宋体"/>
                <w:sz w:val="18"/>
                <w:szCs w:val="18"/>
              </w:rPr>
              <w:t>检验批</w:t>
            </w:r>
            <w:r>
              <w:rPr>
                <w:rFonts w:hint="eastAsia"/>
                <w:sz w:val="18"/>
                <w:szCs w:val="18"/>
              </w:rPr>
              <w:t>数</w:t>
            </w:r>
          </w:p>
        </w:tc>
        <w:tc>
          <w:tcPr>
            <w:tcW w:w="1355" w:type="pct"/>
            <w:vAlign w:val="center"/>
          </w:tcPr>
          <w:p>
            <w:pPr>
              <w:jc w:val="center"/>
              <w:rPr>
                <w:sz w:val="18"/>
                <w:szCs w:val="18"/>
              </w:rPr>
            </w:pPr>
          </w:p>
        </w:tc>
        <w:tc>
          <w:tcPr>
            <w:tcW w:w="1141" w:type="pct"/>
            <w:vAlign w:val="center"/>
          </w:tcPr>
          <w:p>
            <w:pPr>
              <w:jc w:val="center"/>
              <w:rPr>
                <w:sz w:val="18"/>
                <w:szCs w:val="18"/>
              </w:rPr>
            </w:pPr>
            <w:r>
              <w:rPr>
                <w:rFonts w:hint="eastAsia"/>
                <w:sz w:val="18"/>
                <w:szCs w:val="18"/>
              </w:rPr>
              <w:t>制表人</w:t>
            </w:r>
          </w:p>
        </w:tc>
        <w:tc>
          <w:tcPr>
            <w:tcW w:w="1360"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vAlign w:val="center"/>
          </w:tcPr>
          <w:p>
            <w:pPr>
              <w:jc w:val="center"/>
              <w:rPr>
                <w:sz w:val="18"/>
                <w:szCs w:val="18"/>
              </w:rPr>
            </w:pPr>
            <w:r>
              <w:rPr>
                <w:rFonts w:hint="eastAsia"/>
                <w:sz w:val="18"/>
                <w:szCs w:val="18"/>
              </w:rPr>
              <w:t>项目经理</w:t>
            </w:r>
          </w:p>
        </w:tc>
        <w:tc>
          <w:tcPr>
            <w:tcW w:w="1355" w:type="pct"/>
            <w:vAlign w:val="center"/>
          </w:tcPr>
          <w:p>
            <w:pPr>
              <w:jc w:val="center"/>
              <w:rPr>
                <w:sz w:val="18"/>
                <w:szCs w:val="18"/>
              </w:rPr>
            </w:pPr>
          </w:p>
        </w:tc>
        <w:tc>
          <w:tcPr>
            <w:tcW w:w="1141" w:type="pct"/>
            <w:vAlign w:val="center"/>
          </w:tcPr>
          <w:p>
            <w:pPr>
              <w:jc w:val="center"/>
              <w:rPr>
                <w:sz w:val="18"/>
                <w:szCs w:val="18"/>
              </w:rPr>
            </w:pPr>
            <w:r>
              <w:rPr>
                <w:rFonts w:hint="eastAsia"/>
                <w:sz w:val="18"/>
                <w:szCs w:val="18"/>
              </w:rPr>
              <w:t>项目技术负责人</w:t>
            </w:r>
          </w:p>
        </w:tc>
        <w:tc>
          <w:tcPr>
            <w:tcW w:w="1360"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vAlign w:val="center"/>
          </w:tcPr>
          <w:p>
            <w:pPr>
              <w:jc w:val="center"/>
              <w:rPr>
                <w:sz w:val="18"/>
                <w:szCs w:val="18"/>
              </w:rPr>
            </w:pPr>
            <w:r>
              <w:rPr>
                <w:rFonts w:hAnsi="宋体"/>
                <w:sz w:val="18"/>
                <w:szCs w:val="18"/>
              </w:rPr>
              <w:t>序号</w:t>
            </w:r>
          </w:p>
        </w:tc>
        <w:tc>
          <w:tcPr>
            <w:tcW w:w="1355" w:type="pct"/>
            <w:vAlign w:val="center"/>
          </w:tcPr>
          <w:p>
            <w:pPr>
              <w:jc w:val="center"/>
              <w:rPr>
                <w:sz w:val="18"/>
                <w:szCs w:val="18"/>
              </w:rPr>
            </w:pPr>
            <w:r>
              <w:rPr>
                <w:rFonts w:hAnsi="宋体"/>
                <w:sz w:val="18"/>
                <w:szCs w:val="18"/>
              </w:rPr>
              <w:t>检验批部位、区段</w:t>
            </w:r>
          </w:p>
        </w:tc>
        <w:tc>
          <w:tcPr>
            <w:tcW w:w="1141" w:type="pct"/>
            <w:vAlign w:val="center"/>
          </w:tcPr>
          <w:p>
            <w:pPr>
              <w:jc w:val="center"/>
              <w:rPr>
                <w:sz w:val="18"/>
                <w:szCs w:val="18"/>
              </w:rPr>
            </w:pPr>
            <w:r>
              <w:rPr>
                <w:rFonts w:hAnsi="宋体"/>
                <w:sz w:val="18"/>
                <w:szCs w:val="18"/>
              </w:rPr>
              <w:t>施工单位检查评定结果</w:t>
            </w:r>
          </w:p>
        </w:tc>
        <w:tc>
          <w:tcPr>
            <w:tcW w:w="1360" w:type="pct"/>
            <w:vAlign w:val="center"/>
          </w:tcPr>
          <w:p>
            <w:pPr>
              <w:jc w:val="center"/>
              <w:rPr>
                <w:sz w:val="18"/>
                <w:szCs w:val="18"/>
              </w:rPr>
            </w:pPr>
            <w:r>
              <w:rPr>
                <w:rFonts w:hAnsi="宋体"/>
                <w:sz w:val="18"/>
                <w:szCs w:val="18"/>
              </w:rPr>
              <w:t>监理（建设）单位验收结果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vAlign w:val="center"/>
          </w:tcPr>
          <w:p>
            <w:pPr>
              <w:jc w:val="center"/>
              <w:rPr>
                <w:sz w:val="18"/>
                <w:szCs w:val="18"/>
              </w:rPr>
            </w:pPr>
            <w:r>
              <w:rPr>
                <w:sz w:val="18"/>
                <w:szCs w:val="18"/>
              </w:rPr>
              <w:t>1</w:t>
            </w:r>
          </w:p>
        </w:tc>
        <w:tc>
          <w:tcPr>
            <w:tcW w:w="1355" w:type="pct"/>
            <w:vAlign w:val="center"/>
          </w:tcPr>
          <w:p>
            <w:pPr>
              <w:jc w:val="center"/>
              <w:rPr>
                <w:sz w:val="18"/>
                <w:szCs w:val="18"/>
              </w:rPr>
            </w:pPr>
          </w:p>
        </w:tc>
        <w:tc>
          <w:tcPr>
            <w:tcW w:w="1141" w:type="pct"/>
            <w:vAlign w:val="center"/>
          </w:tcPr>
          <w:p>
            <w:pPr>
              <w:jc w:val="center"/>
              <w:rPr>
                <w:sz w:val="18"/>
                <w:szCs w:val="18"/>
              </w:rPr>
            </w:pPr>
          </w:p>
        </w:tc>
        <w:tc>
          <w:tcPr>
            <w:tcW w:w="1360"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vAlign w:val="center"/>
          </w:tcPr>
          <w:p>
            <w:pPr>
              <w:jc w:val="center"/>
              <w:rPr>
                <w:sz w:val="18"/>
                <w:szCs w:val="18"/>
              </w:rPr>
            </w:pPr>
            <w:r>
              <w:rPr>
                <w:sz w:val="18"/>
                <w:szCs w:val="18"/>
              </w:rPr>
              <w:t>2</w:t>
            </w:r>
          </w:p>
        </w:tc>
        <w:tc>
          <w:tcPr>
            <w:tcW w:w="1355" w:type="pct"/>
            <w:vAlign w:val="center"/>
          </w:tcPr>
          <w:p>
            <w:pPr>
              <w:jc w:val="center"/>
              <w:rPr>
                <w:sz w:val="18"/>
                <w:szCs w:val="18"/>
              </w:rPr>
            </w:pPr>
          </w:p>
        </w:tc>
        <w:tc>
          <w:tcPr>
            <w:tcW w:w="1141" w:type="pct"/>
            <w:vAlign w:val="center"/>
          </w:tcPr>
          <w:p>
            <w:pPr>
              <w:jc w:val="center"/>
              <w:rPr>
                <w:sz w:val="18"/>
                <w:szCs w:val="18"/>
              </w:rPr>
            </w:pPr>
          </w:p>
        </w:tc>
        <w:tc>
          <w:tcPr>
            <w:tcW w:w="1360"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vAlign w:val="center"/>
          </w:tcPr>
          <w:p>
            <w:pPr>
              <w:jc w:val="center"/>
              <w:rPr>
                <w:sz w:val="18"/>
                <w:szCs w:val="18"/>
              </w:rPr>
            </w:pPr>
            <w:r>
              <w:rPr>
                <w:sz w:val="18"/>
                <w:szCs w:val="18"/>
              </w:rPr>
              <w:t>3</w:t>
            </w:r>
          </w:p>
        </w:tc>
        <w:tc>
          <w:tcPr>
            <w:tcW w:w="1355" w:type="pct"/>
            <w:vAlign w:val="center"/>
          </w:tcPr>
          <w:p>
            <w:pPr>
              <w:jc w:val="center"/>
              <w:rPr>
                <w:sz w:val="18"/>
                <w:szCs w:val="18"/>
              </w:rPr>
            </w:pPr>
          </w:p>
        </w:tc>
        <w:tc>
          <w:tcPr>
            <w:tcW w:w="1141" w:type="pct"/>
            <w:vAlign w:val="center"/>
          </w:tcPr>
          <w:p>
            <w:pPr>
              <w:jc w:val="center"/>
              <w:rPr>
                <w:sz w:val="18"/>
                <w:szCs w:val="18"/>
              </w:rPr>
            </w:pPr>
          </w:p>
        </w:tc>
        <w:tc>
          <w:tcPr>
            <w:tcW w:w="1360"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vAlign w:val="center"/>
          </w:tcPr>
          <w:p>
            <w:pPr>
              <w:jc w:val="center"/>
              <w:rPr>
                <w:sz w:val="18"/>
                <w:szCs w:val="18"/>
              </w:rPr>
            </w:pPr>
            <w:r>
              <w:rPr>
                <w:sz w:val="18"/>
                <w:szCs w:val="18"/>
              </w:rPr>
              <w:t>4</w:t>
            </w:r>
          </w:p>
        </w:tc>
        <w:tc>
          <w:tcPr>
            <w:tcW w:w="1355" w:type="pct"/>
            <w:vAlign w:val="center"/>
          </w:tcPr>
          <w:p>
            <w:pPr>
              <w:jc w:val="center"/>
              <w:rPr>
                <w:sz w:val="18"/>
                <w:szCs w:val="18"/>
              </w:rPr>
            </w:pPr>
          </w:p>
        </w:tc>
        <w:tc>
          <w:tcPr>
            <w:tcW w:w="1141" w:type="pct"/>
            <w:vAlign w:val="center"/>
          </w:tcPr>
          <w:p>
            <w:pPr>
              <w:jc w:val="center"/>
              <w:rPr>
                <w:sz w:val="18"/>
                <w:szCs w:val="18"/>
              </w:rPr>
            </w:pPr>
          </w:p>
        </w:tc>
        <w:tc>
          <w:tcPr>
            <w:tcW w:w="1360"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pct"/>
            <w:vAlign w:val="center"/>
          </w:tcPr>
          <w:p>
            <w:pPr>
              <w:jc w:val="center"/>
              <w:rPr>
                <w:sz w:val="18"/>
                <w:szCs w:val="18"/>
              </w:rPr>
            </w:pPr>
            <w:r>
              <w:rPr>
                <w:sz w:val="18"/>
                <w:szCs w:val="18"/>
              </w:rPr>
              <w:t>5</w:t>
            </w:r>
          </w:p>
        </w:tc>
        <w:tc>
          <w:tcPr>
            <w:tcW w:w="1355" w:type="pct"/>
            <w:vAlign w:val="center"/>
          </w:tcPr>
          <w:p>
            <w:pPr>
              <w:jc w:val="center"/>
              <w:rPr>
                <w:sz w:val="18"/>
                <w:szCs w:val="18"/>
              </w:rPr>
            </w:pPr>
          </w:p>
        </w:tc>
        <w:tc>
          <w:tcPr>
            <w:tcW w:w="1141" w:type="pct"/>
            <w:vAlign w:val="center"/>
          </w:tcPr>
          <w:p>
            <w:pPr>
              <w:jc w:val="center"/>
              <w:rPr>
                <w:sz w:val="18"/>
                <w:szCs w:val="18"/>
              </w:rPr>
            </w:pPr>
          </w:p>
        </w:tc>
        <w:tc>
          <w:tcPr>
            <w:tcW w:w="1360" w:type="pct"/>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trPr>
        <w:tc>
          <w:tcPr>
            <w:tcW w:w="1145" w:type="pct"/>
            <w:vAlign w:val="center"/>
          </w:tcPr>
          <w:p>
            <w:pPr>
              <w:jc w:val="center"/>
              <w:rPr>
                <w:sz w:val="18"/>
                <w:szCs w:val="18"/>
              </w:rPr>
            </w:pPr>
            <w:r>
              <w:rPr>
                <w:rFonts w:hAnsi="宋体"/>
                <w:sz w:val="18"/>
                <w:szCs w:val="18"/>
              </w:rPr>
              <w:t>验收结论</w:t>
            </w:r>
          </w:p>
        </w:tc>
        <w:tc>
          <w:tcPr>
            <w:tcW w:w="3855" w:type="pct"/>
            <w:gridSpan w:val="3"/>
            <w:vAlign w:val="center"/>
          </w:tcPr>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3" w:hRule="atLeast"/>
        </w:trPr>
        <w:tc>
          <w:tcPr>
            <w:tcW w:w="2499" w:type="pct"/>
            <w:gridSpan w:val="2"/>
          </w:tcPr>
          <w:p>
            <w:pPr>
              <w:jc w:val="left"/>
              <w:rPr>
                <w:rFonts w:hAnsi="宋体"/>
                <w:sz w:val="18"/>
                <w:szCs w:val="18"/>
              </w:rPr>
            </w:pPr>
            <w:r>
              <w:rPr>
                <w:rFonts w:hAnsi="宋体"/>
                <w:sz w:val="18"/>
                <w:szCs w:val="18"/>
              </w:rPr>
              <w:t>施工单位项目</w:t>
            </w:r>
            <w:r>
              <w:rPr>
                <w:rFonts w:hint="eastAsia" w:hAnsi="宋体"/>
                <w:sz w:val="18"/>
                <w:szCs w:val="18"/>
              </w:rPr>
              <w:t>技术负责人</w:t>
            </w:r>
            <w:r>
              <w:rPr>
                <w:rFonts w:hAnsi="宋体"/>
                <w:sz w:val="18"/>
                <w:szCs w:val="18"/>
              </w:rPr>
              <w:t>：</w:t>
            </w:r>
          </w:p>
          <w:p>
            <w:pPr>
              <w:jc w:val="left"/>
              <w:rPr>
                <w:rFonts w:hAnsi="宋体"/>
                <w:sz w:val="18"/>
                <w:szCs w:val="18"/>
              </w:rPr>
            </w:pPr>
            <w:r>
              <w:rPr>
                <w:rFonts w:hAnsi="宋体"/>
                <w:sz w:val="18"/>
                <w:szCs w:val="18"/>
              </w:rPr>
              <w:t xml:space="preserve"> </w:t>
            </w:r>
          </w:p>
          <w:p>
            <w:pPr>
              <w:jc w:val="left"/>
              <w:rPr>
                <w:rFonts w:hAnsi="宋体"/>
                <w:sz w:val="18"/>
                <w:szCs w:val="18"/>
              </w:rPr>
            </w:pPr>
          </w:p>
          <w:p>
            <w:pPr>
              <w:jc w:val="left"/>
              <w:rPr>
                <w:rFonts w:hAnsi="宋体"/>
                <w:sz w:val="18"/>
                <w:szCs w:val="18"/>
              </w:rPr>
            </w:pPr>
          </w:p>
          <w:p>
            <w:pPr>
              <w:jc w:val="left"/>
              <w:rPr>
                <w:rFonts w:hAnsi="宋体"/>
                <w:sz w:val="18"/>
                <w:szCs w:val="18"/>
              </w:rPr>
            </w:pPr>
          </w:p>
          <w:p>
            <w:pPr>
              <w:jc w:val="left"/>
              <w:rPr>
                <w:rFonts w:hAnsi="宋体"/>
                <w:sz w:val="18"/>
                <w:szCs w:val="18"/>
              </w:rPr>
            </w:pPr>
          </w:p>
          <w:p>
            <w:pPr>
              <w:jc w:val="left"/>
              <w:rPr>
                <w:rFonts w:hAnsi="宋体"/>
                <w:sz w:val="18"/>
                <w:szCs w:val="18"/>
              </w:rPr>
            </w:pPr>
          </w:p>
          <w:p>
            <w:pPr>
              <w:jc w:val="left"/>
              <w:rPr>
                <w:rFonts w:hAnsi="宋体"/>
                <w:sz w:val="18"/>
                <w:szCs w:val="18"/>
              </w:rPr>
            </w:pPr>
          </w:p>
          <w:p>
            <w:pPr>
              <w:jc w:val="left"/>
              <w:rPr>
                <w:rFonts w:hAnsi="宋体"/>
                <w:sz w:val="18"/>
                <w:szCs w:val="18"/>
              </w:rPr>
            </w:pPr>
          </w:p>
          <w:p>
            <w:pPr>
              <w:jc w:val="left"/>
              <w:rPr>
                <w:sz w:val="18"/>
                <w:szCs w:val="18"/>
              </w:rPr>
            </w:pPr>
          </w:p>
          <w:p>
            <w:pPr>
              <w:jc w:val="right"/>
              <w:rPr>
                <w:sz w:val="18"/>
                <w:szCs w:val="18"/>
              </w:rPr>
            </w:pPr>
            <w:r>
              <w:rPr>
                <w:rFonts w:hAnsi="宋体"/>
                <w:sz w:val="18"/>
                <w:szCs w:val="18"/>
              </w:rPr>
              <w:t>年</w:t>
            </w:r>
            <w:r>
              <w:rPr>
                <w:sz w:val="18"/>
                <w:szCs w:val="18"/>
              </w:rPr>
              <w:t xml:space="preserve">    </w:t>
            </w:r>
            <w:r>
              <w:rPr>
                <w:rFonts w:hAnsi="宋体"/>
                <w:sz w:val="18"/>
                <w:szCs w:val="18"/>
              </w:rPr>
              <w:t>月</w:t>
            </w:r>
            <w:r>
              <w:rPr>
                <w:sz w:val="18"/>
                <w:szCs w:val="18"/>
              </w:rPr>
              <w:t xml:space="preserve">    </w:t>
            </w:r>
            <w:r>
              <w:rPr>
                <w:rFonts w:hAnsi="宋体"/>
                <w:sz w:val="18"/>
                <w:szCs w:val="18"/>
              </w:rPr>
              <w:t>日</w:t>
            </w:r>
          </w:p>
        </w:tc>
        <w:tc>
          <w:tcPr>
            <w:tcW w:w="2501" w:type="pct"/>
            <w:gridSpan w:val="2"/>
          </w:tcPr>
          <w:p>
            <w:pPr>
              <w:jc w:val="left"/>
              <w:rPr>
                <w:sz w:val="18"/>
                <w:szCs w:val="18"/>
              </w:rPr>
            </w:pPr>
            <w:r>
              <w:rPr>
                <w:rFonts w:hAnsi="宋体"/>
                <w:sz w:val="18"/>
                <w:szCs w:val="18"/>
              </w:rPr>
              <w:t>监理工程师：</w:t>
            </w:r>
          </w:p>
          <w:p>
            <w:pPr>
              <w:jc w:val="left"/>
              <w:rPr>
                <w:rFonts w:hAnsi="宋体"/>
                <w:sz w:val="18"/>
                <w:szCs w:val="18"/>
              </w:rPr>
            </w:pPr>
            <w:r>
              <w:rPr>
                <w:rFonts w:hAnsi="宋体"/>
                <w:sz w:val="18"/>
                <w:szCs w:val="18"/>
              </w:rPr>
              <w:t>（建设单位项目专业技术负责人）：</w:t>
            </w: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right"/>
              <w:rPr>
                <w:sz w:val="18"/>
                <w:szCs w:val="18"/>
              </w:rPr>
            </w:pPr>
            <w:r>
              <w:rPr>
                <w:rFonts w:hAnsi="宋体"/>
                <w:sz w:val="18"/>
                <w:szCs w:val="18"/>
              </w:rPr>
              <w:t>年</w:t>
            </w:r>
            <w:r>
              <w:rPr>
                <w:sz w:val="18"/>
                <w:szCs w:val="18"/>
              </w:rPr>
              <w:t xml:space="preserve">    </w:t>
            </w:r>
            <w:r>
              <w:rPr>
                <w:rFonts w:hAnsi="宋体"/>
                <w:sz w:val="18"/>
                <w:szCs w:val="18"/>
              </w:rPr>
              <w:t>月</w:t>
            </w:r>
            <w:r>
              <w:rPr>
                <w:sz w:val="18"/>
                <w:szCs w:val="18"/>
              </w:rPr>
              <w:t xml:space="preserve">    </w:t>
            </w:r>
            <w:r>
              <w:rPr>
                <w:rFonts w:hAnsi="宋体"/>
                <w:sz w:val="18"/>
                <w:szCs w:val="18"/>
              </w:rPr>
              <w:t>日</w:t>
            </w:r>
          </w:p>
        </w:tc>
      </w:tr>
    </w:tbl>
    <w:p>
      <w:pPr>
        <w:pStyle w:val="60"/>
        <w:numPr>
          <w:ilvl w:val="0"/>
          <w:numId w:val="0"/>
        </w:numPr>
        <w:spacing w:before="156" w:after="156"/>
        <w:rPr>
          <w:rFonts w:ascii="黑体" w:hAnsi="黑体" w:eastAsia="黑体" w:cs="黑体"/>
          <w:szCs w:val="21"/>
        </w:rPr>
      </w:pPr>
    </w:p>
    <w:p>
      <w:pPr>
        <w:pStyle w:val="96"/>
        <w:outlineLvl w:val="9"/>
      </w:pPr>
      <w:r>
        <w:rPr>
          <w:rFonts w:hint="eastAsia"/>
        </w:rPr>
        <w:t>表B</w:t>
      </w:r>
      <w:r>
        <w:t>.</w:t>
      </w:r>
      <w:r>
        <w:rPr>
          <w:rFonts w:hint="eastAsia"/>
        </w:rPr>
        <w:t>4</w:t>
      </w:r>
      <w:r>
        <w:t xml:space="preserve">  </w:t>
      </w:r>
      <w:r>
        <w:rPr>
          <w:rFonts w:hint="eastAsia"/>
        </w:rPr>
        <w:t>城镇道路沥青路面就地热再生子分部工程质量验收记录</w:t>
      </w:r>
    </w:p>
    <w:p>
      <w:pPr>
        <w:ind w:right="-144" w:firstLine="7980" w:firstLineChars="3800"/>
        <w:rPr>
          <w:szCs w:val="21"/>
          <w:u w:val="single"/>
        </w:rPr>
      </w:pPr>
      <w:r>
        <w:rPr>
          <w:szCs w:val="21"/>
        </w:rPr>
        <w:t>编号：</w:t>
      </w:r>
      <w:r>
        <w:rPr>
          <w:szCs w:val="21"/>
          <w:u w:val="single"/>
        </w:rPr>
        <w:t xml:space="preserve">        </w:t>
      </w:r>
    </w:p>
    <w:tbl>
      <w:tblPr>
        <w:tblStyle w:val="3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
        <w:gridCol w:w="949"/>
        <w:gridCol w:w="1074"/>
        <w:gridCol w:w="498"/>
        <w:gridCol w:w="637"/>
        <w:gridCol w:w="697"/>
        <w:gridCol w:w="165"/>
        <w:gridCol w:w="1857"/>
        <w:gridCol w:w="1141"/>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pct"/>
            <w:gridSpan w:val="2"/>
            <w:vAlign w:val="center"/>
          </w:tcPr>
          <w:p>
            <w:pPr>
              <w:jc w:val="center"/>
              <w:rPr>
                <w:sz w:val="18"/>
                <w:szCs w:val="18"/>
              </w:rPr>
            </w:pPr>
            <w:r>
              <w:rPr>
                <w:sz w:val="18"/>
                <w:szCs w:val="18"/>
              </w:rPr>
              <w:t>工程名称</w:t>
            </w:r>
          </w:p>
        </w:tc>
        <w:tc>
          <w:tcPr>
            <w:tcW w:w="4016" w:type="pct"/>
            <w:gridSpan w:val="8"/>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pct"/>
            <w:gridSpan w:val="2"/>
            <w:vAlign w:val="center"/>
          </w:tcPr>
          <w:p>
            <w:pPr>
              <w:jc w:val="center"/>
              <w:rPr>
                <w:sz w:val="18"/>
                <w:szCs w:val="18"/>
              </w:rPr>
            </w:pPr>
            <w:r>
              <w:rPr>
                <w:rFonts w:hint="eastAsia"/>
                <w:sz w:val="18"/>
                <w:szCs w:val="18"/>
              </w:rPr>
              <w:t>施工单位</w:t>
            </w:r>
          </w:p>
        </w:tc>
        <w:tc>
          <w:tcPr>
            <w:tcW w:w="4016" w:type="pct"/>
            <w:gridSpan w:val="8"/>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pct"/>
            <w:gridSpan w:val="2"/>
            <w:vAlign w:val="center"/>
          </w:tcPr>
          <w:p>
            <w:pPr>
              <w:jc w:val="center"/>
              <w:rPr>
                <w:sz w:val="18"/>
                <w:szCs w:val="18"/>
              </w:rPr>
            </w:pPr>
            <w:r>
              <w:rPr>
                <w:rFonts w:hint="eastAsia"/>
                <w:sz w:val="18"/>
                <w:szCs w:val="18"/>
              </w:rPr>
              <w:t>子</w:t>
            </w:r>
            <w:r>
              <w:rPr>
                <w:sz w:val="18"/>
                <w:szCs w:val="18"/>
              </w:rPr>
              <w:t>分</w:t>
            </w:r>
            <w:r>
              <w:rPr>
                <w:rFonts w:hint="eastAsia"/>
                <w:sz w:val="18"/>
                <w:szCs w:val="18"/>
              </w:rPr>
              <w:t>部</w:t>
            </w:r>
            <w:r>
              <w:rPr>
                <w:sz w:val="18"/>
                <w:szCs w:val="18"/>
              </w:rPr>
              <w:t>工程名称</w:t>
            </w:r>
          </w:p>
        </w:tc>
        <w:tc>
          <w:tcPr>
            <w:tcW w:w="1154" w:type="pct"/>
            <w:gridSpan w:val="3"/>
            <w:tcBorders>
              <w:right w:val="single" w:color="auto" w:sz="4" w:space="0"/>
            </w:tcBorders>
            <w:vAlign w:val="center"/>
          </w:tcPr>
          <w:p>
            <w:pPr>
              <w:jc w:val="center"/>
              <w:rPr>
                <w:sz w:val="18"/>
                <w:szCs w:val="18"/>
              </w:rPr>
            </w:pPr>
          </w:p>
        </w:tc>
        <w:tc>
          <w:tcPr>
            <w:tcW w:w="1420" w:type="pct"/>
            <w:gridSpan w:val="3"/>
            <w:tcBorders>
              <w:left w:val="single" w:color="auto" w:sz="4" w:space="0"/>
              <w:right w:val="single" w:color="auto" w:sz="4" w:space="0"/>
            </w:tcBorders>
            <w:vAlign w:val="center"/>
          </w:tcPr>
          <w:p>
            <w:pPr>
              <w:jc w:val="center"/>
              <w:rPr>
                <w:sz w:val="18"/>
                <w:szCs w:val="18"/>
              </w:rPr>
            </w:pPr>
            <w:r>
              <w:rPr>
                <w:rFonts w:hint="eastAsia"/>
                <w:sz w:val="18"/>
                <w:szCs w:val="18"/>
              </w:rPr>
              <w:t>日期</w:t>
            </w:r>
          </w:p>
        </w:tc>
        <w:tc>
          <w:tcPr>
            <w:tcW w:w="1443" w:type="pct"/>
            <w:gridSpan w:val="2"/>
            <w:tcBorders>
              <w:left w:val="single" w:color="auto" w:sz="4" w:space="0"/>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pct"/>
            <w:gridSpan w:val="2"/>
            <w:vAlign w:val="center"/>
          </w:tcPr>
          <w:p>
            <w:pPr>
              <w:jc w:val="center"/>
              <w:rPr>
                <w:sz w:val="18"/>
                <w:szCs w:val="18"/>
              </w:rPr>
            </w:pPr>
            <w:r>
              <w:rPr>
                <w:rFonts w:hint="eastAsia"/>
                <w:sz w:val="18"/>
                <w:szCs w:val="18"/>
              </w:rPr>
              <w:t>项目经理</w:t>
            </w:r>
          </w:p>
        </w:tc>
        <w:tc>
          <w:tcPr>
            <w:tcW w:w="821" w:type="pct"/>
            <w:gridSpan w:val="2"/>
            <w:tcBorders>
              <w:right w:val="single" w:color="auto" w:sz="4" w:space="0"/>
            </w:tcBorders>
            <w:vAlign w:val="center"/>
          </w:tcPr>
          <w:p>
            <w:pPr>
              <w:jc w:val="center"/>
              <w:rPr>
                <w:sz w:val="18"/>
                <w:szCs w:val="18"/>
              </w:rPr>
            </w:pPr>
          </w:p>
        </w:tc>
        <w:tc>
          <w:tcPr>
            <w:tcW w:w="783" w:type="pct"/>
            <w:gridSpan w:val="3"/>
            <w:tcBorders>
              <w:left w:val="single" w:color="auto" w:sz="4" w:space="0"/>
            </w:tcBorders>
            <w:vAlign w:val="center"/>
          </w:tcPr>
          <w:p>
            <w:pPr>
              <w:jc w:val="center"/>
              <w:rPr>
                <w:sz w:val="18"/>
                <w:szCs w:val="18"/>
              </w:rPr>
            </w:pPr>
            <w:r>
              <w:rPr>
                <w:rFonts w:hint="eastAsia"/>
                <w:sz w:val="18"/>
                <w:szCs w:val="18"/>
              </w:rPr>
              <w:t>项目技术负责人</w:t>
            </w:r>
          </w:p>
        </w:tc>
        <w:tc>
          <w:tcPr>
            <w:tcW w:w="970" w:type="pct"/>
            <w:vAlign w:val="center"/>
          </w:tcPr>
          <w:p>
            <w:pPr>
              <w:jc w:val="center"/>
              <w:rPr>
                <w:sz w:val="18"/>
                <w:szCs w:val="18"/>
              </w:rPr>
            </w:pPr>
          </w:p>
        </w:tc>
        <w:tc>
          <w:tcPr>
            <w:tcW w:w="596" w:type="pct"/>
            <w:tcBorders>
              <w:right w:val="single" w:color="auto" w:sz="4" w:space="0"/>
            </w:tcBorders>
            <w:vAlign w:val="center"/>
          </w:tcPr>
          <w:p>
            <w:pPr>
              <w:jc w:val="center"/>
              <w:rPr>
                <w:sz w:val="18"/>
                <w:szCs w:val="18"/>
              </w:rPr>
            </w:pPr>
            <w:r>
              <w:rPr>
                <w:rFonts w:hint="eastAsia" w:hAnsi="宋体"/>
                <w:sz w:val="18"/>
                <w:szCs w:val="18"/>
              </w:rPr>
              <w:t>制表人</w:t>
            </w:r>
          </w:p>
        </w:tc>
        <w:tc>
          <w:tcPr>
            <w:tcW w:w="847" w:type="pct"/>
            <w:tcBorders>
              <w:left w:val="single" w:color="auto" w:sz="4" w:space="0"/>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vAlign w:val="center"/>
          </w:tcPr>
          <w:p>
            <w:pPr>
              <w:jc w:val="center"/>
              <w:rPr>
                <w:rFonts w:hAnsi="宋体"/>
                <w:sz w:val="18"/>
                <w:szCs w:val="18"/>
              </w:rPr>
            </w:pPr>
            <w:r>
              <w:rPr>
                <w:rFonts w:hint="eastAsia" w:hAnsi="宋体"/>
                <w:sz w:val="18"/>
                <w:szCs w:val="18"/>
              </w:rPr>
              <w:t>序号</w:t>
            </w:r>
          </w:p>
        </w:tc>
        <w:tc>
          <w:tcPr>
            <w:tcW w:w="1057" w:type="pct"/>
            <w:gridSpan w:val="2"/>
            <w:vAlign w:val="center"/>
          </w:tcPr>
          <w:p>
            <w:pPr>
              <w:jc w:val="center"/>
              <w:rPr>
                <w:rFonts w:hAnsi="宋体"/>
                <w:sz w:val="18"/>
                <w:szCs w:val="18"/>
              </w:rPr>
            </w:pPr>
            <w:r>
              <w:rPr>
                <w:rFonts w:hint="eastAsia" w:hAnsi="宋体"/>
                <w:sz w:val="18"/>
                <w:szCs w:val="18"/>
              </w:rPr>
              <w:t>分项工程名称</w:t>
            </w:r>
          </w:p>
        </w:tc>
        <w:tc>
          <w:tcPr>
            <w:tcW w:w="2013" w:type="pct"/>
            <w:gridSpan w:val="5"/>
            <w:tcBorders>
              <w:right w:val="single" w:color="auto" w:sz="4" w:space="0"/>
            </w:tcBorders>
            <w:vAlign w:val="center"/>
          </w:tcPr>
          <w:p>
            <w:pPr>
              <w:jc w:val="center"/>
              <w:rPr>
                <w:rFonts w:hAnsi="宋体"/>
                <w:sz w:val="18"/>
                <w:szCs w:val="18"/>
              </w:rPr>
            </w:pPr>
            <w:r>
              <w:rPr>
                <w:rFonts w:hint="eastAsia" w:hAnsi="宋体"/>
                <w:sz w:val="18"/>
                <w:szCs w:val="18"/>
              </w:rPr>
              <w:t>检验批数</w:t>
            </w:r>
          </w:p>
        </w:tc>
        <w:tc>
          <w:tcPr>
            <w:tcW w:w="1443" w:type="pct"/>
            <w:gridSpan w:val="2"/>
            <w:tcBorders>
              <w:left w:val="single" w:color="auto" w:sz="4" w:space="0"/>
            </w:tcBorders>
            <w:vAlign w:val="center"/>
          </w:tcPr>
          <w:p>
            <w:pPr>
              <w:jc w:val="center"/>
              <w:rPr>
                <w:rFonts w:hAnsi="宋体"/>
                <w:sz w:val="18"/>
                <w:szCs w:val="18"/>
              </w:rPr>
            </w:pPr>
            <w:r>
              <w:rPr>
                <w:rFonts w:hint="eastAsia" w:hAnsi="宋体"/>
                <w:sz w:val="18"/>
                <w:szCs w:val="18"/>
              </w:rPr>
              <w:t>检验结论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vAlign w:val="center"/>
          </w:tcPr>
          <w:p>
            <w:pPr>
              <w:jc w:val="center"/>
              <w:rPr>
                <w:sz w:val="18"/>
                <w:szCs w:val="18"/>
              </w:rPr>
            </w:pPr>
            <w:r>
              <w:rPr>
                <w:rFonts w:hAnsi="宋体"/>
                <w:sz w:val="18"/>
                <w:szCs w:val="18"/>
              </w:rPr>
              <w:t>1</w:t>
            </w:r>
          </w:p>
        </w:tc>
        <w:tc>
          <w:tcPr>
            <w:tcW w:w="1057" w:type="pct"/>
            <w:gridSpan w:val="2"/>
            <w:vAlign w:val="center"/>
          </w:tcPr>
          <w:p>
            <w:pPr>
              <w:jc w:val="center"/>
              <w:rPr>
                <w:sz w:val="18"/>
                <w:szCs w:val="18"/>
              </w:rPr>
            </w:pPr>
          </w:p>
        </w:tc>
        <w:tc>
          <w:tcPr>
            <w:tcW w:w="2013" w:type="pct"/>
            <w:gridSpan w:val="5"/>
            <w:tcBorders>
              <w:right w:val="single" w:color="auto" w:sz="4" w:space="0"/>
            </w:tcBorders>
            <w:vAlign w:val="center"/>
          </w:tcPr>
          <w:p>
            <w:pPr>
              <w:jc w:val="center"/>
              <w:rPr>
                <w:sz w:val="18"/>
                <w:szCs w:val="18"/>
              </w:rPr>
            </w:pPr>
          </w:p>
        </w:tc>
        <w:tc>
          <w:tcPr>
            <w:tcW w:w="1443" w:type="pct"/>
            <w:gridSpan w:val="2"/>
            <w:tcBorders>
              <w:left w:val="single" w:color="auto" w:sz="4" w:space="0"/>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pct"/>
            <w:vAlign w:val="center"/>
          </w:tcPr>
          <w:p>
            <w:pPr>
              <w:jc w:val="center"/>
              <w:rPr>
                <w:sz w:val="18"/>
                <w:szCs w:val="18"/>
              </w:rPr>
            </w:pPr>
            <w:r>
              <w:rPr>
                <w:sz w:val="18"/>
                <w:szCs w:val="18"/>
              </w:rPr>
              <w:t>2</w:t>
            </w:r>
          </w:p>
        </w:tc>
        <w:tc>
          <w:tcPr>
            <w:tcW w:w="1057" w:type="pct"/>
            <w:gridSpan w:val="2"/>
            <w:vAlign w:val="center"/>
          </w:tcPr>
          <w:p>
            <w:pPr>
              <w:jc w:val="center"/>
              <w:rPr>
                <w:sz w:val="18"/>
                <w:szCs w:val="18"/>
              </w:rPr>
            </w:pPr>
          </w:p>
        </w:tc>
        <w:tc>
          <w:tcPr>
            <w:tcW w:w="2013" w:type="pct"/>
            <w:gridSpan w:val="5"/>
            <w:tcBorders>
              <w:right w:val="single" w:color="auto" w:sz="4" w:space="0"/>
            </w:tcBorders>
            <w:vAlign w:val="center"/>
          </w:tcPr>
          <w:p>
            <w:pPr>
              <w:jc w:val="center"/>
              <w:rPr>
                <w:sz w:val="18"/>
                <w:szCs w:val="18"/>
              </w:rPr>
            </w:pPr>
          </w:p>
        </w:tc>
        <w:tc>
          <w:tcPr>
            <w:tcW w:w="1443" w:type="pct"/>
            <w:gridSpan w:val="2"/>
            <w:tcBorders>
              <w:left w:val="single" w:color="auto" w:sz="4" w:space="0"/>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pct"/>
            <w:vAlign w:val="center"/>
          </w:tcPr>
          <w:p>
            <w:pPr>
              <w:jc w:val="center"/>
              <w:rPr>
                <w:sz w:val="18"/>
                <w:szCs w:val="18"/>
              </w:rPr>
            </w:pPr>
            <w:r>
              <w:rPr>
                <w:sz w:val="18"/>
                <w:szCs w:val="18"/>
              </w:rPr>
              <w:t>3</w:t>
            </w:r>
          </w:p>
        </w:tc>
        <w:tc>
          <w:tcPr>
            <w:tcW w:w="1057" w:type="pct"/>
            <w:gridSpan w:val="2"/>
            <w:vAlign w:val="center"/>
          </w:tcPr>
          <w:p>
            <w:pPr>
              <w:jc w:val="center"/>
              <w:rPr>
                <w:sz w:val="18"/>
                <w:szCs w:val="18"/>
              </w:rPr>
            </w:pPr>
          </w:p>
        </w:tc>
        <w:tc>
          <w:tcPr>
            <w:tcW w:w="2013" w:type="pct"/>
            <w:gridSpan w:val="5"/>
            <w:tcBorders>
              <w:right w:val="single" w:color="auto" w:sz="4" w:space="0"/>
            </w:tcBorders>
            <w:vAlign w:val="center"/>
          </w:tcPr>
          <w:p>
            <w:pPr>
              <w:jc w:val="center"/>
              <w:rPr>
                <w:sz w:val="18"/>
                <w:szCs w:val="18"/>
              </w:rPr>
            </w:pPr>
          </w:p>
        </w:tc>
        <w:tc>
          <w:tcPr>
            <w:tcW w:w="1443" w:type="pct"/>
            <w:gridSpan w:val="2"/>
            <w:tcBorders>
              <w:left w:val="single" w:color="auto" w:sz="4" w:space="0"/>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8" w:type="pct"/>
            <w:vAlign w:val="center"/>
          </w:tcPr>
          <w:p>
            <w:pPr>
              <w:jc w:val="center"/>
              <w:rPr>
                <w:sz w:val="18"/>
                <w:szCs w:val="18"/>
              </w:rPr>
            </w:pPr>
            <w:r>
              <w:rPr>
                <w:sz w:val="18"/>
                <w:szCs w:val="18"/>
              </w:rPr>
              <w:t>4</w:t>
            </w:r>
          </w:p>
        </w:tc>
        <w:tc>
          <w:tcPr>
            <w:tcW w:w="1057" w:type="pct"/>
            <w:gridSpan w:val="2"/>
            <w:vAlign w:val="center"/>
          </w:tcPr>
          <w:p>
            <w:pPr>
              <w:jc w:val="center"/>
              <w:rPr>
                <w:rFonts w:hAnsi="宋体"/>
                <w:sz w:val="18"/>
                <w:szCs w:val="18"/>
              </w:rPr>
            </w:pPr>
          </w:p>
        </w:tc>
        <w:tc>
          <w:tcPr>
            <w:tcW w:w="2013" w:type="pct"/>
            <w:gridSpan w:val="5"/>
            <w:tcBorders>
              <w:right w:val="single" w:color="auto" w:sz="4" w:space="0"/>
            </w:tcBorders>
            <w:vAlign w:val="center"/>
          </w:tcPr>
          <w:p>
            <w:pPr>
              <w:jc w:val="center"/>
              <w:rPr>
                <w:rFonts w:hAnsi="宋体"/>
                <w:sz w:val="18"/>
                <w:szCs w:val="18"/>
              </w:rPr>
            </w:pPr>
          </w:p>
        </w:tc>
        <w:tc>
          <w:tcPr>
            <w:tcW w:w="1443" w:type="pct"/>
            <w:gridSpan w:val="2"/>
            <w:tcBorders>
              <w:left w:val="single" w:color="auto" w:sz="4" w:space="0"/>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pct"/>
            <w:vAlign w:val="center"/>
          </w:tcPr>
          <w:p>
            <w:pPr>
              <w:jc w:val="center"/>
              <w:rPr>
                <w:sz w:val="18"/>
                <w:szCs w:val="18"/>
              </w:rPr>
            </w:pPr>
            <w:r>
              <w:rPr>
                <w:sz w:val="18"/>
                <w:szCs w:val="18"/>
              </w:rPr>
              <w:t>5</w:t>
            </w:r>
          </w:p>
        </w:tc>
        <w:tc>
          <w:tcPr>
            <w:tcW w:w="1057" w:type="pct"/>
            <w:gridSpan w:val="2"/>
            <w:vAlign w:val="center"/>
          </w:tcPr>
          <w:p>
            <w:pPr>
              <w:jc w:val="center"/>
              <w:rPr>
                <w:rFonts w:hAnsi="宋体"/>
                <w:sz w:val="18"/>
                <w:szCs w:val="18"/>
              </w:rPr>
            </w:pPr>
          </w:p>
        </w:tc>
        <w:tc>
          <w:tcPr>
            <w:tcW w:w="2013" w:type="pct"/>
            <w:gridSpan w:val="5"/>
            <w:tcBorders>
              <w:right w:val="single" w:color="auto" w:sz="4" w:space="0"/>
            </w:tcBorders>
            <w:vAlign w:val="center"/>
          </w:tcPr>
          <w:p>
            <w:pPr>
              <w:jc w:val="center"/>
              <w:rPr>
                <w:rFonts w:hAnsi="宋体"/>
                <w:sz w:val="18"/>
                <w:szCs w:val="18"/>
              </w:rPr>
            </w:pPr>
          </w:p>
        </w:tc>
        <w:tc>
          <w:tcPr>
            <w:tcW w:w="1443" w:type="pct"/>
            <w:gridSpan w:val="2"/>
            <w:tcBorders>
              <w:left w:val="single" w:color="auto" w:sz="4" w:space="0"/>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pct"/>
            <w:gridSpan w:val="3"/>
            <w:vAlign w:val="center"/>
          </w:tcPr>
          <w:p>
            <w:pPr>
              <w:jc w:val="center"/>
              <w:rPr>
                <w:rFonts w:hAnsi="宋体"/>
                <w:sz w:val="18"/>
                <w:szCs w:val="18"/>
              </w:rPr>
            </w:pPr>
            <w:r>
              <w:rPr>
                <w:rFonts w:hint="eastAsia"/>
                <w:sz w:val="18"/>
                <w:szCs w:val="18"/>
              </w:rPr>
              <w:t>质量控制资料</w:t>
            </w:r>
          </w:p>
        </w:tc>
        <w:tc>
          <w:tcPr>
            <w:tcW w:w="3456" w:type="pct"/>
            <w:gridSpan w:val="7"/>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4" w:type="pct"/>
            <w:gridSpan w:val="3"/>
            <w:vAlign w:val="center"/>
          </w:tcPr>
          <w:p>
            <w:pPr>
              <w:jc w:val="center"/>
              <w:rPr>
                <w:rFonts w:hAnsi="宋体"/>
                <w:sz w:val="18"/>
                <w:szCs w:val="18"/>
              </w:rPr>
            </w:pPr>
            <w:r>
              <w:rPr>
                <w:rFonts w:hint="eastAsia" w:hAnsi="宋体"/>
                <w:sz w:val="18"/>
                <w:szCs w:val="18"/>
              </w:rPr>
              <w:t>观感质量验收</w:t>
            </w:r>
          </w:p>
        </w:tc>
        <w:tc>
          <w:tcPr>
            <w:tcW w:w="3456" w:type="pct"/>
            <w:gridSpan w:val="7"/>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pct"/>
            <w:gridSpan w:val="3"/>
            <w:vAlign w:val="center"/>
          </w:tcPr>
          <w:p>
            <w:pPr>
              <w:jc w:val="center"/>
              <w:rPr>
                <w:rFonts w:hAnsi="宋体"/>
                <w:sz w:val="18"/>
                <w:szCs w:val="18"/>
              </w:rPr>
            </w:pPr>
            <w:r>
              <w:rPr>
                <w:rFonts w:hint="eastAsia" w:hAnsi="宋体"/>
                <w:sz w:val="18"/>
                <w:szCs w:val="18"/>
              </w:rPr>
              <w:t>子分部工程检验结果</w:t>
            </w:r>
          </w:p>
        </w:tc>
        <w:tc>
          <w:tcPr>
            <w:tcW w:w="3456" w:type="pct"/>
            <w:gridSpan w:val="7"/>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2502" w:type="pct"/>
            <w:gridSpan w:val="6"/>
            <w:tcBorders>
              <w:top w:val="single" w:color="auto" w:sz="4" w:space="0"/>
              <w:bottom w:val="single" w:color="auto" w:sz="4" w:space="0"/>
            </w:tcBorders>
          </w:tcPr>
          <w:p>
            <w:pPr>
              <w:jc w:val="left"/>
              <w:rPr>
                <w:sz w:val="18"/>
                <w:szCs w:val="18"/>
              </w:rPr>
            </w:pPr>
            <w:r>
              <w:rPr>
                <w:rFonts w:hAnsi="宋体"/>
                <w:sz w:val="18"/>
                <w:szCs w:val="18"/>
              </w:rPr>
              <w:t>施工单位项目</w:t>
            </w:r>
            <w:r>
              <w:rPr>
                <w:rFonts w:hint="eastAsia" w:hAnsi="宋体"/>
                <w:sz w:val="18"/>
                <w:szCs w:val="18"/>
              </w:rPr>
              <w:t>经理</w:t>
            </w:r>
            <w:r>
              <w:rPr>
                <w:rFonts w:hAnsi="宋体"/>
                <w:sz w:val="18"/>
                <w:szCs w:val="18"/>
              </w:rPr>
              <w:t>：</w:t>
            </w: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right"/>
              <w:rPr>
                <w:sz w:val="18"/>
                <w:szCs w:val="18"/>
              </w:rPr>
            </w:pPr>
            <w:r>
              <w:rPr>
                <w:rFonts w:hAnsi="宋体"/>
                <w:sz w:val="18"/>
                <w:szCs w:val="18"/>
              </w:rPr>
              <w:t>年</w:t>
            </w:r>
            <w:r>
              <w:rPr>
                <w:sz w:val="18"/>
                <w:szCs w:val="18"/>
              </w:rPr>
              <w:t xml:space="preserve">    </w:t>
            </w:r>
            <w:r>
              <w:rPr>
                <w:rFonts w:hAnsi="宋体"/>
                <w:sz w:val="18"/>
                <w:szCs w:val="18"/>
              </w:rPr>
              <w:t>月</w:t>
            </w:r>
            <w:r>
              <w:rPr>
                <w:sz w:val="18"/>
                <w:szCs w:val="18"/>
              </w:rPr>
              <w:t xml:space="preserve">    </w:t>
            </w:r>
            <w:r>
              <w:rPr>
                <w:rFonts w:hAnsi="宋体"/>
                <w:sz w:val="18"/>
                <w:szCs w:val="18"/>
              </w:rPr>
              <w:t>日</w:t>
            </w:r>
          </w:p>
        </w:tc>
        <w:tc>
          <w:tcPr>
            <w:tcW w:w="2498" w:type="pct"/>
            <w:gridSpan w:val="4"/>
            <w:tcBorders>
              <w:top w:val="single" w:color="auto" w:sz="4" w:space="0"/>
              <w:bottom w:val="single" w:color="auto" w:sz="4" w:space="0"/>
            </w:tcBorders>
          </w:tcPr>
          <w:p>
            <w:pPr>
              <w:jc w:val="left"/>
              <w:rPr>
                <w:sz w:val="18"/>
                <w:szCs w:val="18"/>
              </w:rPr>
            </w:pPr>
            <w:r>
              <w:rPr>
                <w:rFonts w:hint="eastAsia" w:hAnsi="宋体"/>
                <w:sz w:val="18"/>
                <w:szCs w:val="18"/>
              </w:rPr>
              <w:t>总</w:t>
            </w:r>
            <w:r>
              <w:rPr>
                <w:rFonts w:hAnsi="宋体"/>
                <w:sz w:val="18"/>
                <w:szCs w:val="18"/>
              </w:rPr>
              <w:t>监理工程师：</w:t>
            </w:r>
          </w:p>
          <w:p>
            <w:pPr>
              <w:jc w:val="left"/>
              <w:rPr>
                <w:sz w:val="18"/>
                <w:szCs w:val="18"/>
              </w:rPr>
            </w:pPr>
            <w:r>
              <w:rPr>
                <w:rFonts w:hAnsi="宋体"/>
                <w:sz w:val="18"/>
                <w:szCs w:val="18"/>
              </w:rPr>
              <w:t>（建设单位项目专业技术负责人）：</w:t>
            </w: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left"/>
              <w:rPr>
                <w:sz w:val="18"/>
                <w:szCs w:val="18"/>
              </w:rPr>
            </w:pPr>
          </w:p>
          <w:p>
            <w:pPr>
              <w:jc w:val="right"/>
              <w:rPr>
                <w:sz w:val="18"/>
                <w:szCs w:val="18"/>
              </w:rPr>
            </w:pPr>
            <w:r>
              <w:rPr>
                <w:rFonts w:hAnsi="宋体"/>
                <w:sz w:val="18"/>
                <w:szCs w:val="18"/>
              </w:rPr>
              <w:t>年</w:t>
            </w:r>
            <w:r>
              <w:rPr>
                <w:sz w:val="18"/>
                <w:szCs w:val="18"/>
              </w:rPr>
              <w:t xml:space="preserve">    </w:t>
            </w:r>
            <w:r>
              <w:rPr>
                <w:rFonts w:hAnsi="宋体"/>
                <w:sz w:val="18"/>
                <w:szCs w:val="18"/>
              </w:rPr>
              <w:t>月</w:t>
            </w:r>
            <w:r>
              <w:rPr>
                <w:sz w:val="18"/>
                <w:szCs w:val="18"/>
              </w:rPr>
              <w:t xml:space="preserve">    </w:t>
            </w:r>
            <w:r>
              <w:rPr>
                <w:rFonts w:hAnsi="宋体"/>
                <w:sz w:val="18"/>
                <w:szCs w:val="18"/>
              </w:rPr>
              <w:t>日</w:t>
            </w:r>
          </w:p>
        </w:tc>
      </w:tr>
    </w:tbl>
    <w:p>
      <w:pPr>
        <w:pStyle w:val="60"/>
        <w:numPr>
          <w:ilvl w:val="0"/>
          <w:numId w:val="0"/>
        </w:numPr>
        <w:spacing w:before="156" w:after="156"/>
        <w:rPr>
          <w:rFonts w:ascii="黑体" w:hAnsi="黑体" w:eastAsia="黑体" w:cs="黑体"/>
          <w:szCs w:val="21"/>
        </w:rPr>
      </w:pPr>
    </w:p>
    <w:p>
      <w:pPr>
        <w:pStyle w:val="25"/>
      </w:pPr>
    </w:p>
    <w:p>
      <w:pPr>
        <w:pStyle w:val="141"/>
        <w:framePr w:wrap="around"/>
      </w:pPr>
      <w:r>
        <w:t>_________________________________</w:t>
      </w:r>
    </w:p>
    <w:sectPr>
      <w:pgSz w:w="11906" w:h="16838"/>
      <w:pgMar w:top="567" w:right="1134" w:bottom="1134" w:left="1418" w:header="1418" w:footer="1134" w:gutter="0"/>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0"/>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1"/>
    </w:pPr>
    <w:r>
      <w:t>DB32/ T XXXX—202</w:t>
    </w:r>
    <w:r>
      <w:rPr>
        <w:rFonts w:hint="eastAsia"/>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t>DB32/T XXXX—202</w:t>
    </w:r>
    <w:r>
      <w:rPr>
        <w:rFonts w:hint="eastAsia"/>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D83D6C"/>
    <w:multiLevelType w:val="multilevel"/>
    <w:tmpl w:val="02D83D6C"/>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79102AD"/>
    <w:multiLevelType w:val="multilevel"/>
    <w:tmpl w:val="079102AD"/>
    <w:lvl w:ilvl="0" w:tentative="0">
      <w:start w:val="1"/>
      <w:numFmt w:val="decimal"/>
      <w:pStyle w:val="70"/>
      <w:suff w:val="nothing"/>
      <w:lvlText w:val="注%1："/>
      <w:lvlJc w:val="left"/>
      <w:pPr>
        <w:ind w:left="811" w:hanging="448"/>
      </w:pPr>
      <w:rPr>
        <w:rFonts w:hint="eastAsia" w:ascii="黑体" w:hAnsi="黑体" w:eastAsia="黑体" w:cs="Times New Roman"/>
        <w:b w:val="0"/>
        <w:i w:val="0"/>
        <w:sz w:val="18"/>
        <w:vertAlign w:val="baseline"/>
      </w:rPr>
    </w:lvl>
    <w:lvl w:ilvl="1" w:tentative="0">
      <w:start w:val="1"/>
      <w:numFmt w:val="lowerLetter"/>
      <w:lvlText w:val="%2)"/>
      <w:lvlJc w:val="left"/>
      <w:pPr>
        <w:tabs>
          <w:tab w:val="left" w:pos="0"/>
        </w:tabs>
        <w:ind w:left="992" w:hanging="629"/>
      </w:pPr>
      <w:rPr>
        <w:rFonts w:hint="eastAsia" w:cs="Times New Roman"/>
        <w:vertAlign w:val="baseline"/>
      </w:rPr>
    </w:lvl>
    <w:lvl w:ilvl="2" w:tentative="0">
      <w:start w:val="1"/>
      <w:numFmt w:val="lowerRoman"/>
      <w:lvlText w:val="%3."/>
      <w:lvlJc w:val="right"/>
      <w:pPr>
        <w:tabs>
          <w:tab w:val="left" w:pos="0"/>
        </w:tabs>
        <w:ind w:left="992" w:hanging="629"/>
      </w:pPr>
      <w:rPr>
        <w:rFonts w:hint="eastAsia" w:cs="Times New Roman"/>
        <w:vertAlign w:val="baseline"/>
      </w:rPr>
    </w:lvl>
    <w:lvl w:ilvl="3" w:tentative="0">
      <w:start w:val="1"/>
      <w:numFmt w:val="decimal"/>
      <w:lvlText w:val="%4."/>
      <w:lvlJc w:val="left"/>
      <w:pPr>
        <w:tabs>
          <w:tab w:val="left" w:pos="0"/>
        </w:tabs>
        <w:ind w:left="992" w:hanging="629"/>
      </w:pPr>
      <w:rPr>
        <w:rFonts w:hint="eastAsia" w:cs="Times New Roman"/>
        <w:vertAlign w:val="baseline"/>
      </w:rPr>
    </w:lvl>
    <w:lvl w:ilvl="4" w:tentative="0">
      <w:start w:val="1"/>
      <w:numFmt w:val="lowerLetter"/>
      <w:lvlText w:val="%5)"/>
      <w:lvlJc w:val="left"/>
      <w:pPr>
        <w:tabs>
          <w:tab w:val="left" w:pos="0"/>
        </w:tabs>
        <w:ind w:left="992" w:hanging="629"/>
      </w:pPr>
      <w:rPr>
        <w:rFonts w:hint="eastAsia" w:cs="Times New Roman"/>
        <w:vertAlign w:val="baseline"/>
      </w:rPr>
    </w:lvl>
    <w:lvl w:ilvl="5" w:tentative="0">
      <w:start w:val="1"/>
      <w:numFmt w:val="lowerRoman"/>
      <w:lvlText w:val="%6."/>
      <w:lvlJc w:val="right"/>
      <w:pPr>
        <w:tabs>
          <w:tab w:val="left" w:pos="0"/>
        </w:tabs>
        <w:ind w:left="992" w:hanging="629"/>
      </w:pPr>
      <w:rPr>
        <w:rFonts w:hint="eastAsia" w:cs="Times New Roman"/>
        <w:vertAlign w:val="baseline"/>
      </w:rPr>
    </w:lvl>
    <w:lvl w:ilvl="6" w:tentative="0">
      <w:start w:val="1"/>
      <w:numFmt w:val="decimal"/>
      <w:lvlText w:val="%7."/>
      <w:lvlJc w:val="left"/>
      <w:pPr>
        <w:tabs>
          <w:tab w:val="left" w:pos="0"/>
        </w:tabs>
        <w:ind w:left="992" w:hanging="629"/>
      </w:pPr>
      <w:rPr>
        <w:rFonts w:hint="eastAsia" w:cs="Times New Roman"/>
        <w:vertAlign w:val="baseline"/>
      </w:rPr>
    </w:lvl>
    <w:lvl w:ilvl="7" w:tentative="0">
      <w:start w:val="1"/>
      <w:numFmt w:val="lowerLetter"/>
      <w:lvlText w:val="%8)"/>
      <w:lvlJc w:val="left"/>
      <w:pPr>
        <w:tabs>
          <w:tab w:val="left" w:pos="0"/>
        </w:tabs>
        <w:ind w:left="992" w:hanging="629"/>
      </w:pPr>
      <w:rPr>
        <w:rFonts w:hint="eastAsia" w:cs="Times New Roman"/>
        <w:vertAlign w:val="baseline"/>
      </w:rPr>
    </w:lvl>
    <w:lvl w:ilvl="8" w:tentative="0">
      <w:start w:val="1"/>
      <w:numFmt w:val="lowerRoman"/>
      <w:lvlText w:val="%9."/>
      <w:lvlJc w:val="right"/>
      <w:pPr>
        <w:tabs>
          <w:tab w:val="left" w:pos="0"/>
        </w:tabs>
        <w:ind w:left="992" w:hanging="629"/>
      </w:pPr>
      <w:rPr>
        <w:rFonts w:hint="eastAsia" w:cs="Times New Roman"/>
        <w:vertAlign w:val="baseline"/>
      </w:rPr>
    </w:lvl>
  </w:abstractNum>
  <w:abstractNum w:abstractNumId="2">
    <w:nsid w:val="093C6778"/>
    <w:multiLevelType w:val="multilevel"/>
    <w:tmpl w:val="093C6778"/>
    <w:lvl w:ilvl="0" w:tentative="0">
      <w:start w:val="1"/>
      <w:numFmt w:val="decimal"/>
      <w:pStyle w:val="128"/>
      <w:suff w:val="nothing"/>
      <w:lvlText w:val="示例%1："/>
      <w:lvlJc w:val="left"/>
      <w:pPr>
        <w:ind w:firstLine="397"/>
      </w:pPr>
      <w:rPr>
        <w:rFonts w:hint="eastAsia" w:ascii="黑体" w:eastAsia="黑体" w:cs="Times New Roman"/>
        <w:sz w:val="18"/>
      </w:rPr>
    </w:lvl>
    <w:lvl w:ilvl="1" w:tentative="0">
      <w:start w:val="1"/>
      <w:numFmt w:val="lowerLetter"/>
      <w:lvlText w:val="%2)"/>
      <w:lvlJc w:val="left"/>
      <w:pPr>
        <w:ind w:left="840" w:hanging="420"/>
      </w:pP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3">
    <w:nsid w:val="0AE367E9"/>
    <w:multiLevelType w:val="multilevel"/>
    <w:tmpl w:val="0AE367E9"/>
    <w:lvl w:ilvl="0" w:tentative="0">
      <w:start w:val="1"/>
      <w:numFmt w:val="none"/>
      <w:pStyle w:val="64"/>
      <w:suff w:val="nothing"/>
      <w:lvlText w:val="%1示例："/>
      <w:lvlJc w:val="left"/>
      <w:pPr>
        <w:ind w:firstLine="363"/>
      </w:pPr>
      <w:rPr>
        <w:rFonts w:hint="eastAsia" w:ascii="黑体" w:eastAsia="黑体" w:cs="Times New Roman"/>
        <w:b w:val="0"/>
        <w:i w:val="0"/>
        <w:sz w:val="18"/>
        <w:szCs w:val="18"/>
      </w:rPr>
    </w:lvl>
    <w:lvl w:ilvl="1" w:tentative="0">
      <w:start w:val="1"/>
      <w:numFmt w:val="lowerLetter"/>
      <w:lvlText w:val="%2)"/>
      <w:lvlJc w:val="left"/>
      <w:pPr>
        <w:tabs>
          <w:tab w:val="left" w:pos="363"/>
        </w:tabs>
        <w:ind w:firstLine="363"/>
      </w:pPr>
      <w:rPr>
        <w:rFonts w:hint="eastAsia" w:cs="Times New Roman"/>
      </w:rPr>
    </w:lvl>
    <w:lvl w:ilvl="2" w:tentative="0">
      <w:start w:val="1"/>
      <w:numFmt w:val="lowerRoman"/>
      <w:lvlText w:val="%3."/>
      <w:lvlJc w:val="right"/>
      <w:pPr>
        <w:tabs>
          <w:tab w:val="left" w:pos="363"/>
        </w:tabs>
        <w:ind w:firstLine="363"/>
      </w:pPr>
      <w:rPr>
        <w:rFonts w:hint="eastAsia" w:cs="Times New Roman"/>
      </w:rPr>
    </w:lvl>
    <w:lvl w:ilvl="3" w:tentative="0">
      <w:start w:val="1"/>
      <w:numFmt w:val="decimal"/>
      <w:lvlText w:val="%4."/>
      <w:lvlJc w:val="left"/>
      <w:pPr>
        <w:tabs>
          <w:tab w:val="left" w:pos="363"/>
        </w:tabs>
        <w:ind w:firstLine="363"/>
      </w:pPr>
      <w:rPr>
        <w:rFonts w:hint="eastAsia" w:cs="Times New Roman"/>
      </w:rPr>
    </w:lvl>
    <w:lvl w:ilvl="4" w:tentative="0">
      <w:start w:val="1"/>
      <w:numFmt w:val="lowerLetter"/>
      <w:lvlText w:val="%5)"/>
      <w:lvlJc w:val="left"/>
      <w:pPr>
        <w:tabs>
          <w:tab w:val="left" w:pos="363"/>
        </w:tabs>
        <w:ind w:firstLine="363"/>
      </w:pPr>
      <w:rPr>
        <w:rFonts w:hint="eastAsia" w:cs="Times New Roman"/>
      </w:rPr>
    </w:lvl>
    <w:lvl w:ilvl="5" w:tentative="0">
      <w:start w:val="1"/>
      <w:numFmt w:val="lowerRoman"/>
      <w:lvlText w:val="%6."/>
      <w:lvlJc w:val="right"/>
      <w:pPr>
        <w:tabs>
          <w:tab w:val="left" w:pos="363"/>
        </w:tabs>
        <w:ind w:firstLine="363"/>
      </w:pPr>
      <w:rPr>
        <w:rFonts w:hint="eastAsia" w:cs="Times New Roman"/>
      </w:rPr>
    </w:lvl>
    <w:lvl w:ilvl="6" w:tentative="0">
      <w:start w:val="1"/>
      <w:numFmt w:val="decimal"/>
      <w:lvlText w:val="%7."/>
      <w:lvlJc w:val="left"/>
      <w:pPr>
        <w:tabs>
          <w:tab w:val="left" w:pos="363"/>
        </w:tabs>
        <w:ind w:firstLine="363"/>
      </w:pPr>
      <w:rPr>
        <w:rFonts w:hint="eastAsia" w:cs="Times New Roman"/>
      </w:rPr>
    </w:lvl>
    <w:lvl w:ilvl="7" w:tentative="0">
      <w:start w:val="1"/>
      <w:numFmt w:val="lowerLetter"/>
      <w:lvlText w:val="%8)"/>
      <w:lvlJc w:val="left"/>
      <w:pPr>
        <w:tabs>
          <w:tab w:val="left" w:pos="363"/>
        </w:tabs>
        <w:ind w:firstLine="363"/>
      </w:pPr>
      <w:rPr>
        <w:rFonts w:hint="eastAsia" w:cs="Times New Roman"/>
      </w:rPr>
    </w:lvl>
    <w:lvl w:ilvl="8" w:tentative="0">
      <w:start w:val="1"/>
      <w:numFmt w:val="lowerRoman"/>
      <w:lvlText w:val="%9."/>
      <w:lvlJc w:val="right"/>
      <w:pPr>
        <w:tabs>
          <w:tab w:val="left" w:pos="363"/>
        </w:tabs>
        <w:ind w:firstLine="363"/>
      </w:pPr>
      <w:rPr>
        <w:rFonts w:hint="eastAsia" w:cs="Times New Roman"/>
      </w:rPr>
    </w:lvl>
  </w:abstractNum>
  <w:abstractNum w:abstractNumId="4">
    <w:nsid w:val="0DDE2B46"/>
    <w:multiLevelType w:val="multilevel"/>
    <w:tmpl w:val="0DDE2B46"/>
    <w:lvl w:ilvl="0" w:tentative="0">
      <w:start w:val="1"/>
      <w:numFmt w:val="lowerLetter"/>
      <w:pStyle w:val="133"/>
      <w:suff w:val="nothing"/>
      <w:lvlText w:val="%1   "/>
      <w:lvlJc w:val="left"/>
      <w:pPr>
        <w:ind w:left="544" w:hanging="181"/>
      </w:pPr>
      <w:rPr>
        <w:rFonts w:hint="eastAsia" w:ascii="宋体" w:eastAsia="宋体" w:cs="Times New Roman"/>
        <w:b w:val="0"/>
        <w:i w:val="0"/>
        <w:sz w:val="18"/>
        <w:vertAlign w:val="superscript"/>
      </w:rPr>
    </w:lvl>
    <w:lvl w:ilvl="1" w:tentative="0">
      <w:start w:val="1"/>
      <w:numFmt w:val="lowerLetter"/>
      <w:lvlText w:val="%2"/>
      <w:lvlJc w:val="left"/>
      <w:pPr>
        <w:tabs>
          <w:tab w:val="left" w:pos="57"/>
        </w:tabs>
        <w:ind w:left="363" w:hanging="363"/>
      </w:pPr>
      <w:rPr>
        <w:rFonts w:hint="eastAsia" w:cs="Times New Roman"/>
      </w:rPr>
    </w:lvl>
    <w:lvl w:ilvl="2" w:tentative="0">
      <w:start w:val="1"/>
      <w:numFmt w:val="lowerRoman"/>
      <w:lvlText w:val="%3."/>
      <w:lvlJc w:val="right"/>
      <w:pPr>
        <w:tabs>
          <w:tab w:val="left" w:pos="57"/>
        </w:tabs>
        <w:ind w:left="363" w:hanging="363"/>
      </w:pPr>
      <w:rPr>
        <w:rFonts w:hint="eastAsia" w:cs="Times New Roman"/>
      </w:rPr>
    </w:lvl>
    <w:lvl w:ilvl="3" w:tentative="0">
      <w:start w:val="1"/>
      <w:numFmt w:val="decimal"/>
      <w:lvlText w:val="%4."/>
      <w:lvlJc w:val="left"/>
      <w:pPr>
        <w:tabs>
          <w:tab w:val="left" w:pos="57"/>
        </w:tabs>
        <w:ind w:left="363" w:hanging="363"/>
      </w:pPr>
      <w:rPr>
        <w:rFonts w:hint="eastAsia" w:cs="Times New Roman"/>
      </w:rPr>
    </w:lvl>
    <w:lvl w:ilvl="4" w:tentative="0">
      <w:start w:val="1"/>
      <w:numFmt w:val="lowerLetter"/>
      <w:lvlText w:val="%5)"/>
      <w:lvlJc w:val="left"/>
      <w:pPr>
        <w:tabs>
          <w:tab w:val="left" w:pos="57"/>
        </w:tabs>
        <w:ind w:left="363" w:hanging="363"/>
      </w:pPr>
      <w:rPr>
        <w:rFonts w:hint="eastAsia" w:cs="Times New Roman"/>
      </w:rPr>
    </w:lvl>
    <w:lvl w:ilvl="5" w:tentative="0">
      <w:start w:val="1"/>
      <w:numFmt w:val="lowerRoman"/>
      <w:lvlText w:val="%6."/>
      <w:lvlJc w:val="right"/>
      <w:pPr>
        <w:tabs>
          <w:tab w:val="left" w:pos="57"/>
        </w:tabs>
        <w:ind w:left="363" w:hanging="363"/>
      </w:pPr>
      <w:rPr>
        <w:rFonts w:hint="eastAsia" w:cs="Times New Roman"/>
      </w:rPr>
    </w:lvl>
    <w:lvl w:ilvl="6" w:tentative="0">
      <w:start w:val="1"/>
      <w:numFmt w:val="decimal"/>
      <w:lvlText w:val="%7."/>
      <w:lvlJc w:val="left"/>
      <w:pPr>
        <w:tabs>
          <w:tab w:val="left" w:pos="57"/>
        </w:tabs>
        <w:ind w:left="363" w:hanging="363"/>
      </w:pPr>
      <w:rPr>
        <w:rFonts w:hint="eastAsia" w:cs="Times New Roman"/>
      </w:rPr>
    </w:lvl>
    <w:lvl w:ilvl="7" w:tentative="0">
      <w:start w:val="1"/>
      <w:numFmt w:val="lowerLetter"/>
      <w:lvlText w:val="%8)"/>
      <w:lvlJc w:val="left"/>
      <w:pPr>
        <w:tabs>
          <w:tab w:val="left" w:pos="57"/>
        </w:tabs>
        <w:ind w:left="363" w:hanging="363"/>
      </w:pPr>
      <w:rPr>
        <w:rFonts w:hint="eastAsia" w:cs="Times New Roman"/>
      </w:rPr>
    </w:lvl>
    <w:lvl w:ilvl="8" w:tentative="0">
      <w:start w:val="1"/>
      <w:numFmt w:val="lowerRoman"/>
      <w:lvlText w:val="%9."/>
      <w:lvlJc w:val="right"/>
      <w:pPr>
        <w:tabs>
          <w:tab w:val="left" w:pos="57"/>
        </w:tabs>
        <w:ind w:left="363" w:hanging="363"/>
      </w:pPr>
      <w:rPr>
        <w:rFonts w:hint="eastAsia" w:cs="Times New Roman"/>
      </w:rPr>
    </w:lvl>
  </w:abstractNum>
  <w:abstractNum w:abstractNumId="5">
    <w:nsid w:val="14E2680B"/>
    <w:multiLevelType w:val="multilevel"/>
    <w:tmpl w:val="14E2680B"/>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87155A0"/>
    <w:multiLevelType w:val="multilevel"/>
    <w:tmpl w:val="187155A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1DBF583A"/>
    <w:multiLevelType w:val="multilevel"/>
    <w:tmpl w:val="1DBF583A"/>
    <w:lvl w:ilvl="0" w:tentative="0">
      <w:start w:val="1"/>
      <w:numFmt w:val="decimal"/>
      <w:pStyle w:val="77"/>
      <w:suff w:val="nothing"/>
      <w:lvlText w:val="注%1："/>
      <w:lvlJc w:val="left"/>
      <w:pPr>
        <w:ind w:left="811" w:hanging="448"/>
      </w:pPr>
      <w:rPr>
        <w:rFonts w:hint="eastAsia" w:ascii="黑体" w:eastAsia="黑体" w:cs="Times New Roman"/>
        <w:b w:val="0"/>
        <w:i w:val="0"/>
        <w:sz w:val="18"/>
        <w:szCs w:val="18"/>
        <w:vertAlign w:val="baseline"/>
      </w:rPr>
    </w:lvl>
    <w:lvl w:ilvl="1" w:tentative="0">
      <w:start w:val="1"/>
      <w:numFmt w:val="lowerLetter"/>
      <w:lvlText w:val="%2)"/>
      <w:lvlJc w:val="left"/>
      <w:pPr>
        <w:tabs>
          <w:tab w:val="left" w:pos="180"/>
        </w:tabs>
        <w:ind w:left="1172" w:hanging="629"/>
      </w:pPr>
      <w:rPr>
        <w:rFonts w:hint="eastAsia" w:cs="Times New Roman"/>
        <w:vertAlign w:val="baseline"/>
      </w:rPr>
    </w:lvl>
    <w:lvl w:ilvl="2" w:tentative="0">
      <w:start w:val="1"/>
      <w:numFmt w:val="lowerRoman"/>
      <w:lvlText w:val="%3."/>
      <w:lvlJc w:val="right"/>
      <w:pPr>
        <w:tabs>
          <w:tab w:val="left" w:pos="180"/>
        </w:tabs>
        <w:ind w:left="1172" w:hanging="629"/>
      </w:pPr>
      <w:rPr>
        <w:rFonts w:hint="eastAsia" w:cs="Times New Roman"/>
        <w:vertAlign w:val="baseline"/>
      </w:rPr>
    </w:lvl>
    <w:lvl w:ilvl="3" w:tentative="0">
      <w:start w:val="1"/>
      <w:numFmt w:val="decimal"/>
      <w:lvlText w:val="%4."/>
      <w:lvlJc w:val="left"/>
      <w:pPr>
        <w:tabs>
          <w:tab w:val="left" w:pos="180"/>
        </w:tabs>
        <w:ind w:left="1172" w:hanging="629"/>
      </w:pPr>
      <w:rPr>
        <w:rFonts w:hint="eastAsia" w:cs="Times New Roman"/>
        <w:vertAlign w:val="baseline"/>
      </w:rPr>
    </w:lvl>
    <w:lvl w:ilvl="4" w:tentative="0">
      <w:start w:val="1"/>
      <w:numFmt w:val="lowerLetter"/>
      <w:lvlText w:val="%5)"/>
      <w:lvlJc w:val="left"/>
      <w:pPr>
        <w:tabs>
          <w:tab w:val="left" w:pos="180"/>
        </w:tabs>
        <w:ind w:left="1172" w:hanging="629"/>
      </w:pPr>
      <w:rPr>
        <w:rFonts w:hint="eastAsia" w:cs="Times New Roman"/>
        <w:vertAlign w:val="baseline"/>
      </w:rPr>
    </w:lvl>
    <w:lvl w:ilvl="5" w:tentative="0">
      <w:start w:val="1"/>
      <w:numFmt w:val="lowerRoman"/>
      <w:lvlText w:val="%6."/>
      <w:lvlJc w:val="right"/>
      <w:pPr>
        <w:tabs>
          <w:tab w:val="left" w:pos="180"/>
        </w:tabs>
        <w:ind w:left="1172" w:hanging="629"/>
      </w:pPr>
      <w:rPr>
        <w:rFonts w:hint="eastAsia" w:cs="Times New Roman"/>
        <w:vertAlign w:val="baseline"/>
      </w:rPr>
    </w:lvl>
    <w:lvl w:ilvl="6" w:tentative="0">
      <w:start w:val="1"/>
      <w:numFmt w:val="decimal"/>
      <w:lvlText w:val="%7."/>
      <w:lvlJc w:val="left"/>
      <w:pPr>
        <w:tabs>
          <w:tab w:val="left" w:pos="180"/>
        </w:tabs>
        <w:ind w:left="1172" w:hanging="629"/>
      </w:pPr>
      <w:rPr>
        <w:rFonts w:hint="eastAsia" w:cs="Times New Roman"/>
        <w:vertAlign w:val="baseline"/>
      </w:rPr>
    </w:lvl>
    <w:lvl w:ilvl="7" w:tentative="0">
      <w:start w:val="1"/>
      <w:numFmt w:val="lowerLetter"/>
      <w:lvlText w:val="%8)"/>
      <w:lvlJc w:val="left"/>
      <w:pPr>
        <w:tabs>
          <w:tab w:val="left" w:pos="180"/>
        </w:tabs>
        <w:ind w:left="1172" w:hanging="629"/>
      </w:pPr>
      <w:rPr>
        <w:rFonts w:hint="eastAsia" w:cs="Times New Roman"/>
        <w:vertAlign w:val="baseline"/>
      </w:rPr>
    </w:lvl>
    <w:lvl w:ilvl="8" w:tentative="0">
      <w:start w:val="1"/>
      <w:numFmt w:val="lowerRoman"/>
      <w:lvlText w:val="%9."/>
      <w:lvlJc w:val="right"/>
      <w:pPr>
        <w:tabs>
          <w:tab w:val="left" w:pos="180"/>
        </w:tabs>
        <w:ind w:left="1172" w:hanging="629"/>
      </w:pPr>
      <w:rPr>
        <w:rFonts w:hint="eastAsia" w:cs="Times New Roman"/>
        <w:vertAlign w:val="baseline"/>
      </w:rPr>
    </w:lvl>
  </w:abstractNum>
  <w:abstractNum w:abstractNumId="8">
    <w:nsid w:val="1FC91163"/>
    <w:multiLevelType w:val="multilevel"/>
    <w:tmpl w:val="1FC91163"/>
    <w:lvl w:ilvl="0" w:tentative="0">
      <w:start w:val="1"/>
      <w:numFmt w:val="decimal"/>
      <w:pStyle w:val="57"/>
      <w:suff w:val="nothing"/>
      <w:lvlText w:val="%1　"/>
      <w:lvlJc w:val="left"/>
      <w:rPr>
        <w:rFonts w:hint="eastAsia" w:ascii="黑体" w:hAnsi="Times New Roman" w:eastAsia="黑体" w:cs="Times New Roman"/>
        <w:b w:val="0"/>
        <w:i w:val="0"/>
        <w:sz w:val="21"/>
        <w:szCs w:val="21"/>
      </w:rPr>
    </w:lvl>
    <w:lvl w:ilvl="1" w:tentative="0">
      <w:start w:val="1"/>
      <w:numFmt w:val="decimal"/>
      <w:pStyle w:val="54"/>
      <w:suff w:val="nothing"/>
      <w:lvlText w:val="%1.%2　"/>
      <w:lvlJc w:val="left"/>
      <w:pPr>
        <w:ind w:left="397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58"/>
      <w:suff w:val="nothing"/>
      <w:lvlText w:val="%1.%2.%3　"/>
      <w:lvlJc w:val="left"/>
      <w:pPr>
        <w:ind w:left="284"/>
      </w:pPr>
      <w:rPr>
        <w:rFonts w:hint="eastAsia" w:ascii="黑体" w:hAnsi="Times New Roman" w:eastAsia="黑体" w:cs="Times New Roman"/>
        <w:b w:val="0"/>
        <w:i w:val="0"/>
        <w:sz w:val="21"/>
      </w:rPr>
    </w:lvl>
    <w:lvl w:ilvl="3" w:tentative="0">
      <w:start w:val="1"/>
      <w:numFmt w:val="decimal"/>
      <w:pStyle w:val="63"/>
      <w:suff w:val="nothing"/>
      <w:lvlText w:val="%1.%2.%3.%4　"/>
      <w:lvlJc w:val="left"/>
      <w:rPr>
        <w:rFonts w:hint="eastAsia" w:ascii="黑体" w:hAnsi="Times New Roman" w:eastAsia="黑体" w:cs="Times New Roman"/>
        <w:b w:val="0"/>
        <w:i w:val="0"/>
        <w:sz w:val="21"/>
      </w:rPr>
    </w:lvl>
    <w:lvl w:ilvl="4" w:tentative="0">
      <w:start w:val="1"/>
      <w:numFmt w:val="decimal"/>
      <w:pStyle w:val="67"/>
      <w:suff w:val="nothing"/>
      <w:lvlText w:val="%1.%2.%3.%4.%5　"/>
      <w:lvlJc w:val="left"/>
      <w:rPr>
        <w:rFonts w:hint="eastAsia" w:ascii="黑体" w:hAnsi="Times New Roman" w:eastAsia="黑体" w:cs="Times New Roman"/>
        <w:b w:val="0"/>
        <w:i w:val="0"/>
        <w:sz w:val="21"/>
      </w:rPr>
    </w:lvl>
    <w:lvl w:ilvl="5" w:tentative="0">
      <w:start w:val="1"/>
      <w:numFmt w:val="decimal"/>
      <w:pStyle w:val="68"/>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9">
    <w:nsid w:val="25027769"/>
    <w:multiLevelType w:val="multilevel"/>
    <w:tmpl w:val="25027769"/>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29962BFC"/>
    <w:multiLevelType w:val="multilevel"/>
    <w:tmpl w:val="29962BFC"/>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2A8F7113"/>
    <w:multiLevelType w:val="multilevel"/>
    <w:tmpl w:val="2A8F7113"/>
    <w:lvl w:ilvl="0" w:tentative="0">
      <w:start w:val="1"/>
      <w:numFmt w:val="upperLetter"/>
      <w:pStyle w:val="110"/>
      <w:suff w:val="space"/>
      <w:lvlText w:val="%1"/>
      <w:lvlJc w:val="left"/>
      <w:pPr>
        <w:ind w:left="623" w:hanging="425"/>
      </w:pPr>
      <w:rPr>
        <w:rFonts w:hint="eastAsia" w:cs="Times New Roman"/>
      </w:rPr>
    </w:lvl>
    <w:lvl w:ilvl="1" w:tentative="0">
      <w:start w:val="1"/>
      <w:numFmt w:val="decimal"/>
      <w:pStyle w:val="111"/>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12">
    <w:nsid w:val="2B2037E4"/>
    <w:multiLevelType w:val="multilevel"/>
    <w:tmpl w:val="2B2037E4"/>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2C5917C3"/>
    <w:multiLevelType w:val="multilevel"/>
    <w:tmpl w:val="2C5917C3"/>
    <w:lvl w:ilvl="0" w:tentative="0">
      <w:start w:val="1"/>
      <w:numFmt w:val="none"/>
      <w:pStyle w:val="60"/>
      <w:suff w:val="nothing"/>
      <w:lvlText w:val="%1——"/>
      <w:lvlJc w:val="left"/>
      <w:pPr>
        <w:ind w:left="833" w:hanging="408"/>
      </w:pPr>
      <w:rPr>
        <w:rFonts w:hint="eastAsia" w:cs="Times New Roman"/>
      </w:rPr>
    </w:lvl>
    <w:lvl w:ilvl="1" w:tentative="0">
      <w:start w:val="1"/>
      <w:numFmt w:val="bullet"/>
      <w:pStyle w:val="61"/>
      <w:lvlText w:val=""/>
      <w:lvlJc w:val="left"/>
      <w:pPr>
        <w:tabs>
          <w:tab w:val="left" w:pos="760"/>
        </w:tabs>
        <w:ind w:left="1264" w:hanging="413"/>
      </w:pPr>
      <w:rPr>
        <w:rFonts w:hint="default" w:ascii="Symbol" w:hAnsi="Symbol"/>
        <w:color w:val="auto"/>
      </w:rPr>
    </w:lvl>
    <w:lvl w:ilvl="2" w:tentative="0">
      <w:start w:val="1"/>
      <w:numFmt w:val="bullet"/>
      <w:pStyle w:val="72"/>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14">
    <w:nsid w:val="2FCD02A8"/>
    <w:multiLevelType w:val="multilevel"/>
    <w:tmpl w:val="2FCD02A8"/>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31815136"/>
    <w:multiLevelType w:val="multilevel"/>
    <w:tmpl w:val="31815136"/>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342E085C"/>
    <w:multiLevelType w:val="multilevel"/>
    <w:tmpl w:val="342E085C"/>
    <w:lvl w:ilvl="0" w:tentative="0">
      <w:start w:val="1"/>
      <w:numFmt w:val="lowerLetter"/>
      <w:lvlText w:val="%1）"/>
      <w:lvlJc w:val="left"/>
      <w:pPr>
        <w:ind w:left="780" w:hanging="360"/>
      </w:pPr>
      <w:rPr>
        <w:rFonts w:hint="default"/>
        <w:b w:val="0"/>
        <w:bCs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38CF15BC"/>
    <w:multiLevelType w:val="multilevel"/>
    <w:tmpl w:val="38CF15BC"/>
    <w:lvl w:ilvl="0" w:tentative="0">
      <w:start w:val="1"/>
      <w:numFmt w:val="lowerLetter"/>
      <w:lvlText w:val="%1）"/>
      <w:lvlJc w:val="left"/>
      <w:pPr>
        <w:ind w:left="780" w:hanging="360"/>
      </w:pPr>
      <w:rPr>
        <w:rFonts w:hint="default"/>
        <w:b w:val="0"/>
        <w:bCs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3B031BB5"/>
    <w:multiLevelType w:val="multilevel"/>
    <w:tmpl w:val="3B031BB5"/>
    <w:lvl w:ilvl="0" w:tentative="0">
      <w:start w:val="1"/>
      <w:numFmt w:val="lowerLetter"/>
      <w:lvlText w:val="%1）"/>
      <w:lvlJc w:val="left"/>
      <w:pPr>
        <w:ind w:left="780" w:hanging="360"/>
      </w:pPr>
      <w:rPr>
        <w:rFonts w:hint="default"/>
        <w:b w:val="0"/>
        <w:bCs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3D733618"/>
    <w:multiLevelType w:val="multilevel"/>
    <w:tmpl w:val="3D733618"/>
    <w:lvl w:ilvl="0" w:tentative="0">
      <w:start w:val="1"/>
      <w:numFmt w:val="decimal"/>
      <w:pStyle w:val="26"/>
      <w:lvlText w:val="%1)"/>
      <w:lvlJc w:val="left"/>
      <w:pPr>
        <w:tabs>
          <w:tab w:val="left" w:pos="0"/>
        </w:tabs>
        <w:ind w:left="720" w:hanging="357"/>
      </w:pPr>
      <w:rPr>
        <w:rFonts w:hint="eastAsia" w:cs="Times New Roman"/>
      </w:rPr>
    </w:lvl>
    <w:lvl w:ilvl="1" w:tentative="0">
      <w:start w:val="1"/>
      <w:numFmt w:val="lowerLetter"/>
      <w:lvlText w:val="%2)"/>
      <w:lvlJc w:val="left"/>
      <w:pPr>
        <w:tabs>
          <w:tab w:val="left" w:pos="504"/>
        </w:tabs>
        <w:ind w:left="544" w:hanging="544"/>
      </w:pPr>
      <w:rPr>
        <w:rFonts w:hint="eastAsia" w:cs="Times New Roman"/>
      </w:rPr>
    </w:lvl>
    <w:lvl w:ilvl="2" w:tentative="0">
      <w:start w:val="1"/>
      <w:numFmt w:val="lowerRoman"/>
      <w:lvlText w:val="%3."/>
      <w:lvlJc w:val="right"/>
      <w:pPr>
        <w:tabs>
          <w:tab w:val="left" w:pos="532"/>
        </w:tabs>
        <w:ind w:left="544" w:hanging="544"/>
      </w:pPr>
      <w:rPr>
        <w:rFonts w:hint="eastAsia" w:cs="Times New Roman"/>
      </w:rPr>
    </w:lvl>
    <w:lvl w:ilvl="3" w:tentative="0">
      <w:start w:val="1"/>
      <w:numFmt w:val="decimal"/>
      <w:lvlText w:val="%4."/>
      <w:lvlJc w:val="left"/>
      <w:pPr>
        <w:tabs>
          <w:tab w:val="left" w:pos="560"/>
        </w:tabs>
        <w:ind w:left="544" w:hanging="544"/>
      </w:pPr>
      <w:rPr>
        <w:rFonts w:hint="eastAsia" w:cs="Times New Roman"/>
      </w:rPr>
    </w:lvl>
    <w:lvl w:ilvl="4" w:tentative="0">
      <w:start w:val="1"/>
      <w:numFmt w:val="lowerLetter"/>
      <w:lvlText w:val="%5)"/>
      <w:lvlJc w:val="left"/>
      <w:pPr>
        <w:tabs>
          <w:tab w:val="left" w:pos="588"/>
        </w:tabs>
        <w:ind w:left="544" w:hanging="544"/>
      </w:pPr>
      <w:rPr>
        <w:rFonts w:hint="eastAsia" w:cs="Times New Roman"/>
      </w:rPr>
    </w:lvl>
    <w:lvl w:ilvl="5" w:tentative="0">
      <w:start w:val="1"/>
      <w:numFmt w:val="lowerRoman"/>
      <w:lvlText w:val="%6."/>
      <w:lvlJc w:val="right"/>
      <w:pPr>
        <w:tabs>
          <w:tab w:val="left" w:pos="616"/>
        </w:tabs>
        <w:ind w:left="544" w:hanging="544"/>
      </w:pPr>
      <w:rPr>
        <w:rFonts w:hint="eastAsia" w:cs="Times New Roman"/>
      </w:rPr>
    </w:lvl>
    <w:lvl w:ilvl="6" w:tentative="0">
      <w:start w:val="1"/>
      <w:numFmt w:val="decimal"/>
      <w:lvlText w:val="%7."/>
      <w:lvlJc w:val="left"/>
      <w:pPr>
        <w:tabs>
          <w:tab w:val="left" w:pos="644"/>
        </w:tabs>
        <w:ind w:left="544" w:hanging="544"/>
      </w:pPr>
      <w:rPr>
        <w:rFonts w:hint="eastAsia" w:cs="Times New Roman"/>
      </w:rPr>
    </w:lvl>
    <w:lvl w:ilvl="7" w:tentative="0">
      <w:start w:val="1"/>
      <w:numFmt w:val="lowerLetter"/>
      <w:lvlText w:val="%8)"/>
      <w:lvlJc w:val="left"/>
      <w:pPr>
        <w:tabs>
          <w:tab w:val="left" w:pos="672"/>
        </w:tabs>
        <w:ind w:left="544" w:hanging="544"/>
      </w:pPr>
      <w:rPr>
        <w:rFonts w:hint="eastAsia" w:cs="Times New Roman"/>
      </w:rPr>
    </w:lvl>
    <w:lvl w:ilvl="8" w:tentative="0">
      <w:start w:val="1"/>
      <w:numFmt w:val="lowerRoman"/>
      <w:lvlText w:val="%9."/>
      <w:lvlJc w:val="right"/>
      <w:pPr>
        <w:tabs>
          <w:tab w:val="left" w:pos="700"/>
        </w:tabs>
        <w:ind w:left="544" w:hanging="544"/>
      </w:pPr>
      <w:rPr>
        <w:rFonts w:hint="eastAsia" w:cs="Times New Roman"/>
      </w:rPr>
    </w:lvl>
  </w:abstractNum>
  <w:abstractNum w:abstractNumId="20">
    <w:nsid w:val="44C50F90"/>
    <w:multiLevelType w:val="multilevel"/>
    <w:tmpl w:val="44C50F90"/>
    <w:lvl w:ilvl="0" w:tentative="0">
      <w:start w:val="1"/>
      <w:numFmt w:val="lowerLetter"/>
      <w:lvlText w:val="%1)"/>
      <w:lvlJc w:val="left"/>
      <w:pPr>
        <w:tabs>
          <w:tab w:val="left" w:pos="839"/>
        </w:tabs>
        <w:ind w:left="839" w:hanging="419"/>
      </w:pPr>
      <w:rPr>
        <w:rFonts w:hint="eastAsia" w:ascii="宋体" w:hAnsi="宋体" w:eastAsia="宋体" w:cs="Times New Roman"/>
        <w:b w:val="0"/>
        <w:i w:val="0"/>
        <w:sz w:val="21"/>
        <w:szCs w:val="21"/>
      </w:rPr>
    </w:lvl>
    <w:lvl w:ilvl="1" w:tentative="0">
      <w:start w:val="1"/>
      <w:numFmt w:val="decimal"/>
      <w:pStyle w:val="66"/>
      <w:lvlText w:val="%2)"/>
      <w:lvlJc w:val="left"/>
      <w:pPr>
        <w:tabs>
          <w:tab w:val="left" w:pos="1259"/>
        </w:tabs>
        <w:ind w:left="1259" w:hanging="420"/>
      </w:pPr>
      <w:rPr>
        <w:rFonts w:hint="eastAsia" w:ascii="宋体" w:hAnsi="宋体" w:eastAsia="宋体" w:cs="Times New Roman"/>
        <w:b w:val="0"/>
        <w:i w:val="0"/>
        <w:sz w:val="20"/>
      </w:rPr>
    </w:lvl>
    <w:lvl w:ilvl="2" w:tentative="0">
      <w:start w:val="1"/>
      <w:numFmt w:val="decimal"/>
      <w:pStyle w:val="73"/>
      <w:lvlText w:val="(%3)"/>
      <w:lvlJc w:val="left"/>
      <w:pPr>
        <w:tabs>
          <w:tab w:val="left" w:pos="0"/>
        </w:tabs>
        <w:ind w:left="1678" w:hanging="419"/>
      </w:pPr>
      <w:rPr>
        <w:rFonts w:hint="eastAsia" w:ascii="宋体" w:hAnsi="宋体" w:eastAsia="宋体" w:cs="Times New Roman"/>
        <w:b w:val="0"/>
        <w:i w:val="0"/>
        <w:sz w:val="21"/>
        <w:szCs w:val="21"/>
      </w:rPr>
    </w:lvl>
    <w:lvl w:ilvl="3" w:tentative="0">
      <w:start w:val="1"/>
      <w:numFmt w:val="decimal"/>
      <w:lvlText w:val="%4."/>
      <w:lvlJc w:val="left"/>
      <w:pPr>
        <w:tabs>
          <w:tab w:val="left" w:pos="2098"/>
        </w:tabs>
        <w:ind w:left="2098" w:hanging="420"/>
      </w:pPr>
      <w:rPr>
        <w:rFonts w:hint="eastAsia" w:cs="Times New Roman"/>
      </w:rPr>
    </w:lvl>
    <w:lvl w:ilvl="4" w:tentative="0">
      <w:start w:val="1"/>
      <w:numFmt w:val="lowerLetter"/>
      <w:lvlText w:val="%5)"/>
      <w:lvlJc w:val="left"/>
      <w:pPr>
        <w:tabs>
          <w:tab w:val="left" w:pos="2517"/>
        </w:tabs>
        <w:ind w:left="2517" w:hanging="419"/>
      </w:pPr>
      <w:rPr>
        <w:rFonts w:hint="eastAsia" w:cs="Times New Roman"/>
      </w:rPr>
    </w:lvl>
    <w:lvl w:ilvl="5" w:tentative="0">
      <w:start w:val="1"/>
      <w:numFmt w:val="lowerRoman"/>
      <w:lvlText w:val="%6."/>
      <w:lvlJc w:val="right"/>
      <w:pPr>
        <w:tabs>
          <w:tab w:val="left" w:pos="2942"/>
        </w:tabs>
        <w:ind w:left="2937" w:hanging="420"/>
      </w:pPr>
      <w:rPr>
        <w:rFonts w:hint="eastAsia" w:cs="Times New Roman"/>
      </w:rPr>
    </w:lvl>
    <w:lvl w:ilvl="6" w:tentative="0">
      <w:start w:val="1"/>
      <w:numFmt w:val="decimal"/>
      <w:lvlText w:val="%7."/>
      <w:lvlJc w:val="left"/>
      <w:pPr>
        <w:tabs>
          <w:tab w:val="left" w:pos="3362"/>
        </w:tabs>
        <w:ind w:left="3356" w:hanging="414"/>
      </w:pPr>
      <w:rPr>
        <w:rFonts w:hint="eastAsia" w:cs="Times New Roman"/>
      </w:rPr>
    </w:lvl>
    <w:lvl w:ilvl="7" w:tentative="0">
      <w:start w:val="1"/>
      <w:numFmt w:val="lowerLetter"/>
      <w:lvlText w:val="%8)"/>
      <w:lvlJc w:val="left"/>
      <w:pPr>
        <w:tabs>
          <w:tab w:val="left" w:pos="3781"/>
        </w:tabs>
        <w:ind w:left="3776" w:hanging="414"/>
      </w:pPr>
      <w:rPr>
        <w:rFonts w:hint="eastAsia" w:cs="Times New Roman"/>
      </w:rPr>
    </w:lvl>
    <w:lvl w:ilvl="8" w:tentative="0">
      <w:start w:val="1"/>
      <w:numFmt w:val="lowerRoman"/>
      <w:lvlText w:val="%9."/>
      <w:lvlJc w:val="right"/>
      <w:pPr>
        <w:tabs>
          <w:tab w:val="left" w:pos="4201"/>
        </w:tabs>
        <w:ind w:left="4201" w:hanging="420"/>
      </w:pPr>
      <w:rPr>
        <w:rFonts w:hint="eastAsia" w:cs="Times New Roman"/>
      </w:rPr>
    </w:lvl>
  </w:abstractNum>
  <w:abstractNum w:abstractNumId="21">
    <w:nsid w:val="490170B8"/>
    <w:multiLevelType w:val="multilevel"/>
    <w:tmpl w:val="490170B8"/>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4B733A5F"/>
    <w:multiLevelType w:val="multilevel"/>
    <w:tmpl w:val="4B733A5F"/>
    <w:lvl w:ilvl="0" w:tentative="0">
      <w:start w:val="1"/>
      <w:numFmt w:val="decimal"/>
      <w:pStyle w:val="74"/>
      <w:suff w:val="nothing"/>
      <w:lvlText w:val="示例%1："/>
      <w:lvlJc w:val="left"/>
      <w:pPr>
        <w:ind w:firstLine="363"/>
      </w:pPr>
      <w:rPr>
        <w:rFonts w:hint="eastAsia" w:ascii="黑体" w:hAnsi="Times New Roman" w:eastAsia="黑体" w:cs="Times New Roman"/>
        <w:b w:val="0"/>
        <w:i w:val="0"/>
        <w:sz w:val="18"/>
        <w:szCs w:val="18"/>
        <w:vertAlign w:val="baseline"/>
      </w:rPr>
    </w:lvl>
    <w:lvl w:ilvl="1" w:tentative="0">
      <w:start w:val="1"/>
      <w:numFmt w:val="none"/>
      <w:suff w:val="space"/>
      <w:lvlText w:val=""/>
      <w:lvlJc w:val="left"/>
      <w:rPr>
        <w:rFonts w:hint="eastAsia" w:cs="Times New Roman"/>
        <w:vertAlign w:val="baseline"/>
      </w:rPr>
    </w:lvl>
    <w:lvl w:ilvl="2" w:tentative="0">
      <w:start w:val="1"/>
      <w:numFmt w:val="decimal"/>
      <w:suff w:val="space"/>
      <w:lvlText w:val="2.2.%3"/>
      <w:lvlJc w:val="left"/>
      <w:rPr>
        <w:rFonts w:hint="eastAsia" w:cs="Times New Roman"/>
        <w:vertAlign w:val="baseline"/>
      </w:rPr>
    </w:lvl>
    <w:lvl w:ilvl="3" w:tentative="0">
      <w:start w:val="1"/>
      <w:numFmt w:val="decimal"/>
      <w:lvlText w:val="%4."/>
      <w:lvlJc w:val="left"/>
      <w:pPr>
        <w:tabs>
          <w:tab w:val="left" w:pos="0"/>
        </w:tabs>
        <w:ind w:left="992" w:hanging="629"/>
      </w:pPr>
      <w:rPr>
        <w:rFonts w:hint="eastAsia" w:cs="Times New Roman"/>
        <w:vertAlign w:val="baseline"/>
      </w:rPr>
    </w:lvl>
    <w:lvl w:ilvl="4" w:tentative="0">
      <w:start w:val="1"/>
      <w:numFmt w:val="lowerLetter"/>
      <w:lvlText w:val="%5)"/>
      <w:lvlJc w:val="left"/>
      <w:pPr>
        <w:tabs>
          <w:tab w:val="left" w:pos="0"/>
        </w:tabs>
        <w:ind w:left="992" w:hanging="629"/>
      </w:pPr>
      <w:rPr>
        <w:rFonts w:hint="eastAsia" w:cs="Times New Roman"/>
        <w:vertAlign w:val="baseline"/>
      </w:rPr>
    </w:lvl>
    <w:lvl w:ilvl="5" w:tentative="0">
      <w:start w:val="1"/>
      <w:numFmt w:val="lowerRoman"/>
      <w:lvlText w:val="%6."/>
      <w:lvlJc w:val="right"/>
      <w:pPr>
        <w:tabs>
          <w:tab w:val="left" w:pos="0"/>
        </w:tabs>
        <w:ind w:left="992" w:hanging="629"/>
      </w:pPr>
      <w:rPr>
        <w:rFonts w:hint="eastAsia" w:cs="Times New Roman"/>
        <w:vertAlign w:val="baseline"/>
      </w:rPr>
    </w:lvl>
    <w:lvl w:ilvl="6" w:tentative="0">
      <w:start w:val="1"/>
      <w:numFmt w:val="decimal"/>
      <w:lvlText w:val="%7."/>
      <w:lvlJc w:val="left"/>
      <w:pPr>
        <w:tabs>
          <w:tab w:val="left" w:pos="0"/>
        </w:tabs>
        <w:ind w:left="992" w:hanging="629"/>
      </w:pPr>
      <w:rPr>
        <w:rFonts w:hint="eastAsia" w:cs="Times New Roman"/>
        <w:vertAlign w:val="baseline"/>
      </w:rPr>
    </w:lvl>
    <w:lvl w:ilvl="7" w:tentative="0">
      <w:start w:val="1"/>
      <w:numFmt w:val="lowerLetter"/>
      <w:lvlText w:val="%8)"/>
      <w:lvlJc w:val="left"/>
      <w:pPr>
        <w:tabs>
          <w:tab w:val="left" w:pos="0"/>
        </w:tabs>
        <w:ind w:left="992" w:hanging="629"/>
      </w:pPr>
      <w:rPr>
        <w:rFonts w:hint="eastAsia" w:cs="Times New Roman"/>
        <w:vertAlign w:val="baseline"/>
      </w:rPr>
    </w:lvl>
    <w:lvl w:ilvl="8" w:tentative="0">
      <w:start w:val="1"/>
      <w:numFmt w:val="lowerRoman"/>
      <w:lvlText w:val="%9."/>
      <w:lvlJc w:val="right"/>
      <w:pPr>
        <w:tabs>
          <w:tab w:val="left" w:pos="0"/>
        </w:tabs>
        <w:ind w:left="992" w:hanging="629"/>
      </w:pPr>
      <w:rPr>
        <w:rFonts w:hint="eastAsia" w:cs="Times New Roman"/>
        <w:vertAlign w:val="baseline"/>
      </w:rPr>
    </w:lvl>
  </w:abstractNum>
  <w:abstractNum w:abstractNumId="23">
    <w:nsid w:val="50907BEC"/>
    <w:multiLevelType w:val="multilevel"/>
    <w:tmpl w:val="50907BEC"/>
    <w:lvl w:ilvl="0" w:tentative="0">
      <w:start w:val="1"/>
      <w:numFmt w:val="lowerLetter"/>
      <w:lvlText w:val="%1）"/>
      <w:lvlJc w:val="left"/>
      <w:pPr>
        <w:ind w:left="780" w:hanging="360"/>
      </w:pPr>
      <w:rPr>
        <w:rFonts w:hint="default"/>
        <w:b w:val="0"/>
        <w:bCs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510F652A"/>
    <w:multiLevelType w:val="multilevel"/>
    <w:tmpl w:val="510F652A"/>
    <w:lvl w:ilvl="0" w:tentative="0">
      <w:start w:val="1"/>
      <w:numFmt w:val="lowerLetter"/>
      <w:lvlText w:val="%1）"/>
      <w:lvlJc w:val="left"/>
      <w:pPr>
        <w:ind w:left="780" w:hanging="360"/>
      </w:pPr>
      <w:rPr>
        <w:rFonts w:hint="default"/>
        <w:b w:val="0"/>
        <w:bCs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519C1D29"/>
    <w:multiLevelType w:val="multilevel"/>
    <w:tmpl w:val="519C1D29"/>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52763421"/>
    <w:multiLevelType w:val="multilevel"/>
    <w:tmpl w:val="52763421"/>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534012F8"/>
    <w:multiLevelType w:val="multilevel"/>
    <w:tmpl w:val="534012F8"/>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557C2AF5"/>
    <w:multiLevelType w:val="multilevel"/>
    <w:tmpl w:val="557C2AF5"/>
    <w:lvl w:ilvl="0" w:tentative="0">
      <w:start w:val="1"/>
      <w:numFmt w:val="decimal"/>
      <w:pStyle w:val="140"/>
      <w:suff w:val="nothing"/>
      <w:lvlText w:val="图%1　"/>
      <w:lvlJc w:val="left"/>
      <w:rPr>
        <w:rFonts w:hint="eastAsia" w:ascii="黑体" w:hAnsi="Times New Roman" w:eastAsia="黑体" w:cs="Times New Roman"/>
        <w:b w:val="0"/>
        <w:i w:val="0"/>
        <w:sz w:val="21"/>
      </w:rPr>
    </w:lvl>
    <w:lvl w:ilvl="1" w:tentative="0">
      <w:start w:val="1"/>
      <w:numFmt w:val="decimal"/>
      <w:suff w:val="nothing"/>
      <w:lvlText w:val="%1%2　"/>
      <w:lvlJc w:val="left"/>
      <w:rPr>
        <w:rFonts w:hint="default" w:ascii="Times New Roman" w:hAnsi="Times New Roman" w:eastAsia="黑体" w:cs="Times New Roman"/>
        <w:b w:val="0"/>
        <w:i w:val="0"/>
        <w:sz w:val="21"/>
      </w:rPr>
    </w:lvl>
    <w:lvl w:ilvl="2" w:tentative="0">
      <w:start w:val="1"/>
      <w:numFmt w:val="decimal"/>
      <w:suff w:val="nothing"/>
      <w:lvlText w:val="%1%2.%3　"/>
      <w:lvlJc w:val="left"/>
      <w:rPr>
        <w:rFonts w:hint="default" w:ascii="Times New Roman" w:hAnsi="Times New Roman" w:eastAsia="黑体" w:cs="Times New Roman"/>
        <w:b w:val="0"/>
        <w:i w:val="0"/>
        <w:sz w:val="21"/>
      </w:rPr>
    </w:lvl>
    <w:lvl w:ilvl="3" w:tentative="0">
      <w:start w:val="1"/>
      <w:numFmt w:val="decimal"/>
      <w:suff w:val="nothing"/>
      <w:lvlText w:val="%1%2.%3.%4　"/>
      <w:lvlJc w:val="left"/>
      <w:rPr>
        <w:rFonts w:hint="default" w:ascii="Times New Roman" w:hAnsi="Times New Roman" w:eastAsia="黑体" w:cs="Times New Roman"/>
        <w:b w:val="0"/>
        <w:i w:val="0"/>
        <w:sz w:val="21"/>
      </w:rPr>
    </w:lvl>
    <w:lvl w:ilvl="4" w:tentative="0">
      <w:start w:val="1"/>
      <w:numFmt w:val="decimal"/>
      <w:suff w:val="nothing"/>
      <w:lvlText w:val="%1%2.%3.%4.%5　"/>
      <w:lvlJc w:val="left"/>
      <w:rPr>
        <w:rFonts w:hint="default" w:ascii="Times New Roman" w:hAnsi="Times New Roman" w:eastAsia="黑体" w:cs="Times New Roman"/>
        <w:b w:val="0"/>
        <w:i w:val="0"/>
        <w:sz w:val="21"/>
      </w:rPr>
    </w:lvl>
    <w:lvl w:ilvl="5" w:tentative="0">
      <w:start w:val="1"/>
      <w:numFmt w:val="decimal"/>
      <w:suff w:val="nothing"/>
      <w:lvlText w:val="%1%2.%3.%4.%5.%6　"/>
      <w:lvlJc w:val="left"/>
      <w:rPr>
        <w:rFonts w:hint="default" w:ascii="Times New Roman" w:hAnsi="Times New Roman" w:eastAsia="黑体" w:cs="Times New Roman"/>
        <w:b w:val="0"/>
        <w:i w:val="0"/>
        <w:sz w:val="21"/>
      </w:rPr>
    </w:lvl>
    <w:lvl w:ilvl="6" w:tentative="0">
      <w:start w:val="1"/>
      <w:numFmt w:val="decimal"/>
      <w:suff w:val="nothing"/>
      <w:lvlText w:val="%1%2.%3.%4.%5.%6.%7　"/>
      <w:lvlJc w:val="left"/>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29">
    <w:nsid w:val="59415157"/>
    <w:multiLevelType w:val="multilevel"/>
    <w:tmpl w:val="59415157"/>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0">
    <w:nsid w:val="5A1774DF"/>
    <w:multiLevelType w:val="multilevel"/>
    <w:tmpl w:val="5A1774DF"/>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1">
    <w:nsid w:val="5D1E0929"/>
    <w:multiLevelType w:val="multilevel"/>
    <w:tmpl w:val="5D1E0929"/>
    <w:lvl w:ilvl="0" w:tentative="0">
      <w:start w:val="1"/>
      <w:numFmt w:val="lowerLetter"/>
      <w:lvlText w:val="%1）"/>
      <w:lvlJc w:val="left"/>
      <w:pPr>
        <w:ind w:left="780" w:hanging="360"/>
      </w:pPr>
      <w:rPr>
        <w:rFonts w:hint="default"/>
        <w:b w:val="0"/>
        <w:bCs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2">
    <w:nsid w:val="5D9E3290"/>
    <w:multiLevelType w:val="multilevel"/>
    <w:tmpl w:val="5D9E3290"/>
    <w:lvl w:ilvl="0" w:tentative="0">
      <w:start w:val="1"/>
      <w:numFmt w:val="lowerLetter"/>
      <w:lvlText w:val="%1）"/>
      <w:lvlJc w:val="left"/>
      <w:pPr>
        <w:ind w:left="780" w:hanging="360"/>
      </w:pPr>
      <w:rPr>
        <w:rFonts w:hint="default"/>
        <w:b w:val="0"/>
        <w:bCs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60B55DC2"/>
    <w:multiLevelType w:val="multilevel"/>
    <w:tmpl w:val="60B55DC2"/>
    <w:lvl w:ilvl="0" w:tentative="0">
      <w:start w:val="1"/>
      <w:numFmt w:val="upperLetter"/>
      <w:pStyle w:val="98"/>
      <w:lvlText w:val="%1"/>
      <w:lvlJc w:val="left"/>
      <w:pPr>
        <w:tabs>
          <w:tab w:val="left" w:pos="0"/>
        </w:tabs>
        <w:ind w:hanging="425"/>
      </w:pPr>
      <w:rPr>
        <w:rFonts w:hint="eastAsia" w:cs="Times New Roman"/>
      </w:rPr>
    </w:lvl>
    <w:lvl w:ilvl="1" w:tentative="0">
      <w:start w:val="1"/>
      <w:numFmt w:val="decimal"/>
      <w:pStyle w:val="99"/>
      <w:suff w:val="nothing"/>
      <w:lvlText w:val="表%1.%2　"/>
      <w:lvlJc w:val="left"/>
      <w:pPr>
        <w:ind w:left="3545"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abstractNum w:abstractNumId="34">
    <w:nsid w:val="646260FA"/>
    <w:multiLevelType w:val="multilevel"/>
    <w:tmpl w:val="646260FA"/>
    <w:lvl w:ilvl="0" w:tentative="0">
      <w:start w:val="1"/>
      <w:numFmt w:val="decimal"/>
      <w:pStyle w:val="138"/>
      <w:suff w:val="nothing"/>
      <w:lvlText w:val="表%1　"/>
      <w:lvlJc w:val="left"/>
      <w:rPr>
        <w:rFonts w:hint="eastAsia" w:ascii="黑体" w:hAnsi="Times New Roman" w:eastAsia="黑体" w:cs="Times New Roman"/>
        <w:b w:val="0"/>
        <w:i w:val="0"/>
        <w:sz w:val="21"/>
      </w:rPr>
    </w:lvl>
    <w:lvl w:ilvl="1" w:tentative="0">
      <w:start w:val="1"/>
      <w:numFmt w:val="decima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418"/>
        </w:tabs>
        <w:ind w:left="1418" w:hanging="567"/>
      </w:pPr>
      <w:rPr>
        <w:rFonts w:hint="eastAsia" w:cs="Times New Roman"/>
      </w:rPr>
    </w:lvl>
    <w:lvl w:ilvl="3" w:tentative="0">
      <w:start w:val="1"/>
      <w:numFmt w:val="decimal"/>
      <w:lvlText w:val="%1.%2.%3.%4"/>
      <w:lvlJc w:val="left"/>
      <w:pPr>
        <w:tabs>
          <w:tab w:val="left" w:pos="1984"/>
        </w:tabs>
        <w:ind w:left="1984" w:hanging="708"/>
      </w:pPr>
      <w:rPr>
        <w:rFonts w:hint="eastAsia" w:cs="Times New Roman"/>
      </w:rPr>
    </w:lvl>
    <w:lvl w:ilvl="4" w:tentative="0">
      <w:start w:val="1"/>
      <w:numFmt w:val="decimal"/>
      <w:lvlText w:val="%1.%2.%3.%4.%5"/>
      <w:lvlJc w:val="left"/>
      <w:pPr>
        <w:tabs>
          <w:tab w:val="left" w:pos="2551"/>
        </w:tabs>
        <w:ind w:left="2551" w:hanging="850"/>
      </w:pPr>
      <w:rPr>
        <w:rFonts w:hint="eastAsia" w:cs="Times New Roman"/>
      </w:rPr>
    </w:lvl>
    <w:lvl w:ilvl="5" w:tentative="0">
      <w:start w:val="1"/>
      <w:numFmt w:val="decimal"/>
      <w:lvlText w:val="%1.%2.%3.%4.%5.%6"/>
      <w:lvlJc w:val="left"/>
      <w:pPr>
        <w:tabs>
          <w:tab w:val="left" w:pos="3260"/>
        </w:tabs>
        <w:ind w:left="3260" w:hanging="1134"/>
      </w:pPr>
      <w:rPr>
        <w:rFonts w:hint="eastAsia" w:cs="Times New Roman"/>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35">
    <w:nsid w:val="6894305B"/>
    <w:multiLevelType w:val="multilevel"/>
    <w:tmpl w:val="6894305B"/>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6">
    <w:nsid w:val="6D6C07CD"/>
    <w:multiLevelType w:val="multilevel"/>
    <w:tmpl w:val="6D6C07CD"/>
    <w:lvl w:ilvl="0" w:tentative="0">
      <w:start w:val="1"/>
      <w:numFmt w:val="lowerLetter"/>
      <w:pStyle w:val="117"/>
      <w:lvlText w:val="%1)"/>
      <w:lvlJc w:val="left"/>
      <w:pPr>
        <w:tabs>
          <w:tab w:val="left" w:pos="839"/>
        </w:tabs>
        <w:ind w:left="839" w:hanging="419"/>
      </w:pPr>
      <w:rPr>
        <w:rFonts w:hint="eastAsia" w:ascii="宋体" w:eastAsia="宋体" w:cs="Times New Roman"/>
        <w:b w:val="0"/>
        <w:i w:val="0"/>
        <w:sz w:val="21"/>
      </w:rPr>
    </w:lvl>
    <w:lvl w:ilvl="1" w:tentative="0">
      <w:start w:val="1"/>
      <w:numFmt w:val="decimal"/>
      <w:pStyle w:val="107"/>
      <w:lvlText w:val="%2)"/>
      <w:lvlJc w:val="left"/>
      <w:pPr>
        <w:tabs>
          <w:tab w:val="left" w:pos="840"/>
        </w:tabs>
        <w:ind w:left="839" w:hanging="419"/>
      </w:pPr>
      <w:rPr>
        <w:rFonts w:hint="eastAsia" w:ascii="宋体" w:eastAsia="宋体" w:cs="Times New Roman"/>
        <w:b w:val="0"/>
        <w:i w:val="0"/>
        <w:sz w:val="21"/>
      </w:rPr>
    </w:lvl>
    <w:lvl w:ilvl="2" w:tentative="0">
      <w:start w:val="1"/>
      <w:numFmt w:val="lowerRoman"/>
      <w:lvlText w:val="%3."/>
      <w:lvlJc w:val="right"/>
      <w:pPr>
        <w:tabs>
          <w:tab w:val="left" w:pos="1260"/>
        </w:tabs>
        <w:ind w:left="1259" w:hanging="419"/>
      </w:pPr>
      <w:rPr>
        <w:rFonts w:hint="eastAsia" w:cs="Times New Roman"/>
      </w:rPr>
    </w:lvl>
    <w:lvl w:ilvl="3" w:tentative="0">
      <w:start w:val="1"/>
      <w:numFmt w:val="decimal"/>
      <w:lvlText w:val="%4."/>
      <w:lvlJc w:val="left"/>
      <w:pPr>
        <w:tabs>
          <w:tab w:val="left" w:pos="1680"/>
        </w:tabs>
        <w:ind w:left="1679" w:hanging="419"/>
      </w:pPr>
      <w:rPr>
        <w:rFonts w:hint="eastAsia" w:cs="Times New Roman"/>
      </w:rPr>
    </w:lvl>
    <w:lvl w:ilvl="4" w:tentative="0">
      <w:start w:val="1"/>
      <w:numFmt w:val="lowerLetter"/>
      <w:lvlText w:val="%5)"/>
      <w:lvlJc w:val="left"/>
      <w:pPr>
        <w:tabs>
          <w:tab w:val="left" w:pos="2100"/>
        </w:tabs>
        <w:ind w:left="2099" w:hanging="419"/>
      </w:pPr>
      <w:rPr>
        <w:rFonts w:hint="eastAsia" w:cs="Times New Roman"/>
      </w:rPr>
    </w:lvl>
    <w:lvl w:ilvl="5" w:tentative="0">
      <w:start w:val="1"/>
      <w:numFmt w:val="lowerRoman"/>
      <w:lvlText w:val="%6."/>
      <w:lvlJc w:val="right"/>
      <w:pPr>
        <w:tabs>
          <w:tab w:val="left" w:pos="2520"/>
        </w:tabs>
        <w:ind w:left="2519" w:hanging="419"/>
      </w:pPr>
      <w:rPr>
        <w:rFonts w:hint="eastAsia" w:cs="Times New Roman"/>
      </w:rPr>
    </w:lvl>
    <w:lvl w:ilvl="6" w:tentative="0">
      <w:start w:val="1"/>
      <w:numFmt w:val="decimal"/>
      <w:lvlText w:val="%7."/>
      <w:lvlJc w:val="left"/>
      <w:pPr>
        <w:tabs>
          <w:tab w:val="left" w:pos="2940"/>
        </w:tabs>
        <w:ind w:left="2939" w:hanging="419"/>
      </w:pPr>
      <w:rPr>
        <w:rFonts w:hint="eastAsia" w:cs="Times New Roman"/>
      </w:rPr>
    </w:lvl>
    <w:lvl w:ilvl="7" w:tentative="0">
      <w:start w:val="1"/>
      <w:numFmt w:val="lowerLetter"/>
      <w:lvlText w:val="%8)"/>
      <w:lvlJc w:val="left"/>
      <w:pPr>
        <w:tabs>
          <w:tab w:val="left" w:pos="3360"/>
        </w:tabs>
        <w:ind w:left="3359" w:hanging="419"/>
      </w:pPr>
      <w:rPr>
        <w:rFonts w:hint="eastAsia" w:cs="Times New Roman"/>
      </w:rPr>
    </w:lvl>
    <w:lvl w:ilvl="8" w:tentative="0">
      <w:start w:val="1"/>
      <w:numFmt w:val="lowerRoman"/>
      <w:lvlText w:val="%9."/>
      <w:lvlJc w:val="right"/>
      <w:pPr>
        <w:tabs>
          <w:tab w:val="left" w:pos="3780"/>
        </w:tabs>
        <w:ind w:left="3779" w:hanging="419"/>
      </w:pPr>
      <w:rPr>
        <w:rFonts w:hint="eastAsia" w:cs="Times New Roman"/>
      </w:rPr>
    </w:lvl>
  </w:abstractNum>
  <w:abstractNum w:abstractNumId="37">
    <w:nsid w:val="6D8D0DDF"/>
    <w:multiLevelType w:val="multilevel"/>
    <w:tmpl w:val="6D8D0DDF"/>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8">
    <w:nsid w:val="6DBF04F4"/>
    <w:multiLevelType w:val="multilevel"/>
    <w:tmpl w:val="6DBF04F4"/>
    <w:lvl w:ilvl="0" w:tentative="0">
      <w:start w:val="1"/>
      <w:numFmt w:val="none"/>
      <w:pStyle w:val="69"/>
      <w:suff w:val="nothing"/>
      <w:lvlText w:val="%1注："/>
      <w:lvlJc w:val="left"/>
      <w:pPr>
        <w:ind w:left="726" w:hanging="363"/>
      </w:pPr>
      <w:rPr>
        <w:rFonts w:hint="eastAsia" w:ascii="黑体" w:hAnsi="Times New Roman" w:eastAsia="黑体" w:cs="Times New Roman"/>
        <w:b w:val="0"/>
        <w:i w:val="0"/>
        <w:sz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abstractNum w:abstractNumId="39">
    <w:nsid w:val="6E7663F4"/>
    <w:multiLevelType w:val="multilevel"/>
    <w:tmpl w:val="6E7663F4"/>
    <w:lvl w:ilvl="0" w:tentative="0">
      <w:start w:val="1"/>
      <w:numFmt w:val="lowerLetter"/>
      <w:lvlText w:val="%1）"/>
      <w:lvlJc w:val="left"/>
      <w:pPr>
        <w:ind w:left="780" w:hanging="360"/>
      </w:pPr>
      <w:rPr>
        <w:rFonts w:hint="default"/>
        <w:b w:val="0"/>
        <w:bCs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0">
    <w:nsid w:val="71E37171"/>
    <w:multiLevelType w:val="multilevel"/>
    <w:tmpl w:val="71E37171"/>
    <w:lvl w:ilvl="0" w:tentative="0">
      <w:start w:val="1"/>
      <w:numFmt w:val="lowerLetter"/>
      <w:lvlText w:val="%1）"/>
      <w:lvlJc w:val="left"/>
      <w:pPr>
        <w:ind w:left="780" w:hanging="360"/>
      </w:pPr>
      <w:rPr>
        <w:rFonts w:hint="default"/>
        <w:b w:val="0"/>
        <w:bCs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1">
    <w:nsid w:val="72050A90"/>
    <w:multiLevelType w:val="multilevel"/>
    <w:tmpl w:val="72050A90"/>
    <w:lvl w:ilvl="0" w:tentative="0">
      <w:start w:val="1"/>
      <w:numFmt w:val="lowerLetter"/>
      <w:lvlText w:val="%1)"/>
      <w:lvlJc w:val="left"/>
      <w:pPr>
        <w:ind w:left="840" w:hanging="420"/>
      </w:pPr>
    </w:lvl>
    <w:lvl w:ilvl="1" w:tentative="0">
      <w:start w:val="1"/>
      <w:numFmt w:val="lowerLetter"/>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2">
    <w:nsid w:val="73152B82"/>
    <w:multiLevelType w:val="multilevel"/>
    <w:tmpl w:val="73152B82"/>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3">
    <w:nsid w:val="7707169A"/>
    <w:multiLevelType w:val="multilevel"/>
    <w:tmpl w:val="7707169A"/>
    <w:lvl w:ilvl="0" w:tentative="0">
      <w:start w:val="1"/>
      <w:numFmt w:val="lowerLetter"/>
      <w:lvlText w:val="%1）"/>
      <w:lvlJc w:val="left"/>
      <w:pPr>
        <w:ind w:left="780" w:hanging="360"/>
      </w:pPr>
      <w:rPr>
        <w:rFonts w:hint="default"/>
        <w:b w:val="0"/>
        <w:bCs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4">
    <w:nsid w:val="779027C9"/>
    <w:multiLevelType w:val="multilevel"/>
    <w:tmpl w:val="779027C9"/>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5">
    <w:nsid w:val="7EEB50FE"/>
    <w:multiLevelType w:val="multilevel"/>
    <w:tmpl w:val="7EEB50FE"/>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9"/>
  </w:num>
  <w:num w:numId="2">
    <w:abstractNumId w:val="8"/>
  </w:num>
  <w:num w:numId="3">
    <w:abstractNumId w:val="13"/>
  </w:num>
  <w:num w:numId="4">
    <w:abstractNumId w:val="3"/>
  </w:num>
  <w:num w:numId="5">
    <w:abstractNumId w:val="20"/>
  </w:num>
  <w:num w:numId="6">
    <w:abstractNumId w:val="38"/>
  </w:num>
  <w:num w:numId="7">
    <w:abstractNumId w:val="1"/>
  </w:num>
  <w:num w:numId="8">
    <w:abstractNumId w:val="22"/>
  </w:num>
  <w:num w:numId="9">
    <w:abstractNumId w:val="7"/>
  </w:num>
  <w:num w:numId="10">
    <w:abstractNumId w:val="33"/>
  </w:num>
  <w:num w:numId="11">
    <w:abstractNumId w:val="36"/>
  </w:num>
  <w:num w:numId="12">
    <w:abstractNumId w:val="11"/>
  </w:num>
  <w:num w:numId="13">
    <w:abstractNumId w:val="2"/>
  </w:num>
  <w:num w:numId="14">
    <w:abstractNumId w:val="4"/>
  </w:num>
  <w:num w:numId="15">
    <w:abstractNumId w:val="34"/>
  </w:num>
  <w:num w:numId="16">
    <w:abstractNumId w:val="2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0"/>
  </w:num>
  <w:num w:numId="20">
    <w:abstractNumId w:val="44"/>
  </w:num>
  <w:num w:numId="21">
    <w:abstractNumId w:val="41"/>
  </w:num>
  <w:num w:numId="22">
    <w:abstractNumId w:val="12"/>
  </w:num>
  <w:num w:numId="23">
    <w:abstractNumId w:val="29"/>
  </w:num>
  <w:num w:numId="24">
    <w:abstractNumId w:val="45"/>
  </w:num>
  <w:num w:numId="25">
    <w:abstractNumId w:val="25"/>
  </w:num>
  <w:num w:numId="26">
    <w:abstractNumId w:val="5"/>
  </w:num>
  <w:num w:numId="27">
    <w:abstractNumId w:val="21"/>
  </w:num>
  <w:num w:numId="28">
    <w:abstractNumId w:val="16"/>
  </w:num>
  <w:num w:numId="29">
    <w:abstractNumId w:val="40"/>
  </w:num>
  <w:num w:numId="30">
    <w:abstractNumId w:val="43"/>
  </w:num>
  <w:num w:numId="31">
    <w:abstractNumId w:val="31"/>
  </w:num>
  <w:num w:numId="32">
    <w:abstractNumId w:val="24"/>
  </w:num>
  <w:num w:numId="33">
    <w:abstractNumId w:val="23"/>
  </w:num>
  <w:num w:numId="34">
    <w:abstractNumId w:val="39"/>
  </w:num>
  <w:num w:numId="35">
    <w:abstractNumId w:val="18"/>
  </w:num>
  <w:num w:numId="36">
    <w:abstractNumId w:val="17"/>
  </w:num>
  <w:num w:numId="37">
    <w:abstractNumId w:val="14"/>
  </w:num>
  <w:num w:numId="38">
    <w:abstractNumId w:val="32"/>
  </w:num>
  <w:num w:numId="39">
    <w:abstractNumId w:val="42"/>
  </w:num>
  <w:num w:numId="40">
    <w:abstractNumId w:val="27"/>
  </w:num>
  <w:num w:numId="41">
    <w:abstractNumId w:val="30"/>
  </w:num>
  <w:num w:numId="42">
    <w:abstractNumId w:val="26"/>
  </w:num>
  <w:num w:numId="43">
    <w:abstractNumId w:val="10"/>
  </w:num>
  <w:num w:numId="44">
    <w:abstractNumId w:val="35"/>
  </w:num>
  <w:num w:numId="45">
    <w:abstractNumId w:val="15"/>
  </w:num>
  <w:num w:numId="46">
    <w:abstractNumId w:val="9"/>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1"/>
  <w:bordersDoNotSurroundFooter w:val="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07793"/>
    <w:rsid w:val="00010F1D"/>
    <w:rsid w:val="000128B3"/>
    <w:rsid w:val="00013D86"/>
    <w:rsid w:val="00013E02"/>
    <w:rsid w:val="00014446"/>
    <w:rsid w:val="00016C19"/>
    <w:rsid w:val="00020632"/>
    <w:rsid w:val="00020888"/>
    <w:rsid w:val="0002143C"/>
    <w:rsid w:val="0002157D"/>
    <w:rsid w:val="00023077"/>
    <w:rsid w:val="00025A65"/>
    <w:rsid w:val="00026C31"/>
    <w:rsid w:val="00026CB9"/>
    <w:rsid w:val="00027229"/>
    <w:rsid w:val="00027280"/>
    <w:rsid w:val="00031775"/>
    <w:rsid w:val="000320A7"/>
    <w:rsid w:val="000320EA"/>
    <w:rsid w:val="000343F4"/>
    <w:rsid w:val="00035925"/>
    <w:rsid w:val="00036B21"/>
    <w:rsid w:val="00041C82"/>
    <w:rsid w:val="00050D41"/>
    <w:rsid w:val="00051F82"/>
    <w:rsid w:val="00057E84"/>
    <w:rsid w:val="0006004B"/>
    <w:rsid w:val="00062B25"/>
    <w:rsid w:val="0006322B"/>
    <w:rsid w:val="00067CDF"/>
    <w:rsid w:val="00071632"/>
    <w:rsid w:val="00071F8F"/>
    <w:rsid w:val="00074FBE"/>
    <w:rsid w:val="00077A67"/>
    <w:rsid w:val="00081389"/>
    <w:rsid w:val="00083A09"/>
    <w:rsid w:val="0008723F"/>
    <w:rsid w:val="0009005E"/>
    <w:rsid w:val="00092857"/>
    <w:rsid w:val="0009578A"/>
    <w:rsid w:val="000A0ADC"/>
    <w:rsid w:val="000A17CF"/>
    <w:rsid w:val="000A20A9"/>
    <w:rsid w:val="000A30C8"/>
    <w:rsid w:val="000A38FE"/>
    <w:rsid w:val="000A48B1"/>
    <w:rsid w:val="000B3143"/>
    <w:rsid w:val="000B4C8F"/>
    <w:rsid w:val="000B5D57"/>
    <w:rsid w:val="000B6283"/>
    <w:rsid w:val="000C1B89"/>
    <w:rsid w:val="000C3D43"/>
    <w:rsid w:val="000C6B05"/>
    <w:rsid w:val="000C6DD6"/>
    <w:rsid w:val="000C73D4"/>
    <w:rsid w:val="000C7FFE"/>
    <w:rsid w:val="000D35E9"/>
    <w:rsid w:val="000D3A2F"/>
    <w:rsid w:val="000D3C25"/>
    <w:rsid w:val="000D3D4C"/>
    <w:rsid w:val="000D4D83"/>
    <w:rsid w:val="000D4F51"/>
    <w:rsid w:val="000D5D65"/>
    <w:rsid w:val="000D6F23"/>
    <w:rsid w:val="000D718B"/>
    <w:rsid w:val="000D73CB"/>
    <w:rsid w:val="000E0C46"/>
    <w:rsid w:val="000E20E8"/>
    <w:rsid w:val="000E27A2"/>
    <w:rsid w:val="000E30AB"/>
    <w:rsid w:val="000E3905"/>
    <w:rsid w:val="000F030C"/>
    <w:rsid w:val="000F129C"/>
    <w:rsid w:val="000F52A6"/>
    <w:rsid w:val="000F5B1C"/>
    <w:rsid w:val="000F5D5C"/>
    <w:rsid w:val="001004EB"/>
    <w:rsid w:val="0010139E"/>
    <w:rsid w:val="00102086"/>
    <w:rsid w:val="001056DE"/>
    <w:rsid w:val="00105E7B"/>
    <w:rsid w:val="0010757C"/>
    <w:rsid w:val="001124C0"/>
    <w:rsid w:val="00112D08"/>
    <w:rsid w:val="001146DE"/>
    <w:rsid w:val="00115D2F"/>
    <w:rsid w:val="00122659"/>
    <w:rsid w:val="0012423D"/>
    <w:rsid w:val="001246FA"/>
    <w:rsid w:val="0012666B"/>
    <w:rsid w:val="001266A9"/>
    <w:rsid w:val="00126D59"/>
    <w:rsid w:val="00127B98"/>
    <w:rsid w:val="0013175F"/>
    <w:rsid w:val="0013321F"/>
    <w:rsid w:val="0013609B"/>
    <w:rsid w:val="00136C27"/>
    <w:rsid w:val="00142072"/>
    <w:rsid w:val="001438F4"/>
    <w:rsid w:val="00144894"/>
    <w:rsid w:val="001512B4"/>
    <w:rsid w:val="001522E8"/>
    <w:rsid w:val="00154D9C"/>
    <w:rsid w:val="001570BB"/>
    <w:rsid w:val="001620A5"/>
    <w:rsid w:val="00162358"/>
    <w:rsid w:val="0016384C"/>
    <w:rsid w:val="00163C29"/>
    <w:rsid w:val="0016498F"/>
    <w:rsid w:val="00164A93"/>
    <w:rsid w:val="00164E53"/>
    <w:rsid w:val="001653AB"/>
    <w:rsid w:val="001662B4"/>
    <w:rsid w:val="0016699D"/>
    <w:rsid w:val="0017362C"/>
    <w:rsid w:val="00174AE7"/>
    <w:rsid w:val="00174E86"/>
    <w:rsid w:val="00175159"/>
    <w:rsid w:val="00175172"/>
    <w:rsid w:val="00176208"/>
    <w:rsid w:val="00180D37"/>
    <w:rsid w:val="0018211B"/>
    <w:rsid w:val="001840D3"/>
    <w:rsid w:val="00185338"/>
    <w:rsid w:val="001900F8"/>
    <w:rsid w:val="00190AB9"/>
    <w:rsid w:val="00191258"/>
    <w:rsid w:val="00191A6D"/>
    <w:rsid w:val="00192680"/>
    <w:rsid w:val="00193037"/>
    <w:rsid w:val="00193A2C"/>
    <w:rsid w:val="001974E5"/>
    <w:rsid w:val="001A0994"/>
    <w:rsid w:val="001A1CD4"/>
    <w:rsid w:val="001A288E"/>
    <w:rsid w:val="001A631B"/>
    <w:rsid w:val="001A7213"/>
    <w:rsid w:val="001B308B"/>
    <w:rsid w:val="001B3204"/>
    <w:rsid w:val="001B3829"/>
    <w:rsid w:val="001B6DC2"/>
    <w:rsid w:val="001C0DDE"/>
    <w:rsid w:val="001C146E"/>
    <w:rsid w:val="001C149C"/>
    <w:rsid w:val="001C21AC"/>
    <w:rsid w:val="001C47BA"/>
    <w:rsid w:val="001C59EA"/>
    <w:rsid w:val="001D1723"/>
    <w:rsid w:val="001D1C1A"/>
    <w:rsid w:val="001D21BB"/>
    <w:rsid w:val="001D406C"/>
    <w:rsid w:val="001D41EE"/>
    <w:rsid w:val="001D4ADE"/>
    <w:rsid w:val="001D4B79"/>
    <w:rsid w:val="001D675F"/>
    <w:rsid w:val="001D6CEA"/>
    <w:rsid w:val="001E0380"/>
    <w:rsid w:val="001E11E4"/>
    <w:rsid w:val="001E13B1"/>
    <w:rsid w:val="001E3364"/>
    <w:rsid w:val="001E38C9"/>
    <w:rsid w:val="001E5F9D"/>
    <w:rsid w:val="001E7D6E"/>
    <w:rsid w:val="001F143A"/>
    <w:rsid w:val="001F37BB"/>
    <w:rsid w:val="001F3A19"/>
    <w:rsid w:val="001F5150"/>
    <w:rsid w:val="001F5F51"/>
    <w:rsid w:val="0020305A"/>
    <w:rsid w:val="002063E0"/>
    <w:rsid w:val="00211EE3"/>
    <w:rsid w:val="002128DC"/>
    <w:rsid w:val="002130E9"/>
    <w:rsid w:val="0021741F"/>
    <w:rsid w:val="00217F2E"/>
    <w:rsid w:val="00221CDD"/>
    <w:rsid w:val="00222FD8"/>
    <w:rsid w:val="00223CB1"/>
    <w:rsid w:val="00224E82"/>
    <w:rsid w:val="00225D29"/>
    <w:rsid w:val="0022731F"/>
    <w:rsid w:val="0023088B"/>
    <w:rsid w:val="002323C9"/>
    <w:rsid w:val="00232E92"/>
    <w:rsid w:val="00234467"/>
    <w:rsid w:val="00237D8D"/>
    <w:rsid w:val="002400D1"/>
    <w:rsid w:val="00241DA2"/>
    <w:rsid w:val="002421D0"/>
    <w:rsid w:val="002457C8"/>
    <w:rsid w:val="00246DFB"/>
    <w:rsid w:val="00247FEE"/>
    <w:rsid w:val="00250E7D"/>
    <w:rsid w:val="0025449C"/>
    <w:rsid w:val="002565D5"/>
    <w:rsid w:val="00261409"/>
    <w:rsid w:val="002622C0"/>
    <w:rsid w:val="002631F5"/>
    <w:rsid w:val="00263736"/>
    <w:rsid w:val="00264747"/>
    <w:rsid w:val="002666DC"/>
    <w:rsid w:val="002705E9"/>
    <w:rsid w:val="002709DD"/>
    <w:rsid w:val="00270D37"/>
    <w:rsid w:val="002711C1"/>
    <w:rsid w:val="002716EB"/>
    <w:rsid w:val="00274FDA"/>
    <w:rsid w:val="00275C7E"/>
    <w:rsid w:val="002778AE"/>
    <w:rsid w:val="0028269A"/>
    <w:rsid w:val="00282CFF"/>
    <w:rsid w:val="00283590"/>
    <w:rsid w:val="0028377D"/>
    <w:rsid w:val="00286973"/>
    <w:rsid w:val="0029036D"/>
    <w:rsid w:val="00293900"/>
    <w:rsid w:val="00294E70"/>
    <w:rsid w:val="00296446"/>
    <w:rsid w:val="002A1924"/>
    <w:rsid w:val="002A4B18"/>
    <w:rsid w:val="002A52E5"/>
    <w:rsid w:val="002A555C"/>
    <w:rsid w:val="002A6B06"/>
    <w:rsid w:val="002A6E57"/>
    <w:rsid w:val="002A71F5"/>
    <w:rsid w:val="002A7420"/>
    <w:rsid w:val="002B01A9"/>
    <w:rsid w:val="002B0F12"/>
    <w:rsid w:val="002B1308"/>
    <w:rsid w:val="002B154D"/>
    <w:rsid w:val="002B3A17"/>
    <w:rsid w:val="002B4554"/>
    <w:rsid w:val="002B502B"/>
    <w:rsid w:val="002B69B1"/>
    <w:rsid w:val="002C228C"/>
    <w:rsid w:val="002C2E92"/>
    <w:rsid w:val="002C3FF7"/>
    <w:rsid w:val="002C41E4"/>
    <w:rsid w:val="002C4279"/>
    <w:rsid w:val="002C4F8D"/>
    <w:rsid w:val="002C563B"/>
    <w:rsid w:val="002C70E5"/>
    <w:rsid w:val="002C72D8"/>
    <w:rsid w:val="002D0470"/>
    <w:rsid w:val="002D0D31"/>
    <w:rsid w:val="002D11FA"/>
    <w:rsid w:val="002D1DF9"/>
    <w:rsid w:val="002D3474"/>
    <w:rsid w:val="002D7E29"/>
    <w:rsid w:val="002E0DDF"/>
    <w:rsid w:val="002E143B"/>
    <w:rsid w:val="002E1440"/>
    <w:rsid w:val="002E2906"/>
    <w:rsid w:val="002E2E6C"/>
    <w:rsid w:val="002E49D1"/>
    <w:rsid w:val="002E4F5C"/>
    <w:rsid w:val="002E5635"/>
    <w:rsid w:val="002E5CF9"/>
    <w:rsid w:val="002E64C3"/>
    <w:rsid w:val="002E6A2C"/>
    <w:rsid w:val="002E7354"/>
    <w:rsid w:val="002F1D8C"/>
    <w:rsid w:val="002F21DA"/>
    <w:rsid w:val="002F3722"/>
    <w:rsid w:val="002F4F75"/>
    <w:rsid w:val="002F7487"/>
    <w:rsid w:val="0030170F"/>
    <w:rsid w:val="00301F39"/>
    <w:rsid w:val="0030591E"/>
    <w:rsid w:val="0030631E"/>
    <w:rsid w:val="00312750"/>
    <w:rsid w:val="00312B44"/>
    <w:rsid w:val="00312DA7"/>
    <w:rsid w:val="00315BE5"/>
    <w:rsid w:val="003170A8"/>
    <w:rsid w:val="00317BCC"/>
    <w:rsid w:val="00317C2B"/>
    <w:rsid w:val="003216D5"/>
    <w:rsid w:val="00323228"/>
    <w:rsid w:val="00325926"/>
    <w:rsid w:val="00325D30"/>
    <w:rsid w:val="00327A8A"/>
    <w:rsid w:val="00336610"/>
    <w:rsid w:val="00337B0B"/>
    <w:rsid w:val="00341EB6"/>
    <w:rsid w:val="00341FD7"/>
    <w:rsid w:val="00343F73"/>
    <w:rsid w:val="00345060"/>
    <w:rsid w:val="00345A2E"/>
    <w:rsid w:val="00350DB9"/>
    <w:rsid w:val="0035116B"/>
    <w:rsid w:val="00352742"/>
    <w:rsid w:val="0035323B"/>
    <w:rsid w:val="00353431"/>
    <w:rsid w:val="00356784"/>
    <w:rsid w:val="003609D2"/>
    <w:rsid w:val="00360DD2"/>
    <w:rsid w:val="00362867"/>
    <w:rsid w:val="00362B37"/>
    <w:rsid w:val="00362DCF"/>
    <w:rsid w:val="00363F22"/>
    <w:rsid w:val="003646CD"/>
    <w:rsid w:val="00365EA6"/>
    <w:rsid w:val="003663F5"/>
    <w:rsid w:val="00374C8B"/>
    <w:rsid w:val="00375564"/>
    <w:rsid w:val="00376D8E"/>
    <w:rsid w:val="003776A0"/>
    <w:rsid w:val="00380E50"/>
    <w:rsid w:val="00383134"/>
    <w:rsid w:val="00383191"/>
    <w:rsid w:val="003867B7"/>
    <w:rsid w:val="00386DED"/>
    <w:rsid w:val="003912E7"/>
    <w:rsid w:val="00393947"/>
    <w:rsid w:val="00394A10"/>
    <w:rsid w:val="00394EF6"/>
    <w:rsid w:val="003972FE"/>
    <w:rsid w:val="0039795B"/>
    <w:rsid w:val="003A0C2A"/>
    <w:rsid w:val="003A1535"/>
    <w:rsid w:val="003A2275"/>
    <w:rsid w:val="003A393E"/>
    <w:rsid w:val="003A6A4F"/>
    <w:rsid w:val="003A7088"/>
    <w:rsid w:val="003B00DF"/>
    <w:rsid w:val="003B1275"/>
    <w:rsid w:val="003B1778"/>
    <w:rsid w:val="003B2E09"/>
    <w:rsid w:val="003B2F1C"/>
    <w:rsid w:val="003B7AEB"/>
    <w:rsid w:val="003C07A9"/>
    <w:rsid w:val="003C0D54"/>
    <w:rsid w:val="003C11CB"/>
    <w:rsid w:val="003C477C"/>
    <w:rsid w:val="003C57AC"/>
    <w:rsid w:val="003C57B3"/>
    <w:rsid w:val="003C75F3"/>
    <w:rsid w:val="003C78A3"/>
    <w:rsid w:val="003C7E95"/>
    <w:rsid w:val="003D0E5F"/>
    <w:rsid w:val="003D341D"/>
    <w:rsid w:val="003E1140"/>
    <w:rsid w:val="003E1267"/>
    <w:rsid w:val="003E1867"/>
    <w:rsid w:val="003E40BE"/>
    <w:rsid w:val="003E5729"/>
    <w:rsid w:val="003E721C"/>
    <w:rsid w:val="003E7D72"/>
    <w:rsid w:val="003F07DE"/>
    <w:rsid w:val="003F1381"/>
    <w:rsid w:val="003F46B8"/>
    <w:rsid w:val="003F4E15"/>
    <w:rsid w:val="003F4EE0"/>
    <w:rsid w:val="004008AF"/>
    <w:rsid w:val="00402153"/>
    <w:rsid w:val="00402FC1"/>
    <w:rsid w:val="00404E4D"/>
    <w:rsid w:val="0040633F"/>
    <w:rsid w:val="004076AD"/>
    <w:rsid w:val="00410CF8"/>
    <w:rsid w:val="00411CB0"/>
    <w:rsid w:val="0041471D"/>
    <w:rsid w:val="00421B04"/>
    <w:rsid w:val="00422AF0"/>
    <w:rsid w:val="00425082"/>
    <w:rsid w:val="00426C56"/>
    <w:rsid w:val="004308A6"/>
    <w:rsid w:val="004309A9"/>
    <w:rsid w:val="00431DEB"/>
    <w:rsid w:val="00432504"/>
    <w:rsid w:val="00433692"/>
    <w:rsid w:val="00433F39"/>
    <w:rsid w:val="004360DF"/>
    <w:rsid w:val="0044623F"/>
    <w:rsid w:val="00446B29"/>
    <w:rsid w:val="0045004D"/>
    <w:rsid w:val="00453F9A"/>
    <w:rsid w:val="00453FE6"/>
    <w:rsid w:val="0045567B"/>
    <w:rsid w:val="0045638A"/>
    <w:rsid w:val="004576E3"/>
    <w:rsid w:val="004649D8"/>
    <w:rsid w:val="004655C7"/>
    <w:rsid w:val="0046625D"/>
    <w:rsid w:val="004673F0"/>
    <w:rsid w:val="00467958"/>
    <w:rsid w:val="004719BE"/>
    <w:rsid w:val="00471E91"/>
    <w:rsid w:val="00473EC9"/>
    <w:rsid w:val="004744E1"/>
    <w:rsid w:val="00474675"/>
    <w:rsid w:val="0047470C"/>
    <w:rsid w:val="004748F5"/>
    <w:rsid w:val="00475AA9"/>
    <w:rsid w:val="0047693B"/>
    <w:rsid w:val="00476D37"/>
    <w:rsid w:val="00480305"/>
    <w:rsid w:val="00481183"/>
    <w:rsid w:val="00484BFC"/>
    <w:rsid w:val="004A0CE6"/>
    <w:rsid w:val="004A1526"/>
    <w:rsid w:val="004A35F9"/>
    <w:rsid w:val="004A5D46"/>
    <w:rsid w:val="004A6881"/>
    <w:rsid w:val="004B057B"/>
    <w:rsid w:val="004B0D82"/>
    <w:rsid w:val="004B24C1"/>
    <w:rsid w:val="004B262F"/>
    <w:rsid w:val="004B2D99"/>
    <w:rsid w:val="004B3B82"/>
    <w:rsid w:val="004B49BE"/>
    <w:rsid w:val="004C292F"/>
    <w:rsid w:val="004C4866"/>
    <w:rsid w:val="004C563A"/>
    <w:rsid w:val="004C770E"/>
    <w:rsid w:val="004D232B"/>
    <w:rsid w:val="004D420D"/>
    <w:rsid w:val="004E1E37"/>
    <w:rsid w:val="004E3084"/>
    <w:rsid w:val="004E38B8"/>
    <w:rsid w:val="004E4D5E"/>
    <w:rsid w:val="004E7204"/>
    <w:rsid w:val="004F588F"/>
    <w:rsid w:val="004F6DD2"/>
    <w:rsid w:val="004F78CB"/>
    <w:rsid w:val="00502A68"/>
    <w:rsid w:val="00510280"/>
    <w:rsid w:val="00513679"/>
    <w:rsid w:val="0051367C"/>
    <w:rsid w:val="00513D73"/>
    <w:rsid w:val="00514A43"/>
    <w:rsid w:val="005174E5"/>
    <w:rsid w:val="00517BFA"/>
    <w:rsid w:val="00522393"/>
    <w:rsid w:val="00522620"/>
    <w:rsid w:val="0052324B"/>
    <w:rsid w:val="00525656"/>
    <w:rsid w:val="00530E66"/>
    <w:rsid w:val="00533FDA"/>
    <w:rsid w:val="00534C02"/>
    <w:rsid w:val="00541EDF"/>
    <w:rsid w:val="0054264B"/>
    <w:rsid w:val="00543786"/>
    <w:rsid w:val="00547306"/>
    <w:rsid w:val="005522F5"/>
    <w:rsid w:val="00552C8C"/>
    <w:rsid w:val="005533D7"/>
    <w:rsid w:val="00555723"/>
    <w:rsid w:val="00555B10"/>
    <w:rsid w:val="00557203"/>
    <w:rsid w:val="00560363"/>
    <w:rsid w:val="005631F7"/>
    <w:rsid w:val="00565962"/>
    <w:rsid w:val="00567B00"/>
    <w:rsid w:val="005703DE"/>
    <w:rsid w:val="00572E6C"/>
    <w:rsid w:val="00574B07"/>
    <w:rsid w:val="00576594"/>
    <w:rsid w:val="0058464E"/>
    <w:rsid w:val="0058558C"/>
    <w:rsid w:val="005870C5"/>
    <w:rsid w:val="00590EDC"/>
    <w:rsid w:val="00593D90"/>
    <w:rsid w:val="0059446D"/>
    <w:rsid w:val="00594590"/>
    <w:rsid w:val="00595CA2"/>
    <w:rsid w:val="00597C2D"/>
    <w:rsid w:val="005A01CB"/>
    <w:rsid w:val="005A07A5"/>
    <w:rsid w:val="005A4C33"/>
    <w:rsid w:val="005A58FF"/>
    <w:rsid w:val="005A5EAF"/>
    <w:rsid w:val="005A6115"/>
    <w:rsid w:val="005A64C0"/>
    <w:rsid w:val="005A70E0"/>
    <w:rsid w:val="005B1883"/>
    <w:rsid w:val="005B2E12"/>
    <w:rsid w:val="005B3077"/>
    <w:rsid w:val="005B3835"/>
    <w:rsid w:val="005B3C11"/>
    <w:rsid w:val="005B40BC"/>
    <w:rsid w:val="005B67B2"/>
    <w:rsid w:val="005C1349"/>
    <w:rsid w:val="005C1C28"/>
    <w:rsid w:val="005C2C9E"/>
    <w:rsid w:val="005C3ADE"/>
    <w:rsid w:val="005C3E3E"/>
    <w:rsid w:val="005C4697"/>
    <w:rsid w:val="005C4ACC"/>
    <w:rsid w:val="005C5B87"/>
    <w:rsid w:val="005C6DB5"/>
    <w:rsid w:val="005C7E9D"/>
    <w:rsid w:val="005D27AF"/>
    <w:rsid w:val="005D2B02"/>
    <w:rsid w:val="005D37B4"/>
    <w:rsid w:val="005D60F1"/>
    <w:rsid w:val="005E0325"/>
    <w:rsid w:val="005E079C"/>
    <w:rsid w:val="005E19E7"/>
    <w:rsid w:val="005E342D"/>
    <w:rsid w:val="005E3BA0"/>
    <w:rsid w:val="005E4244"/>
    <w:rsid w:val="005E62CE"/>
    <w:rsid w:val="005E647D"/>
    <w:rsid w:val="005E6C23"/>
    <w:rsid w:val="005F2A8B"/>
    <w:rsid w:val="005F2FDE"/>
    <w:rsid w:val="005F383B"/>
    <w:rsid w:val="005F3ED7"/>
    <w:rsid w:val="005F4727"/>
    <w:rsid w:val="005F4E1D"/>
    <w:rsid w:val="005F728A"/>
    <w:rsid w:val="00601E40"/>
    <w:rsid w:val="00601FCE"/>
    <w:rsid w:val="00602558"/>
    <w:rsid w:val="006043BD"/>
    <w:rsid w:val="00606BEE"/>
    <w:rsid w:val="006101C4"/>
    <w:rsid w:val="0061122B"/>
    <w:rsid w:val="00611D45"/>
    <w:rsid w:val="00611F71"/>
    <w:rsid w:val="00616EA1"/>
    <w:rsid w:val="0061716C"/>
    <w:rsid w:val="006172E4"/>
    <w:rsid w:val="006241FD"/>
    <w:rsid w:val="006243A1"/>
    <w:rsid w:val="00624CED"/>
    <w:rsid w:val="00625D76"/>
    <w:rsid w:val="00630EF5"/>
    <w:rsid w:val="00632E56"/>
    <w:rsid w:val="00633567"/>
    <w:rsid w:val="00634310"/>
    <w:rsid w:val="00634D9C"/>
    <w:rsid w:val="00635CBA"/>
    <w:rsid w:val="00637E22"/>
    <w:rsid w:val="00637EBE"/>
    <w:rsid w:val="0064338B"/>
    <w:rsid w:val="006434C0"/>
    <w:rsid w:val="00646542"/>
    <w:rsid w:val="00646896"/>
    <w:rsid w:val="006504F4"/>
    <w:rsid w:val="00654BC9"/>
    <w:rsid w:val="006552FD"/>
    <w:rsid w:val="00655319"/>
    <w:rsid w:val="0065615E"/>
    <w:rsid w:val="00656D1B"/>
    <w:rsid w:val="006573F9"/>
    <w:rsid w:val="00661256"/>
    <w:rsid w:val="0066177D"/>
    <w:rsid w:val="00662A52"/>
    <w:rsid w:val="006630E6"/>
    <w:rsid w:val="00663AF3"/>
    <w:rsid w:val="006666FA"/>
    <w:rsid w:val="00666B6C"/>
    <w:rsid w:val="0067101C"/>
    <w:rsid w:val="00671215"/>
    <w:rsid w:val="00671E19"/>
    <w:rsid w:val="00672ACD"/>
    <w:rsid w:val="006737AE"/>
    <w:rsid w:val="00674692"/>
    <w:rsid w:val="00674F50"/>
    <w:rsid w:val="006761C0"/>
    <w:rsid w:val="00676237"/>
    <w:rsid w:val="00677052"/>
    <w:rsid w:val="006801D7"/>
    <w:rsid w:val="00682682"/>
    <w:rsid w:val="00682702"/>
    <w:rsid w:val="00685A38"/>
    <w:rsid w:val="0068629D"/>
    <w:rsid w:val="00690847"/>
    <w:rsid w:val="00692368"/>
    <w:rsid w:val="00694241"/>
    <w:rsid w:val="006957CC"/>
    <w:rsid w:val="00696B12"/>
    <w:rsid w:val="00696C73"/>
    <w:rsid w:val="00697C14"/>
    <w:rsid w:val="006A092B"/>
    <w:rsid w:val="006A1003"/>
    <w:rsid w:val="006A1F4D"/>
    <w:rsid w:val="006A2EBC"/>
    <w:rsid w:val="006A2F06"/>
    <w:rsid w:val="006A316F"/>
    <w:rsid w:val="006A5EA0"/>
    <w:rsid w:val="006A783B"/>
    <w:rsid w:val="006A7B33"/>
    <w:rsid w:val="006A7FAE"/>
    <w:rsid w:val="006B0FED"/>
    <w:rsid w:val="006B25E7"/>
    <w:rsid w:val="006B3101"/>
    <w:rsid w:val="006B4E13"/>
    <w:rsid w:val="006B7442"/>
    <w:rsid w:val="006B75DD"/>
    <w:rsid w:val="006C1E4C"/>
    <w:rsid w:val="006C67E0"/>
    <w:rsid w:val="006C6EB6"/>
    <w:rsid w:val="006C7094"/>
    <w:rsid w:val="006C71C9"/>
    <w:rsid w:val="006C7ABA"/>
    <w:rsid w:val="006D0D60"/>
    <w:rsid w:val="006D1122"/>
    <w:rsid w:val="006D22B3"/>
    <w:rsid w:val="006D2352"/>
    <w:rsid w:val="006D3C00"/>
    <w:rsid w:val="006D5FB8"/>
    <w:rsid w:val="006D6CE6"/>
    <w:rsid w:val="006D6E16"/>
    <w:rsid w:val="006D7215"/>
    <w:rsid w:val="006E1D89"/>
    <w:rsid w:val="006E3675"/>
    <w:rsid w:val="006E4A7F"/>
    <w:rsid w:val="006E6BBF"/>
    <w:rsid w:val="006F2C27"/>
    <w:rsid w:val="006F44EC"/>
    <w:rsid w:val="00700A20"/>
    <w:rsid w:val="00700A91"/>
    <w:rsid w:val="00701E8C"/>
    <w:rsid w:val="007022A3"/>
    <w:rsid w:val="007043E7"/>
    <w:rsid w:val="00704DF6"/>
    <w:rsid w:val="0070651C"/>
    <w:rsid w:val="00712600"/>
    <w:rsid w:val="007132A3"/>
    <w:rsid w:val="00716421"/>
    <w:rsid w:val="007171E5"/>
    <w:rsid w:val="007215C3"/>
    <w:rsid w:val="00724EFB"/>
    <w:rsid w:val="0072549A"/>
    <w:rsid w:val="00725633"/>
    <w:rsid w:val="00726E30"/>
    <w:rsid w:val="00730126"/>
    <w:rsid w:val="00730585"/>
    <w:rsid w:val="00732F88"/>
    <w:rsid w:val="00733136"/>
    <w:rsid w:val="00733161"/>
    <w:rsid w:val="00733C09"/>
    <w:rsid w:val="00734A51"/>
    <w:rsid w:val="00736831"/>
    <w:rsid w:val="007373A7"/>
    <w:rsid w:val="007419C3"/>
    <w:rsid w:val="007467A7"/>
    <w:rsid w:val="007469DD"/>
    <w:rsid w:val="0074741B"/>
    <w:rsid w:val="0074759E"/>
    <w:rsid w:val="007478EA"/>
    <w:rsid w:val="0075415C"/>
    <w:rsid w:val="0075457F"/>
    <w:rsid w:val="007550A7"/>
    <w:rsid w:val="00757F08"/>
    <w:rsid w:val="007624F2"/>
    <w:rsid w:val="00762B09"/>
    <w:rsid w:val="00763502"/>
    <w:rsid w:val="00763BEE"/>
    <w:rsid w:val="007657CE"/>
    <w:rsid w:val="00766BB6"/>
    <w:rsid w:val="00767419"/>
    <w:rsid w:val="00767ED3"/>
    <w:rsid w:val="00781B42"/>
    <w:rsid w:val="0078392A"/>
    <w:rsid w:val="00783C0F"/>
    <w:rsid w:val="00784816"/>
    <w:rsid w:val="00784FFA"/>
    <w:rsid w:val="00790F0F"/>
    <w:rsid w:val="007913AB"/>
    <w:rsid w:val="007914F7"/>
    <w:rsid w:val="00791EB6"/>
    <w:rsid w:val="00794DDB"/>
    <w:rsid w:val="00796407"/>
    <w:rsid w:val="00797DE0"/>
    <w:rsid w:val="007A1425"/>
    <w:rsid w:val="007A3609"/>
    <w:rsid w:val="007A517E"/>
    <w:rsid w:val="007A54B6"/>
    <w:rsid w:val="007A74AB"/>
    <w:rsid w:val="007A74E3"/>
    <w:rsid w:val="007B1625"/>
    <w:rsid w:val="007B170B"/>
    <w:rsid w:val="007B706E"/>
    <w:rsid w:val="007B71EB"/>
    <w:rsid w:val="007C6205"/>
    <w:rsid w:val="007C686A"/>
    <w:rsid w:val="007C728E"/>
    <w:rsid w:val="007D1661"/>
    <w:rsid w:val="007D2C53"/>
    <w:rsid w:val="007D3D60"/>
    <w:rsid w:val="007D5A11"/>
    <w:rsid w:val="007D5F98"/>
    <w:rsid w:val="007E1980"/>
    <w:rsid w:val="007E2C51"/>
    <w:rsid w:val="007E3111"/>
    <w:rsid w:val="007E356D"/>
    <w:rsid w:val="007E44C9"/>
    <w:rsid w:val="007E4765"/>
    <w:rsid w:val="007E4B76"/>
    <w:rsid w:val="007E4C16"/>
    <w:rsid w:val="007E5329"/>
    <w:rsid w:val="007E5B80"/>
    <w:rsid w:val="007E5EA8"/>
    <w:rsid w:val="007E72C7"/>
    <w:rsid w:val="007F0CF1"/>
    <w:rsid w:val="007F12A5"/>
    <w:rsid w:val="007F1EF5"/>
    <w:rsid w:val="007F2FD1"/>
    <w:rsid w:val="007F3202"/>
    <w:rsid w:val="007F37A4"/>
    <w:rsid w:val="007F4CF1"/>
    <w:rsid w:val="007F758D"/>
    <w:rsid w:val="007F7B67"/>
    <w:rsid w:val="007F7D52"/>
    <w:rsid w:val="00802137"/>
    <w:rsid w:val="008047AB"/>
    <w:rsid w:val="0080654C"/>
    <w:rsid w:val="008071C6"/>
    <w:rsid w:val="0081040C"/>
    <w:rsid w:val="0081381D"/>
    <w:rsid w:val="008139E8"/>
    <w:rsid w:val="00814DE0"/>
    <w:rsid w:val="00814F14"/>
    <w:rsid w:val="00817A00"/>
    <w:rsid w:val="00821366"/>
    <w:rsid w:val="0082267D"/>
    <w:rsid w:val="00823CF0"/>
    <w:rsid w:val="0083044F"/>
    <w:rsid w:val="00833B27"/>
    <w:rsid w:val="0083400D"/>
    <w:rsid w:val="00835C56"/>
    <w:rsid w:val="00835DB3"/>
    <w:rsid w:val="0083617B"/>
    <w:rsid w:val="008371BD"/>
    <w:rsid w:val="0084350D"/>
    <w:rsid w:val="00844072"/>
    <w:rsid w:val="008504A8"/>
    <w:rsid w:val="00850D51"/>
    <w:rsid w:val="0085282E"/>
    <w:rsid w:val="008538F5"/>
    <w:rsid w:val="008544A2"/>
    <w:rsid w:val="00855546"/>
    <w:rsid w:val="00863D8B"/>
    <w:rsid w:val="00865A53"/>
    <w:rsid w:val="00866CEA"/>
    <w:rsid w:val="0087198C"/>
    <w:rsid w:val="00872C1F"/>
    <w:rsid w:val="0087315A"/>
    <w:rsid w:val="0087395C"/>
    <w:rsid w:val="00873B42"/>
    <w:rsid w:val="00877A95"/>
    <w:rsid w:val="00880237"/>
    <w:rsid w:val="008806CD"/>
    <w:rsid w:val="0088226C"/>
    <w:rsid w:val="00884276"/>
    <w:rsid w:val="008856D8"/>
    <w:rsid w:val="008860C8"/>
    <w:rsid w:val="00886C9A"/>
    <w:rsid w:val="008874B2"/>
    <w:rsid w:val="00890892"/>
    <w:rsid w:val="00892E82"/>
    <w:rsid w:val="00894268"/>
    <w:rsid w:val="0089557D"/>
    <w:rsid w:val="00896147"/>
    <w:rsid w:val="008A115C"/>
    <w:rsid w:val="008A3204"/>
    <w:rsid w:val="008A3C2D"/>
    <w:rsid w:val="008A3E75"/>
    <w:rsid w:val="008A4F00"/>
    <w:rsid w:val="008B4037"/>
    <w:rsid w:val="008B4056"/>
    <w:rsid w:val="008C1094"/>
    <w:rsid w:val="008C1B58"/>
    <w:rsid w:val="008C1FD4"/>
    <w:rsid w:val="008C39AE"/>
    <w:rsid w:val="008C3FD1"/>
    <w:rsid w:val="008C590D"/>
    <w:rsid w:val="008C5E2F"/>
    <w:rsid w:val="008C6B94"/>
    <w:rsid w:val="008D240A"/>
    <w:rsid w:val="008D3F22"/>
    <w:rsid w:val="008D7B31"/>
    <w:rsid w:val="008E031B"/>
    <w:rsid w:val="008E65C4"/>
    <w:rsid w:val="008E7029"/>
    <w:rsid w:val="008E7EF6"/>
    <w:rsid w:val="008F06E0"/>
    <w:rsid w:val="008F1142"/>
    <w:rsid w:val="008F1F98"/>
    <w:rsid w:val="008F58D5"/>
    <w:rsid w:val="008F6758"/>
    <w:rsid w:val="008F7A61"/>
    <w:rsid w:val="009040DD"/>
    <w:rsid w:val="009046C5"/>
    <w:rsid w:val="00905B47"/>
    <w:rsid w:val="0091331C"/>
    <w:rsid w:val="009203BF"/>
    <w:rsid w:val="00921EC4"/>
    <w:rsid w:val="009279DE"/>
    <w:rsid w:val="00930116"/>
    <w:rsid w:val="00934AA9"/>
    <w:rsid w:val="00935A99"/>
    <w:rsid w:val="00937C9B"/>
    <w:rsid w:val="009416A7"/>
    <w:rsid w:val="0094212C"/>
    <w:rsid w:val="00942399"/>
    <w:rsid w:val="00945C8B"/>
    <w:rsid w:val="00946C0C"/>
    <w:rsid w:val="00947100"/>
    <w:rsid w:val="00954689"/>
    <w:rsid w:val="009553A3"/>
    <w:rsid w:val="009555A0"/>
    <w:rsid w:val="00955D97"/>
    <w:rsid w:val="00955D98"/>
    <w:rsid w:val="0096171D"/>
    <w:rsid w:val="009617C9"/>
    <w:rsid w:val="00961C93"/>
    <w:rsid w:val="0096287D"/>
    <w:rsid w:val="00962952"/>
    <w:rsid w:val="00965324"/>
    <w:rsid w:val="00966270"/>
    <w:rsid w:val="00970305"/>
    <w:rsid w:val="0097091E"/>
    <w:rsid w:val="0097095A"/>
    <w:rsid w:val="009732DD"/>
    <w:rsid w:val="009760D3"/>
    <w:rsid w:val="00977132"/>
    <w:rsid w:val="0098165D"/>
    <w:rsid w:val="00981A4B"/>
    <w:rsid w:val="00982501"/>
    <w:rsid w:val="009850B2"/>
    <w:rsid w:val="00986757"/>
    <w:rsid w:val="00986AAC"/>
    <w:rsid w:val="00986ACB"/>
    <w:rsid w:val="009877D3"/>
    <w:rsid w:val="0099237C"/>
    <w:rsid w:val="00993224"/>
    <w:rsid w:val="009937D2"/>
    <w:rsid w:val="00994897"/>
    <w:rsid w:val="00994E8F"/>
    <w:rsid w:val="009951DC"/>
    <w:rsid w:val="009959BB"/>
    <w:rsid w:val="00996E18"/>
    <w:rsid w:val="00997158"/>
    <w:rsid w:val="009A2453"/>
    <w:rsid w:val="009A3A7C"/>
    <w:rsid w:val="009A4811"/>
    <w:rsid w:val="009A632B"/>
    <w:rsid w:val="009B1938"/>
    <w:rsid w:val="009B26A1"/>
    <w:rsid w:val="009B2ADB"/>
    <w:rsid w:val="009B3777"/>
    <w:rsid w:val="009B3EE4"/>
    <w:rsid w:val="009B603A"/>
    <w:rsid w:val="009B6A9F"/>
    <w:rsid w:val="009B6B41"/>
    <w:rsid w:val="009B793A"/>
    <w:rsid w:val="009C021F"/>
    <w:rsid w:val="009C23D6"/>
    <w:rsid w:val="009C2D0E"/>
    <w:rsid w:val="009C3269"/>
    <w:rsid w:val="009C332C"/>
    <w:rsid w:val="009C3DAC"/>
    <w:rsid w:val="009C42E0"/>
    <w:rsid w:val="009C5448"/>
    <w:rsid w:val="009C6BD5"/>
    <w:rsid w:val="009D0364"/>
    <w:rsid w:val="009D1887"/>
    <w:rsid w:val="009D1B14"/>
    <w:rsid w:val="009D31F5"/>
    <w:rsid w:val="009D41E5"/>
    <w:rsid w:val="009D4A3E"/>
    <w:rsid w:val="009D5362"/>
    <w:rsid w:val="009D76B6"/>
    <w:rsid w:val="009E1415"/>
    <w:rsid w:val="009E37D6"/>
    <w:rsid w:val="009E6116"/>
    <w:rsid w:val="009F0127"/>
    <w:rsid w:val="009F69F7"/>
    <w:rsid w:val="00A0117B"/>
    <w:rsid w:val="00A01556"/>
    <w:rsid w:val="00A01842"/>
    <w:rsid w:val="00A02E43"/>
    <w:rsid w:val="00A03C60"/>
    <w:rsid w:val="00A06340"/>
    <w:rsid w:val="00A065F9"/>
    <w:rsid w:val="00A07F34"/>
    <w:rsid w:val="00A11ECD"/>
    <w:rsid w:val="00A13D17"/>
    <w:rsid w:val="00A162F9"/>
    <w:rsid w:val="00A16A1A"/>
    <w:rsid w:val="00A2148E"/>
    <w:rsid w:val="00A22154"/>
    <w:rsid w:val="00A25C38"/>
    <w:rsid w:val="00A31C96"/>
    <w:rsid w:val="00A32C27"/>
    <w:rsid w:val="00A32C8E"/>
    <w:rsid w:val="00A335CD"/>
    <w:rsid w:val="00A3432C"/>
    <w:rsid w:val="00A36BBE"/>
    <w:rsid w:val="00A36F8C"/>
    <w:rsid w:val="00A41943"/>
    <w:rsid w:val="00A41B6F"/>
    <w:rsid w:val="00A4307A"/>
    <w:rsid w:val="00A43EE6"/>
    <w:rsid w:val="00A47EBB"/>
    <w:rsid w:val="00A50211"/>
    <w:rsid w:val="00A51CDD"/>
    <w:rsid w:val="00A5504E"/>
    <w:rsid w:val="00A552A7"/>
    <w:rsid w:val="00A56765"/>
    <w:rsid w:val="00A66C06"/>
    <w:rsid w:val="00A6730D"/>
    <w:rsid w:val="00A71625"/>
    <w:rsid w:val="00A71B9B"/>
    <w:rsid w:val="00A74C0A"/>
    <w:rsid w:val="00A751C7"/>
    <w:rsid w:val="00A7636D"/>
    <w:rsid w:val="00A777B1"/>
    <w:rsid w:val="00A804EE"/>
    <w:rsid w:val="00A808FF"/>
    <w:rsid w:val="00A82469"/>
    <w:rsid w:val="00A8363F"/>
    <w:rsid w:val="00A83EF5"/>
    <w:rsid w:val="00A84858"/>
    <w:rsid w:val="00A86625"/>
    <w:rsid w:val="00A87844"/>
    <w:rsid w:val="00A87C2D"/>
    <w:rsid w:val="00A903BD"/>
    <w:rsid w:val="00A92A1D"/>
    <w:rsid w:val="00A95B4A"/>
    <w:rsid w:val="00A963B1"/>
    <w:rsid w:val="00A96E10"/>
    <w:rsid w:val="00A974AD"/>
    <w:rsid w:val="00AA038C"/>
    <w:rsid w:val="00AA13C7"/>
    <w:rsid w:val="00AA247B"/>
    <w:rsid w:val="00AA7A09"/>
    <w:rsid w:val="00AB0EFB"/>
    <w:rsid w:val="00AB1CE9"/>
    <w:rsid w:val="00AB23A0"/>
    <w:rsid w:val="00AB3B50"/>
    <w:rsid w:val="00AB52CB"/>
    <w:rsid w:val="00AC05B1"/>
    <w:rsid w:val="00AC0976"/>
    <w:rsid w:val="00AC135A"/>
    <w:rsid w:val="00AC3382"/>
    <w:rsid w:val="00AC4529"/>
    <w:rsid w:val="00AC470B"/>
    <w:rsid w:val="00AC4F17"/>
    <w:rsid w:val="00AC52BF"/>
    <w:rsid w:val="00AC5945"/>
    <w:rsid w:val="00AC605F"/>
    <w:rsid w:val="00AC6AAB"/>
    <w:rsid w:val="00AD0508"/>
    <w:rsid w:val="00AD07AB"/>
    <w:rsid w:val="00AD0F08"/>
    <w:rsid w:val="00AD1B37"/>
    <w:rsid w:val="00AD2EB2"/>
    <w:rsid w:val="00AD340A"/>
    <w:rsid w:val="00AD356C"/>
    <w:rsid w:val="00AD3A45"/>
    <w:rsid w:val="00AD5D09"/>
    <w:rsid w:val="00AE06F4"/>
    <w:rsid w:val="00AE2914"/>
    <w:rsid w:val="00AE6D15"/>
    <w:rsid w:val="00AE7764"/>
    <w:rsid w:val="00AE7B31"/>
    <w:rsid w:val="00AF0395"/>
    <w:rsid w:val="00AF311B"/>
    <w:rsid w:val="00AF484F"/>
    <w:rsid w:val="00AF69BC"/>
    <w:rsid w:val="00B04182"/>
    <w:rsid w:val="00B05871"/>
    <w:rsid w:val="00B07AE3"/>
    <w:rsid w:val="00B11430"/>
    <w:rsid w:val="00B11AA7"/>
    <w:rsid w:val="00B1256F"/>
    <w:rsid w:val="00B12573"/>
    <w:rsid w:val="00B13B41"/>
    <w:rsid w:val="00B17F85"/>
    <w:rsid w:val="00B20D10"/>
    <w:rsid w:val="00B24091"/>
    <w:rsid w:val="00B25E1F"/>
    <w:rsid w:val="00B277B7"/>
    <w:rsid w:val="00B31D84"/>
    <w:rsid w:val="00B3323A"/>
    <w:rsid w:val="00B353EB"/>
    <w:rsid w:val="00B376F1"/>
    <w:rsid w:val="00B37748"/>
    <w:rsid w:val="00B42088"/>
    <w:rsid w:val="00B439C4"/>
    <w:rsid w:val="00B44073"/>
    <w:rsid w:val="00B44D65"/>
    <w:rsid w:val="00B4535E"/>
    <w:rsid w:val="00B46434"/>
    <w:rsid w:val="00B47CE3"/>
    <w:rsid w:val="00B51802"/>
    <w:rsid w:val="00B51962"/>
    <w:rsid w:val="00B529D4"/>
    <w:rsid w:val="00B52A8C"/>
    <w:rsid w:val="00B53BFF"/>
    <w:rsid w:val="00B54061"/>
    <w:rsid w:val="00B56996"/>
    <w:rsid w:val="00B60DE7"/>
    <w:rsid w:val="00B632C4"/>
    <w:rsid w:val="00B636A8"/>
    <w:rsid w:val="00B665C6"/>
    <w:rsid w:val="00B6723A"/>
    <w:rsid w:val="00B71E85"/>
    <w:rsid w:val="00B72F5D"/>
    <w:rsid w:val="00B73699"/>
    <w:rsid w:val="00B73FAE"/>
    <w:rsid w:val="00B74B4C"/>
    <w:rsid w:val="00B755C7"/>
    <w:rsid w:val="00B75AE3"/>
    <w:rsid w:val="00B7614B"/>
    <w:rsid w:val="00B803B2"/>
    <w:rsid w:val="00B805AF"/>
    <w:rsid w:val="00B81E26"/>
    <w:rsid w:val="00B83C35"/>
    <w:rsid w:val="00B86870"/>
    <w:rsid w:val="00B869EC"/>
    <w:rsid w:val="00B9397A"/>
    <w:rsid w:val="00B945E4"/>
    <w:rsid w:val="00B9633D"/>
    <w:rsid w:val="00BA0352"/>
    <w:rsid w:val="00BA252B"/>
    <w:rsid w:val="00BA2EBE"/>
    <w:rsid w:val="00BA38EE"/>
    <w:rsid w:val="00BA3D56"/>
    <w:rsid w:val="00BA61C6"/>
    <w:rsid w:val="00BA6B14"/>
    <w:rsid w:val="00BB0F28"/>
    <w:rsid w:val="00BB2175"/>
    <w:rsid w:val="00BB2749"/>
    <w:rsid w:val="00BB458A"/>
    <w:rsid w:val="00BB69EC"/>
    <w:rsid w:val="00BB71FB"/>
    <w:rsid w:val="00BC0AF3"/>
    <w:rsid w:val="00BC3D16"/>
    <w:rsid w:val="00BC4482"/>
    <w:rsid w:val="00BC7090"/>
    <w:rsid w:val="00BC7735"/>
    <w:rsid w:val="00BD00D3"/>
    <w:rsid w:val="00BD1659"/>
    <w:rsid w:val="00BD1FA2"/>
    <w:rsid w:val="00BD3AA9"/>
    <w:rsid w:val="00BD497C"/>
    <w:rsid w:val="00BD4A18"/>
    <w:rsid w:val="00BD6C7B"/>
    <w:rsid w:val="00BD6DB2"/>
    <w:rsid w:val="00BE0A73"/>
    <w:rsid w:val="00BE11CF"/>
    <w:rsid w:val="00BE1267"/>
    <w:rsid w:val="00BE21AB"/>
    <w:rsid w:val="00BE27A8"/>
    <w:rsid w:val="00BE28A4"/>
    <w:rsid w:val="00BE55CB"/>
    <w:rsid w:val="00BE5DEC"/>
    <w:rsid w:val="00BE6743"/>
    <w:rsid w:val="00BE6E65"/>
    <w:rsid w:val="00BE7566"/>
    <w:rsid w:val="00BF2269"/>
    <w:rsid w:val="00BF3A04"/>
    <w:rsid w:val="00BF3E5F"/>
    <w:rsid w:val="00BF406E"/>
    <w:rsid w:val="00BF461A"/>
    <w:rsid w:val="00BF6039"/>
    <w:rsid w:val="00BF617A"/>
    <w:rsid w:val="00BF7B9E"/>
    <w:rsid w:val="00C02409"/>
    <w:rsid w:val="00C0379D"/>
    <w:rsid w:val="00C03931"/>
    <w:rsid w:val="00C05FE3"/>
    <w:rsid w:val="00C07A05"/>
    <w:rsid w:val="00C10880"/>
    <w:rsid w:val="00C10E93"/>
    <w:rsid w:val="00C11A4C"/>
    <w:rsid w:val="00C12F20"/>
    <w:rsid w:val="00C212F2"/>
    <w:rsid w:val="00C2136D"/>
    <w:rsid w:val="00C214EE"/>
    <w:rsid w:val="00C2314B"/>
    <w:rsid w:val="00C23CB9"/>
    <w:rsid w:val="00C24971"/>
    <w:rsid w:val="00C26BE5"/>
    <w:rsid w:val="00C26E4D"/>
    <w:rsid w:val="00C27909"/>
    <w:rsid w:val="00C27B03"/>
    <w:rsid w:val="00C314E1"/>
    <w:rsid w:val="00C32D96"/>
    <w:rsid w:val="00C34397"/>
    <w:rsid w:val="00C370D9"/>
    <w:rsid w:val="00C3774B"/>
    <w:rsid w:val="00C40004"/>
    <w:rsid w:val="00C4095D"/>
    <w:rsid w:val="00C41C35"/>
    <w:rsid w:val="00C4686B"/>
    <w:rsid w:val="00C46FC3"/>
    <w:rsid w:val="00C474F7"/>
    <w:rsid w:val="00C47F65"/>
    <w:rsid w:val="00C51F16"/>
    <w:rsid w:val="00C577A2"/>
    <w:rsid w:val="00C601D2"/>
    <w:rsid w:val="00C635D7"/>
    <w:rsid w:val="00C639C8"/>
    <w:rsid w:val="00C650BC"/>
    <w:rsid w:val="00C65BCC"/>
    <w:rsid w:val="00C66970"/>
    <w:rsid w:val="00C669F5"/>
    <w:rsid w:val="00C742F2"/>
    <w:rsid w:val="00C74B08"/>
    <w:rsid w:val="00C74CA3"/>
    <w:rsid w:val="00C74D18"/>
    <w:rsid w:val="00C7702D"/>
    <w:rsid w:val="00C779EA"/>
    <w:rsid w:val="00C80E5D"/>
    <w:rsid w:val="00C826BD"/>
    <w:rsid w:val="00C861B4"/>
    <w:rsid w:val="00C8691C"/>
    <w:rsid w:val="00C86979"/>
    <w:rsid w:val="00C927C0"/>
    <w:rsid w:val="00C92D13"/>
    <w:rsid w:val="00C932EC"/>
    <w:rsid w:val="00C9782D"/>
    <w:rsid w:val="00CA168A"/>
    <w:rsid w:val="00CA357E"/>
    <w:rsid w:val="00CA44F9"/>
    <w:rsid w:val="00CA4A69"/>
    <w:rsid w:val="00CA7329"/>
    <w:rsid w:val="00CB2CB7"/>
    <w:rsid w:val="00CB786F"/>
    <w:rsid w:val="00CC1EC0"/>
    <w:rsid w:val="00CC3318"/>
    <w:rsid w:val="00CC3E0C"/>
    <w:rsid w:val="00CC4836"/>
    <w:rsid w:val="00CC58D3"/>
    <w:rsid w:val="00CC6947"/>
    <w:rsid w:val="00CC784D"/>
    <w:rsid w:val="00CD5B3B"/>
    <w:rsid w:val="00CD64FC"/>
    <w:rsid w:val="00CE136C"/>
    <w:rsid w:val="00CE1620"/>
    <w:rsid w:val="00CE1A5B"/>
    <w:rsid w:val="00CE34B0"/>
    <w:rsid w:val="00CE3CD1"/>
    <w:rsid w:val="00CE4039"/>
    <w:rsid w:val="00CE7023"/>
    <w:rsid w:val="00CF0D98"/>
    <w:rsid w:val="00CF0DDE"/>
    <w:rsid w:val="00CF19D7"/>
    <w:rsid w:val="00CF5474"/>
    <w:rsid w:val="00CF5EA0"/>
    <w:rsid w:val="00D001CC"/>
    <w:rsid w:val="00D01B62"/>
    <w:rsid w:val="00D0337B"/>
    <w:rsid w:val="00D035BD"/>
    <w:rsid w:val="00D05AF9"/>
    <w:rsid w:val="00D06C2A"/>
    <w:rsid w:val="00D0795B"/>
    <w:rsid w:val="00D079B2"/>
    <w:rsid w:val="00D114E9"/>
    <w:rsid w:val="00D123E3"/>
    <w:rsid w:val="00D12CFB"/>
    <w:rsid w:val="00D16BFA"/>
    <w:rsid w:val="00D2341D"/>
    <w:rsid w:val="00D26AF6"/>
    <w:rsid w:val="00D319DE"/>
    <w:rsid w:val="00D31AD4"/>
    <w:rsid w:val="00D33CEB"/>
    <w:rsid w:val="00D33E23"/>
    <w:rsid w:val="00D40BD2"/>
    <w:rsid w:val="00D40F7E"/>
    <w:rsid w:val="00D4164A"/>
    <w:rsid w:val="00D429C6"/>
    <w:rsid w:val="00D4495A"/>
    <w:rsid w:val="00D44BC9"/>
    <w:rsid w:val="00D45661"/>
    <w:rsid w:val="00D46881"/>
    <w:rsid w:val="00D47748"/>
    <w:rsid w:val="00D5273D"/>
    <w:rsid w:val="00D54CC3"/>
    <w:rsid w:val="00D5538B"/>
    <w:rsid w:val="00D57661"/>
    <w:rsid w:val="00D57C18"/>
    <w:rsid w:val="00D60193"/>
    <w:rsid w:val="00D6041A"/>
    <w:rsid w:val="00D60ED8"/>
    <w:rsid w:val="00D613D5"/>
    <w:rsid w:val="00D633EB"/>
    <w:rsid w:val="00D6375C"/>
    <w:rsid w:val="00D63C9F"/>
    <w:rsid w:val="00D65453"/>
    <w:rsid w:val="00D6575B"/>
    <w:rsid w:val="00D65F39"/>
    <w:rsid w:val="00D66B01"/>
    <w:rsid w:val="00D71080"/>
    <w:rsid w:val="00D7119D"/>
    <w:rsid w:val="00D7447C"/>
    <w:rsid w:val="00D7509E"/>
    <w:rsid w:val="00D752E6"/>
    <w:rsid w:val="00D7653F"/>
    <w:rsid w:val="00D76B3D"/>
    <w:rsid w:val="00D8057C"/>
    <w:rsid w:val="00D82FF7"/>
    <w:rsid w:val="00D83623"/>
    <w:rsid w:val="00D847FE"/>
    <w:rsid w:val="00D87521"/>
    <w:rsid w:val="00D91A22"/>
    <w:rsid w:val="00D921EC"/>
    <w:rsid w:val="00D93BEE"/>
    <w:rsid w:val="00D95555"/>
    <w:rsid w:val="00D964EA"/>
    <w:rsid w:val="00D966D0"/>
    <w:rsid w:val="00D976A4"/>
    <w:rsid w:val="00D978F0"/>
    <w:rsid w:val="00DA03D4"/>
    <w:rsid w:val="00DA0C59"/>
    <w:rsid w:val="00DA287B"/>
    <w:rsid w:val="00DA3991"/>
    <w:rsid w:val="00DB23D6"/>
    <w:rsid w:val="00DB3228"/>
    <w:rsid w:val="00DB3364"/>
    <w:rsid w:val="00DB5540"/>
    <w:rsid w:val="00DB76DC"/>
    <w:rsid w:val="00DB7E6C"/>
    <w:rsid w:val="00DC06F8"/>
    <w:rsid w:val="00DC1383"/>
    <w:rsid w:val="00DC48C4"/>
    <w:rsid w:val="00DC5982"/>
    <w:rsid w:val="00DC6B15"/>
    <w:rsid w:val="00DC7633"/>
    <w:rsid w:val="00DD17A2"/>
    <w:rsid w:val="00DD2244"/>
    <w:rsid w:val="00DD5854"/>
    <w:rsid w:val="00DD5A29"/>
    <w:rsid w:val="00DD5D9D"/>
    <w:rsid w:val="00DD5DE5"/>
    <w:rsid w:val="00DD7546"/>
    <w:rsid w:val="00DE1540"/>
    <w:rsid w:val="00DE35CB"/>
    <w:rsid w:val="00DE373A"/>
    <w:rsid w:val="00DE47D1"/>
    <w:rsid w:val="00DE49CF"/>
    <w:rsid w:val="00DF14C9"/>
    <w:rsid w:val="00DF193A"/>
    <w:rsid w:val="00DF21E9"/>
    <w:rsid w:val="00DF3231"/>
    <w:rsid w:val="00DF3F46"/>
    <w:rsid w:val="00DF5A98"/>
    <w:rsid w:val="00DF6666"/>
    <w:rsid w:val="00DF7763"/>
    <w:rsid w:val="00E00F14"/>
    <w:rsid w:val="00E0176F"/>
    <w:rsid w:val="00E03A86"/>
    <w:rsid w:val="00E06281"/>
    <w:rsid w:val="00E06386"/>
    <w:rsid w:val="00E07A84"/>
    <w:rsid w:val="00E10B96"/>
    <w:rsid w:val="00E11490"/>
    <w:rsid w:val="00E12819"/>
    <w:rsid w:val="00E24148"/>
    <w:rsid w:val="00E24EB4"/>
    <w:rsid w:val="00E312DA"/>
    <w:rsid w:val="00E320ED"/>
    <w:rsid w:val="00E32163"/>
    <w:rsid w:val="00E3264D"/>
    <w:rsid w:val="00E3362A"/>
    <w:rsid w:val="00E33AFB"/>
    <w:rsid w:val="00E33B2F"/>
    <w:rsid w:val="00E33C4D"/>
    <w:rsid w:val="00E34218"/>
    <w:rsid w:val="00E34AD0"/>
    <w:rsid w:val="00E4102A"/>
    <w:rsid w:val="00E41790"/>
    <w:rsid w:val="00E42C02"/>
    <w:rsid w:val="00E436A1"/>
    <w:rsid w:val="00E45222"/>
    <w:rsid w:val="00E46282"/>
    <w:rsid w:val="00E46680"/>
    <w:rsid w:val="00E46BD4"/>
    <w:rsid w:val="00E51778"/>
    <w:rsid w:val="00E5216E"/>
    <w:rsid w:val="00E5381D"/>
    <w:rsid w:val="00E54486"/>
    <w:rsid w:val="00E5614E"/>
    <w:rsid w:val="00E57BDE"/>
    <w:rsid w:val="00E61644"/>
    <w:rsid w:val="00E6188F"/>
    <w:rsid w:val="00E63050"/>
    <w:rsid w:val="00E64AA4"/>
    <w:rsid w:val="00E70162"/>
    <w:rsid w:val="00E72650"/>
    <w:rsid w:val="00E72ADB"/>
    <w:rsid w:val="00E73B55"/>
    <w:rsid w:val="00E74249"/>
    <w:rsid w:val="00E772CE"/>
    <w:rsid w:val="00E81A6A"/>
    <w:rsid w:val="00E81AAC"/>
    <w:rsid w:val="00E82344"/>
    <w:rsid w:val="00E82CF5"/>
    <w:rsid w:val="00E8451E"/>
    <w:rsid w:val="00E84C82"/>
    <w:rsid w:val="00E84D00"/>
    <w:rsid w:val="00E84D3F"/>
    <w:rsid w:val="00E84D64"/>
    <w:rsid w:val="00E867D6"/>
    <w:rsid w:val="00E87408"/>
    <w:rsid w:val="00E914C4"/>
    <w:rsid w:val="00E91641"/>
    <w:rsid w:val="00E934F5"/>
    <w:rsid w:val="00E93C21"/>
    <w:rsid w:val="00E96961"/>
    <w:rsid w:val="00E9704D"/>
    <w:rsid w:val="00EA72EC"/>
    <w:rsid w:val="00EB11CB"/>
    <w:rsid w:val="00EB275A"/>
    <w:rsid w:val="00EB3EFE"/>
    <w:rsid w:val="00EB612A"/>
    <w:rsid w:val="00EB786A"/>
    <w:rsid w:val="00EC1578"/>
    <w:rsid w:val="00EC1C72"/>
    <w:rsid w:val="00EC2B5A"/>
    <w:rsid w:val="00EC3CC9"/>
    <w:rsid w:val="00EC680A"/>
    <w:rsid w:val="00EC7195"/>
    <w:rsid w:val="00ED078F"/>
    <w:rsid w:val="00ED2E5F"/>
    <w:rsid w:val="00ED30FF"/>
    <w:rsid w:val="00ED5E53"/>
    <w:rsid w:val="00ED7F5E"/>
    <w:rsid w:val="00EE13B6"/>
    <w:rsid w:val="00EE2BED"/>
    <w:rsid w:val="00EE374B"/>
    <w:rsid w:val="00EE40ED"/>
    <w:rsid w:val="00EE4F04"/>
    <w:rsid w:val="00EF0996"/>
    <w:rsid w:val="00EF1B75"/>
    <w:rsid w:val="00EF267A"/>
    <w:rsid w:val="00EF3833"/>
    <w:rsid w:val="00F040AE"/>
    <w:rsid w:val="00F10C54"/>
    <w:rsid w:val="00F11BB5"/>
    <w:rsid w:val="00F1417B"/>
    <w:rsid w:val="00F1513D"/>
    <w:rsid w:val="00F158AA"/>
    <w:rsid w:val="00F16C52"/>
    <w:rsid w:val="00F27A46"/>
    <w:rsid w:val="00F30291"/>
    <w:rsid w:val="00F30681"/>
    <w:rsid w:val="00F32FF0"/>
    <w:rsid w:val="00F34B99"/>
    <w:rsid w:val="00F36E91"/>
    <w:rsid w:val="00F37453"/>
    <w:rsid w:val="00F379EA"/>
    <w:rsid w:val="00F429F5"/>
    <w:rsid w:val="00F45923"/>
    <w:rsid w:val="00F46438"/>
    <w:rsid w:val="00F47177"/>
    <w:rsid w:val="00F47ECD"/>
    <w:rsid w:val="00F52DAB"/>
    <w:rsid w:val="00F53714"/>
    <w:rsid w:val="00F543F0"/>
    <w:rsid w:val="00F55F2E"/>
    <w:rsid w:val="00F61034"/>
    <w:rsid w:val="00F61DAA"/>
    <w:rsid w:val="00F620CB"/>
    <w:rsid w:val="00F642F4"/>
    <w:rsid w:val="00F71A07"/>
    <w:rsid w:val="00F76E9E"/>
    <w:rsid w:val="00F805E4"/>
    <w:rsid w:val="00F81D29"/>
    <w:rsid w:val="00F838E2"/>
    <w:rsid w:val="00F83D7F"/>
    <w:rsid w:val="00F848FF"/>
    <w:rsid w:val="00F84F4C"/>
    <w:rsid w:val="00F856DB"/>
    <w:rsid w:val="00F87C55"/>
    <w:rsid w:val="00F91C4D"/>
    <w:rsid w:val="00F92FD9"/>
    <w:rsid w:val="00F941FE"/>
    <w:rsid w:val="00F977A7"/>
    <w:rsid w:val="00FA082F"/>
    <w:rsid w:val="00FA198C"/>
    <w:rsid w:val="00FA492D"/>
    <w:rsid w:val="00FA6684"/>
    <w:rsid w:val="00FA731E"/>
    <w:rsid w:val="00FA7504"/>
    <w:rsid w:val="00FB2B38"/>
    <w:rsid w:val="00FB41B4"/>
    <w:rsid w:val="00FC1020"/>
    <w:rsid w:val="00FC187A"/>
    <w:rsid w:val="00FC272C"/>
    <w:rsid w:val="00FC308D"/>
    <w:rsid w:val="00FC3ECB"/>
    <w:rsid w:val="00FC433C"/>
    <w:rsid w:val="00FC6358"/>
    <w:rsid w:val="00FC655E"/>
    <w:rsid w:val="00FC67DD"/>
    <w:rsid w:val="00FC7898"/>
    <w:rsid w:val="00FC7E52"/>
    <w:rsid w:val="00FD320D"/>
    <w:rsid w:val="00FD6216"/>
    <w:rsid w:val="00FD6FB6"/>
    <w:rsid w:val="00FE23DE"/>
    <w:rsid w:val="00FE52EE"/>
    <w:rsid w:val="00FF3744"/>
    <w:rsid w:val="00FF46F8"/>
    <w:rsid w:val="00FF49AC"/>
    <w:rsid w:val="00FF544B"/>
    <w:rsid w:val="00FF5499"/>
    <w:rsid w:val="00FF62C6"/>
    <w:rsid w:val="09A12B8C"/>
    <w:rsid w:val="1F184CA4"/>
    <w:rsid w:val="1F801921"/>
    <w:rsid w:val="2200263C"/>
    <w:rsid w:val="2D1A6F83"/>
    <w:rsid w:val="3D636E04"/>
    <w:rsid w:val="3D994E95"/>
    <w:rsid w:val="47886AE8"/>
    <w:rsid w:val="4B797820"/>
    <w:rsid w:val="687321DB"/>
    <w:rsid w:val="689D21BA"/>
    <w:rsid w:val="6B1E050B"/>
    <w:rsid w:val="718740A7"/>
    <w:rsid w:val="794B401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name="toc 2"/>
    <w:lsdException w:qFormat="1" w:unhideWhenUsed="0" w:uiPriority="99" w:semiHidden="0" w:name="toc 3"/>
    <w:lsdException w:qFormat="1" w:unhideWhenUsed="0" w:uiPriority="99" w:semiHidden="0"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unhideWhenUsed="0" w:uiPriority="99" w:name="footnote reference"/>
    <w:lsdException w:qFormat="1" w:unhideWhenUsed="0" w:uiPriority="99" w:semiHidden="0" w:name="annotation reference"/>
    <w:lsdException w:uiPriority="99" w:name="line number"/>
    <w:lsdException w:qFormat="1" w:unhideWhenUsed="0" w:uiPriority="99"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99" w:semiHidden="0" w:name="Emphasis"/>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4"/>
    <w:qFormat/>
    <w:uiPriority w:val="99"/>
    <w:pPr>
      <w:keepNext/>
      <w:keepLines/>
      <w:spacing w:before="340" w:after="330" w:line="578" w:lineRule="auto"/>
      <w:outlineLvl w:val="0"/>
    </w:pPr>
    <w:rPr>
      <w:b/>
      <w:bCs/>
      <w:kern w:val="44"/>
      <w:sz w:val="44"/>
      <w:szCs w:val="44"/>
    </w:rPr>
  </w:style>
  <w:style w:type="paragraph" w:styleId="3">
    <w:name w:val="heading 3"/>
    <w:basedOn w:val="1"/>
    <w:next w:val="1"/>
    <w:link w:val="153"/>
    <w:semiHidden/>
    <w:unhideWhenUsed/>
    <w:qFormat/>
    <w:locked/>
    <w:uiPriority w:val="0"/>
    <w:pPr>
      <w:keepNext/>
      <w:keepLines/>
      <w:spacing w:before="260" w:after="260" w:line="416" w:lineRule="auto"/>
      <w:outlineLvl w:val="2"/>
    </w:pPr>
    <w:rPr>
      <w:b/>
      <w:bCs/>
      <w:sz w:val="32"/>
      <w:szCs w:val="32"/>
    </w:rPr>
  </w:style>
  <w:style w:type="character" w:default="1" w:styleId="36">
    <w:name w:val="Default Paragraph Font"/>
    <w:semiHidden/>
    <w:unhideWhenUsed/>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styleId="4">
    <w:name w:val="toc 7"/>
    <w:basedOn w:val="1"/>
    <w:next w:val="1"/>
    <w:semiHidden/>
    <w:qFormat/>
    <w:uiPriority w:val="99"/>
    <w:pPr>
      <w:tabs>
        <w:tab w:val="right" w:leader="dot" w:pos="9241"/>
      </w:tabs>
      <w:ind w:firstLine="505" w:firstLineChars="500"/>
      <w:jc w:val="left"/>
    </w:pPr>
    <w:rPr>
      <w:rFonts w:ascii="宋体"/>
      <w:szCs w:val="21"/>
    </w:rPr>
  </w:style>
  <w:style w:type="paragraph" w:styleId="5">
    <w:name w:val="index 8"/>
    <w:basedOn w:val="1"/>
    <w:next w:val="1"/>
    <w:qFormat/>
    <w:uiPriority w:val="99"/>
    <w:pPr>
      <w:ind w:left="1680" w:hanging="210"/>
      <w:jc w:val="left"/>
    </w:pPr>
    <w:rPr>
      <w:rFonts w:ascii="Calibri" w:hAnsi="Calibri"/>
      <w:sz w:val="20"/>
      <w:szCs w:val="20"/>
    </w:rPr>
  </w:style>
  <w:style w:type="paragraph" w:styleId="6">
    <w:name w:val="caption"/>
    <w:basedOn w:val="1"/>
    <w:next w:val="1"/>
    <w:qFormat/>
    <w:uiPriority w:val="99"/>
    <w:pPr>
      <w:spacing w:before="152" w:after="160"/>
    </w:pPr>
    <w:rPr>
      <w:rFonts w:ascii="Arial" w:hAnsi="Arial" w:eastAsia="黑体" w:cs="Arial"/>
      <w:sz w:val="20"/>
      <w:szCs w:val="20"/>
    </w:rPr>
  </w:style>
  <w:style w:type="paragraph" w:styleId="7">
    <w:name w:val="index 5"/>
    <w:basedOn w:val="1"/>
    <w:next w:val="1"/>
    <w:qFormat/>
    <w:uiPriority w:val="99"/>
    <w:pPr>
      <w:ind w:left="1050" w:hanging="210"/>
      <w:jc w:val="left"/>
    </w:pPr>
    <w:rPr>
      <w:rFonts w:ascii="Calibri" w:hAnsi="Calibri"/>
      <w:sz w:val="20"/>
      <w:szCs w:val="20"/>
    </w:rPr>
  </w:style>
  <w:style w:type="paragraph" w:styleId="8">
    <w:name w:val="Document Map"/>
    <w:basedOn w:val="1"/>
    <w:link w:val="45"/>
    <w:semiHidden/>
    <w:qFormat/>
    <w:uiPriority w:val="99"/>
    <w:pPr>
      <w:shd w:val="clear" w:color="auto" w:fill="000080"/>
    </w:pPr>
  </w:style>
  <w:style w:type="paragraph" w:styleId="9">
    <w:name w:val="annotation text"/>
    <w:basedOn w:val="1"/>
    <w:link w:val="46"/>
    <w:qFormat/>
    <w:uiPriority w:val="99"/>
    <w:pPr>
      <w:jc w:val="left"/>
    </w:pPr>
  </w:style>
  <w:style w:type="paragraph" w:styleId="10">
    <w:name w:val="index 6"/>
    <w:basedOn w:val="1"/>
    <w:next w:val="1"/>
    <w:qFormat/>
    <w:uiPriority w:val="99"/>
    <w:pPr>
      <w:ind w:left="1260" w:hanging="210"/>
      <w:jc w:val="left"/>
    </w:pPr>
    <w:rPr>
      <w:rFonts w:ascii="Calibri" w:hAnsi="Calibri"/>
      <w:sz w:val="20"/>
      <w:szCs w:val="20"/>
    </w:rPr>
  </w:style>
  <w:style w:type="paragraph" w:styleId="11">
    <w:name w:val="Body Text"/>
    <w:basedOn w:val="1"/>
    <w:link w:val="47"/>
    <w:qFormat/>
    <w:uiPriority w:val="99"/>
    <w:rPr>
      <w:rFonts w:ascii="宋体" w:hAnsi="宋体" w:cs="宋体"/>
      <w:szCs w:val="21"/>
      <w:lang w:val="ca-ES" w:eastAsia="ca-ES"/>
    </w:rPr>
  </w:style>
  <w:style w:type="paragraph" w:styleId="12">
    <w:name w:val="index 4"/>
    <w:basedOn w:val="1"/>
    <w:next w:val="1"/>
    <w:qFormat/>
    <w:uiPriority w:val="99"/>
    <w:pPr>
      <w:ind w:left="840" w:hanging="210"/>
      <w:jc w:val="left"/>
    </w:pPr>
    <w:rPr>
      <w:rFonts w:ascii="Calibri" w:hAnsi="Calibri"/>
      <w:sz w:val="20"/>
      <w:szCs w:val="20"/>
    </w:rPr>
  </w:style>
  <w:style w:type="paragraph" w:styleId="13">
    <w:name w:val="toc 5"/>
    <w:basedOn w:val="1"/>
    <w:next w:val="1"/>
    <w:semiHidden/>
    <w:qFormat/>
    <w:uiPriority w:val="99"/>
    <w:pPr>
      <w:tabs>
        <w:tab w:val="right" w:leader="dot" w:pos="9241"/>
      </w:tabs>
      <w:ind w:firstLine="300" w:firstLineChars="300"/>
      <w:jc w:val="left"/>
    </w:pPr>
    <w:rPr>
      <w:rFonts w:ascii="宋体"/>
      <w:szCs w:val="21"/>
    </w:rPr>
  </w:style>
  <w:style w:type="paragraph" w:styleId="14">
    <w:name w:val="toc 3"/>
    <w:basedOn w:val="1"/>
    <w:next w:val="1"/>
    <w:qFormat/>
    <w:uiPriority w:val="99"/>
    <w:pPr>
      <w:tabs>
        <w:tab w:val="right" w:leader="dot" w:pos="9241"/>
      </w:tabs>
      <w:ind w:firstLine="102" w:firstLineChars="100"/>
      <w:jc w:val="left"/>
    </w:pPr>
    <w:rPr>
      <w:rFonts w:ascii="宋体"/>
      <w:szCs w:val="21"/>
    </w:rPr>
  </w:style>
  <w:style w:type="paragraph" w:styleId="15">
    <w:name w:val="toc 8"/>
    <w:basedOn w:val="1"/>
    <w:next w:val="1"/>
    <w:semiHidden/>
    <w:qFormat/>
    <w:uiPriority w:val="99"/>
    <w:pPr>
      <w:tabs>
        <w:tab w:val="right" w:leader="dot" w:pos="9241"/>
      </w:tabs>
      <w:ind w:firstLine="607" w:firstLineChars="600"/>
      <w:jc w:val="left"/>
    </w:pPr>
    <w:rPr>
      <w:rFonts w:ascii="宋体"/>
      <w:szCs w:val="21"/>
    </w:rPr>
  </w:style>
  <w:style w:type="paragraph" w:styleId="16">
    <w:name w:val="index 3"/>
    <w:basedOn w:val="1"/>
    <w:next w:val="1"/>
    <w:qFormat/>
    <w:uiPriority w:val="99"/>
    <w:pPr>
      <w:ind w:left="630" w:hanging="210"/>
      <w:jc w:val="left"/>
    </w:pPr>
    <w:rPr>
      <w:rFonts w:ascii="Calibri" w:hAnsi="Calibri"/>
      <w:sz w:val="20"/>
      <w:szCs w:val="20"/>
    </w:rPr>
  </w:style>
  <w:style w:type="paragraph" w:styleId="17">
    <w:name w:val="endnote text"/>
    <w:basedOn w:val="1"/>
    <w:link w:val="48"/>
    <w:semiHidden/>
    <w:qFormat/>
    <w:uiPriority w:val="99"/>
    <w:pPr>
      <w:snapToGrid w:val="0"/>
      <w:jc w:val="left"/>
    </w:pPr>
  </w:style>
  <w:style w:type="paragraph" w:styleId="18">
    <w:name w:val="Balloon Text"/>
    <w:basedOn w:val="1"/>
    <w:link w:val="49"/>
    <w:qFormat/>
    <w:uiPriority w:val="99"/>
    <w:rPr>
      <w:sz w:val="18"/>
      <w:szCs w:val="18"/>
    </w:rPr>
  </w:style>
  <w:style w:type="paragraph" w:styleId="19">
    <w:name w:val="footer"/>
    <w:basedOn w:val="1"/>
    <w:link w:val="50"/>
    <w:qFormat/>
    <w:uiPriority w:val="99"/>
    <w:pPr>
      <w:snapToGrid w:val="0"/>
      <w:ind w:right="210" w:rightChars="100"/>
      <w:jc w:val="right"/>
    </w:pPr>
    <w:rPr>
      <w:sz w:val="18"/>
      <w:szCs w:val="18"/>
    </w:rPr>
  </w:style>
  <w:style w:type="paragraph" w:styleId="20">
    <w:name w:val="header"/>
    <w:basedOn w:val="1"/>
    <w:link w:val="51"/>
    <w:qFormat/>
    <w:uiPriority w:val="99"/>
    <w:pPr>
      <w:snapToGrid w:val="0"/>
      <w:jc w:val="left"/>
    </w:pPr>
    <w:rPr>
      <w:sz w:val="18"/>
      <w:szCs w:val="18"/>
    </w:rPr>
  </w:style>
  <w:style w:type="paragraph" w:styleId="21">
    <w:name w:val="toc 1"/>
    <w:basedOn w:val="1"/>
    <w:next w:val="1"/>
    <w:qFormat/>
    <w:uiPriority w:val="99"/>
    <w:pPr>
      <w:tabs>
        <w:tab w:val="right" w:leader="dot" w:pos="9241"/>
      </w:tabs>
      <w:spacing w:beforeLines="25" w:afterLines="25"/>
      <w:jc w:val="left"/>
    </w:pPr>
    <w:rPr>
      <w:rFonts w:ascii="宋体"/>
      <w:szCs w:val="21"/>
    </w:rPr>
  </w:style>
  <w:style w:type="paragraph" w:styleId="22">
    <w:name w:val="toc 4"/>
    <w:basedOn w:val="1"/>
    <w:next w:val="1"/>
    <w:qFormat/>
    <w:uiPriority w:val="99"/>
    <w:pPr>
      <w:tabs>
        <w:tab w:val="right" w:leader="dot" w:pos="9241"/>
      </w:tabs>
      <w:ind w:firstLine="198" w:firstLineChars="200"/>
      <w:jc w:val="left"/>
    </w:pPr>
    <w:rPr>
      <w:rFonts w:ascii="宋体"/>
      <w:szCs w:val="21"/>
    </w:rPr>
  </w:style>
  <w:style w:type="paragraph" w:styleId="23">
    <w:name w:val="index heading"/>
    <w:basedOn w:val="1"/>
    <w:next w:val="24"/>
    <w:qFormat/>
    <w:uiPriority w:val="99"/>
    <w:pPr>
      <w:spacing w:before="120" w:after="120"/>
      <w:jc w:val="center"/>
    </w:pPr>
    <w:rPr>
      <w:rFonts w:ascii="Calibri" w:hAnsi="Calibri"/>
      <w:b/>
      <w:bCs/>
      <w:iCs/>
      <w:szCs w:val="20"/>
    </w:rPr>
  </w:style>
  <w:style w:type="paragraph" w:styleId="24">
    <w:name w:val="index 1"/>
    <w:basedOn w:val="1"/>
    <w:next w:val="25"/>
    <w:qFormat/>
    <w:uiPriority w:val="99"/>
    <w:pPr>
      <w:tabs>
        <w:tab w:val="right" w:leader="dot" w:pos="9299"/>
      </w:tabs>
      <w:jc w:val="left"/>
    </w:pPr>
    <w:rPr>
      <w:rFonts w:ascii="宋体"/>
      <w:szCs w:val="21"/>
    </w:rPr>
  </w:style>
  <w:style w:type="paragraph" w:customStyle="1" w:styleId="25">
    <w:name w:val="段"/>
    <w:link w:val="5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link w:val="52"/>
    <w:qFormat/>
    <w:uiPriority w:val="0"/>
    <w:pPr>
      <w:numPr>
        <w:ilvl w:val="0"/>
        <w:numId w:val="1"/>
      </w:numPr>
      <w:snapToGrid w:val="0"/>
      <w:jc w:val="left"/>
    </w:pPr>
    <w:rPr>
      <w:rFonts w:ascii="宋体"/>
      <w:sz w:val="18"/>
      <w:szCs w:val="18"/>
    </w:rPr>
  </w:style>
  <w:style w:type="paragraph" w:styleId="27">
    <w:name w:val="toc 6"/>
    <w:basedOn w:val="1"/>
    <w:next w:val="1"/>
    <w:semiHidden/>
    <w:qFormat/>
    <w:uiPriority w:val="99"/>
    <w:pPr>
      <w:tabs>
        <w:tab w:val="right" w:leader="dot" w:pos="9241"/>
      </w:tabs>
      <w:ind w:firstLine="403" w:firstLineChars="400"/>
      <w:jc w:val="left"/>
    </w:pPr>
    <w:rPr>
      <w:rFonts w:ascii="宋体"/>
      <w:szCs w:val="21"/>
    </w:rPr>
  </w:style>
  <w:style w:type="paragraph" w:styleId="28">
    <w:name w:val="index 7"/>
    <w:basedOn w:val="1"/>
    <w:next w:val="1"/>
    <w:qFormat/>
    <w:uiPriority w:val="99"/>
    <w:pPr>
      <w:ind w:left="1470" w:hanging="210"/>
      <w:jc w:val="left"/>
    </w:pPr>
    <w:rPr>
      <w:rFonts w:ascii="Calibri" w:hAnsi="Calibri"/>
      <w:sz w:val="20"/>
      <w:szCs w:val="20"/>
    </w:rPr>
  </w:style>
  <w:style w:type="paragraph" w:styleId="29">
    <w:name w:val="index 9"/>
    <w:basedOn w:val="1"/>
    <w:next w:val="1"/>
    <w:qFormat/>
    <w:uiPriority w:val="99"/>
    <w:pPr>
      <w:ind w:left="1890" w:hanging="210"/>
      <w:jc w:val="left"/>
    </w:pPr>
    <w:rPr>
      <w:rFonts w:ascii="Calibri" w:hAnsi="Calibri"/>
      <w:sz w:val="20"/>
      <w:szCs w:val="20"/>
    </w:rPr>
  </w:style>
  <w:style w:type="paragraph" w:styleId="30">
    <w:name w:val="toc 2"/>
    <w:basedOn w:val="1"/>
    <w:next w:val="1"/>
    <w:semiHidden/>
    <w:qFormat/>
    <w:uiPriority w:val="99"/>
    <w:pPr>
      <w:tabs>
        <w:tab w:val="right" w:leader="dot" w:pos="9241"/>
      </w:tabs>
    </w:pPr>
    <w:rPr>
      <w:rFonts w:ascii="宋体"/>
      <w:szCs w:val="21"/>
    </w:rPr>
  </w:style>
  <w:style w:type="paragraph" w:styleId="31">
    <w:name w:val="toc 9"/>
    <w:basedOn w:val="1"/>
    <w:next w:val="1"/>
    <w:semiHidden/>
    <w:qFormat/>
    <w:uiPriority w:val="99"/>
    <w:pPr>
      <w:ind w:left="1470"/>
      <w:jc w:val="left"/>
    </w:pPr>
    <w:rPr>
      <w:sz w:val="20"/>
      <w:szCs w:val="20"/>
    </w:rPr>
  </w:style>
  <w:style w:type="paragraph" w:styleId="32">
    <w:name w:val="index 2"/>
    <w:basedOn w:val="1"/>
    <w:next w:val="1"/>
    <w:qFormat/>
    <w:uiPriority w:val="99"/>
    <w:pPr>
      <w:ind w:left="420" w:hanging="210"/>
      <w:jc w:val="left"/>
    </w:pPr>
    <w:rPr>
      <w:rFonts w:ascii="Calibri" w:hAnsi="Calibri"/>
      <w:sz w:val="20"/>
      <w:szCs w:val="20"/>
    </w:rPr>
  </w:style>
  <w:style w:type="paragraph" w:styleId="33">
    <w:name w:val="annotation subject"/>
    <w:basedOn w:val="9"/>
    <w:next w:val="9"/>
    <w:link w:val="152"/>
    <w:semiHidden/>
    <w:unhideWhenUsed/>
    <w:qFormat/>
    <w:uiPriority w:val="99"/>
    <w:rPr>
      <w:b/>
      <w:bCs/>
    </w:rPr>
  </w:style>
  <w:style w:type="table" w:styleId="35">
    <w:name w:val="Table Grid"/>
    <w:basedOn w:val="34"/>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7">
    <w:name w:val="endnote reference"/>
    <w:basedOn w:val="36"/>
    <w:semiHidden/>
    <w:qFormat/>
    <w:uiPriority w:val="99"/>
    <w:rPr>
      <w:rFonts w:cs="Times New Roman"/>
      <w:vertAlign w:val="superscript"/>
    </w:rPr>
  </w:style>
  <w:style w:type="character" w:styleId="38">
    <w:name w:val="page number"/>
    <w:basedOn w:val="36"/>
    <w:qFormat/>
    <w:uiPriority w:val="99"/>
    <w:rPr>
      <w:rFonts w:ascii="Times New Roman" w:hAnsi="Times New Roman" w:eastAsia="宋体" w:cs="Times New Roman"/>
      <w:sz w:val="18"/>
    </w:rPr>
  </w:style>
  <w:style w:type="character" w:styleId="39">
    <w:name w:val="FollowedHyperlink"/>
    <w:basedOn w:val="36"/>
    <w:qFormat/>
    <w:uiPriority w:val="99"/>
    <w:rPr>
      <w:rFonts w:cs="Times New Roman"/>
      <w:color w:val="800080"/>
      <w:u w:val="single"/>
    </w:rPr>
  </w:style>
  <w:style w:type="character" w:styleId="40">
    <w:name w:val="Emphasis"/>
    <w:basedOn w:val="36"/>
    <w:qFormat/>
    <w:uiPriority w:val="99"/>
    <w:rPr>
      <w:rFonts w:cs="Times New Roman"/>
      <w:i/>
    </w:rPr>
  </w:style>
  <w:style w:type="character" w:styleId="41">
    <w:name w:val="Hyperlink"/>
    <w:basedOn w:val="36"/>
    <w:qFormat/>
    <w:uiPriority w:val="99"/>
    <w:rPr>
      <w:rFonts w:cs="Times New Roman"/>
      <w:color w:val="0000FF"/>
      <w:spacing w:val="0"/>
      <w:w w:val="100"/>
      <w:sz w:val="21"/>
      <w:u w:val="single"/>
    </w:rPr>
  </w:style>
  <w:style w:type="character" w:styleId="42">
    <w:name w:val="annotation reference"/>
    <w:basedOn w:val="36"/>
    <w:qFormat/>
    <w:uiPriority w:val="99"/>
    <w:rPr>
      <w:rFonts w:cs="Times New Roman"/>
      <w:sz w:val="21"/>
    </w:rPr>
  </w:style>
  <w:style w:type="character" w:styleId="43">
    <w:name w:val="footnote reference"/>
    <w:basedOn w:val="36"/>
    <w:semiHidden/>
    <w:uiPriority w:val="99"/>
    <w:rPr>
      <w:rFonts w:cs="Times New Roman"/>
      <w:vertAlign w:val="superscript"/>
    </w:rPr>
  </w:style>
  <w:style w:type="character" w:customStyle="1" w:styleId="44">
    <w:name w:val="标题 1 字符"/>
    <w:basedOn w:val="36"/>
    <w:link w:val="2"/>
    <w:qFormat/>
    <w:locked/>
    <w:uiPriority w:val="99"/>
    <w:rPr>
      <w:b/>
      <w:kern w:val="44"/>
      <w:sz w:val="44"/>
    </w:rPr>
  </w:style>
  <w:style w:type="character" w:customStyle="1" w:styleId="45">
    <w:name w:val="文档结构图 字符"/>
    <w:basedOn w:val="36"/>
    <w:link w:val="8"/>
    <w:semiHidden/>
    <w:uiPriority w:val="99"/>
    <w:rPr>
      <w:sz w:val="0"/>
      <w:szCs w:val="0"/>
    </w:rPr>
  </w:style>
  <w:style w:type="character" w:customStyle="1" w:styleId="46">
    <w:name w:val="批注文字 字符"/>
    <w:basedOn w:val="36"/>
    <w:link w:val="9"/>
    <w:locked/>
    <w:uiPriority w:val="99"/>
    <w:rPr>
      <w:kern w:val="2"/>
      <w:sz w:val="24"/>
    </w:rPr>
  </w:style>
  <w:style w:type="character" w:customStyle="1" w:styleId="47">
    <w:name w:val="正文文本 字符"/>
    <w:basedOn w:val="36"/>
    <w:link w:val="11"/>
    <w:semiHidden/>
    <w:uiPriority w:val="99"/>
    <w:rPr>
      <w:szCs w:val="24"/>
    </w:rPr>
  </w:style>
  <w:style w:type="character" w:customStyle="1" w:styleId="48">
    <w:name w:val="尾注文本 字符"/>
    <w:basedOn w:val="36"/>
    <w:link w:val="17"/>
    <w:semiHidden/>
    <w:uiPriority w:val="99"/>
    <w:rPr>
      <w:szCs w:val="24"/>
    </w:rPr>
  </w:style>
  <w:style w:type="character" w:customStyle="1" w:styleId="49">
    <w:name w:val="批注框文本 字符"/>
    <w:basedOn w:val="36"/>
    <w:link w:val="18"/>
    <w:locked/>
    <w:uiPriority w:val="99"/>
    <w:rPr>
      <w:kern w:val="2"/>
      <w:sz w:val="18"/>
    </w:rPr>
  </w:style>
  <w:style w:type="character" w:customStyle="1" w:styleId="50">
    <w:name w:val="页脚 字符"/>
    <w:basedOn w:val="36"/>
    <w:link w:val="19"/>
    <w:semiHidden/>
    <w:uiPriority w:val="99"/>
    <w:rPr>
      <w:sz w:val="18"/>
      <w:szCs w:val="18"/>
    </w:rPr>
  </w:style>
  <w:style w:type="character" w:customStyle="1" w:styleId="51">
    <w:name w:val="页眉 字符"/>
    <w:basedOn w:val="36"/>
    <w:link w:val="20"/>
    <w:semiHidden/>
    <w:uiPriority w:val="99"/>
    <w:rPr>
      <w:sz w:val="18"/>
      <w:szCs w:val="18"/>
    </w:rPr>
  </w:style>
  <w:style w:type="character" w:customStyle="1" w:styleId="52">
    <w:name w:val="脚注文本 字符"/>
    <w:basedOn w:val="36"/>
    <w:link w:val="26"/>
    <w:uiPriority w:val="0"/>
    <w:rPr>
      <w:rFonts w:ascii="宋体"/>
      <w:kern w:val="2"/>
      <w:sz w:val="18"/>
      <w:szCs w:val="18"/>
    </w:rPr>
  </w:style>
  <w:style w:type="character" w:customStyle="1" w:styleId="53">
    <w:name w:val="段 Char"/>
    <w:link w:val="25"/>
    <w:qFormat/>
    <w:locked/>
    <w:uiPriority w:val="0"/>
    <w:rPr>
      <w:rFonts w:ascii="宋体"/>
      <w:sz w:val="21"/>
      <w:lang w:val="en-US" w:eastAsia="zh-CN"/>
    </w:rPr>
  </w:style>
  <w:style w:type="paragraph" w:customStyle="1" w:styleId="54">
    <w:name w:val="一级条标题"/>
    <w:next w:val="25"/>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55">
    <w:name w:val="标准书脚_奇数页"/>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56">
    <w:name w:val="标准书眉_奇数页"/>
    <w:next w:val="1"/>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7">
    <w:name w:val="章标题"/>
    <w:next w:val="25"/>
    <w:qFormat/>
    <w:uiPriority w:val="99"/>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8">
    <w:name w:val="二级条标题"/>
    <w:basedOn w:val="54"/>
    <w:next w:val="25"/>
    <w:qFormat/>
    <w:uiPriority w:val="99"/>
    <w:pPr>
      <w:numPr>
        <w:ilvl w:val="2"/>
      </w:numPr>
      <w:spacing w:before="50" w:after="50"/>
      <w:ind w:left="567"/>
      <w:outlineLvl w:val="3"/>
    </w:pPr>
  </w:style>
  <w:style w:type="paragraph" w:customStyle="1" w:styleId="59">
    <w:name w:val="封面标准号2"/>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60">
    <w:name w:val="列项——（一级）"/>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61">
    <w:name w:val="列项●（二级）"/>
    <w:uiPriority w:val="99"/>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62">
    <w:name w:val="目次、标准名称标题"/>
    <w:basedOn w:val="1"/>
    <w:next w:val="25"/>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3">
    <w:name w:val="三级条标题"/>
    <w:basedOn w:val="58"/>
    <w:next w:val="25"/>
    <w:uiPriority w:val="99"/>
    <w:pPr>
      <w:numPr>
        <w:ilvl w:val="3"/>
      </w:numPr>
      <w:ind w:left="0"/>
      <w:outlineLvl w:val="4"/>
    </w:pPr>
  </w:style>
  <w:style w:type="paragraph" w:customStyle="1" w:styleId="64">
    <w:name w:val="示例"/>
    <w:next w:val="65"/>
    <w:uiPriority w:val="99"/>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5">
    <w:name w:val="示例内容"/>
    <w:uiPriority w:val="99"/>
    <w:pPr>
      <w:ind w:firstLine="200" w:firstLineChars="200"/>
    </w:pPr>
    <w:rPr>
      <w:rFonts w:ascii="宋体" w:hAnsi="Times New Roman" w:eastAsia="宋体" w:cs="Times New Roman"/>
      <w:sz w:val="18"/>
      <w:szCs w:val="18"/>
      <w:lang w:val="en-US" w:eastAsia="zh-CN" w:bidi="ar-SA"/>
    </w:rPr>
  </w:style>
  <w:style w:type="paragraph" w:customStyle="1" w:styleId="66">
    <w:name w:val="数字编号列项（二级）"/>
    <w:uiPriority w:val="99"/>
    <w:pPr>
      <w:numPr>
        <w:ilvl w:val="1"/>
        <w:numId w:val="5"/>
      </w:numPr>
      <w:jc w:val="both"/>
    </w:pPr>
    <w:rPr>
      <w:rFonts w:ascii="宋体" w:hAnsi="Times New Roman" w:eastAsia="宋体" w:cs="Times New Roman"/>
      <w:sz w:val="21"/>
      <w:lang w:val="en-US" w:eastAsia="zh-CN" w:bidi="ar-SA"/>
    </w:rPr>
  </w:style>
  <w:style w:type="paragraph" w:customStyle="1" w:styleId="67">
    <w:name w:val="四级条标题"/>
    <w:basedOn w:val="63"/>
    <w:next w:val="25"/>
    <w:uiPriority w:val="99"/>
    <w:pPr>
      <w:numPr>
        <w:ilvl w:val="4"/>
      </w:numPr>
      <w:outlineLvl w:val="5"/>
    </w:pPr>
  </w:style>
  <w:style w:type="paragraph" w:customStyle="1" w:styleId="68">
    <w:name w:val="五级条标题"/>
    <w:basedOn w:val="67"/>
    <w:next w:val="25"/>
    <w:uiPriority w:val="99"/>
    <w:pPr>
      <w:numPr>
        <w:ilvl w:val="5"/>
      </w:numPr>
      <w:outlineLvl w:val="6"/>
    </w:pPr>
  </w:style>
  <w:style w:type="paragraph" w:customStyle="1" w:styleId="69">
    <w:name w:val="注："/>
    <w:next w:val="25"/>
    <w:uiPriority w:val="99"/>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70">
    <w:name w:val="注×："/>
    <w:uiPriority w:val="99"/>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71">
    <w:name w:val="字母编号列项（一级）"/>
    <w:uiPriority w:val="99"/>
    <w:pPr>
      <w:tabs>
        <w:tab w:val="left" w:pos="839"/>
      </w:tabs>
      <w:jc w:val="both"/>
    </w:pPr>
    <w:rPr>
      <w:rFonts w:ascii="宋体" w:hAnsi="Times New Roman" w:eastAsia="宋体" w:cs="Times New Roman"/>
      <w:sz w:val="21"/>
      <w:lang w:val="en-US" w:eastAsia="zh-CN" w:bidi="ar-SA"/>
    </w:rPr>
  </w:style>
  <w:style w:type="paragraph" w:customStyle="1" w:styleId="72">
    <w:name w:val="列项◆（三级）"/>
    <w:basedOn w:val="1"/>
    <w:uiPriority w:val="99"/>
    <w:pPr>
      <w:numPr>
        <w:ilvl w:val="2"/>
        <w:numId w:val="3"/>
      </w:numPr>
    </w:pPr>
    <w:rPr>
      <w:rFonts w:ascii="宋体"/>
      <w:szCs w:val="21"/>
    </w:rPr>
  </w:style>
  <w:style w:type="paragraph" w:customStyle="1" w:styleId="73">
    <w:name w:val="编号列项（三级）"/>
    <w:uiPriority w:val="99"/>
    <w:pPr>
      <w:numPr>
        <w:ilvl w:val="2"/>
        <w:numId w:val="5"/>
      </w:numPr>
    </w:pPr>
    <w:rPr>
      <w:rFonts w:ascii="宋体" w:hAnsi="Times New Roman" w:eastAsia="宋体" w:cs="Times New Roman"/>
      <w:sz w:val="21"/>
      <w:lang w:val="en-US" w:eastAsia="zh-CN" w:bidi="ar-SA"/>
    </w:rPr>
  </w:style>
  <w:style w:type="paragraph" w:customStyle="1" w:styleId="74">
    <w:name w:val="示例×："/>
    <w:basedOn w:val="57"/>
    <w:uiPriority w:val="99"/>
    <w:pPr>
      <w:numPr>
        <w:numId w:val="8"/>
      </w:numPr>
      <w:spacing w:beforeLines="0" w:afterLines="0"/>
      <w:outlineLvl w:val="9"/>
    </w:pPr>
    <w:rPr>
      <w:rFonts w:ascii="宋体" w:eastAsia="宋体"/>
      <w:sz w:val="18"/>
      <w:szCs w:val="18"/>
    </w:rPr>
  </w:style>
  <w:style w:type="paragraph" w:customStyle="1" w:styleId="75">
    <w:name w:val="二级无"/>
    <w:basedOn w:val="58"/>
    <w:qFormat/>
    <w:uiPriority w:val="99"/>
    <w:pPr>
      <w:spacing w:beforeLines="0" w:afterLines="0"/>
    </w:pPr>
    <w:rPr>
      <w:rFonts w:ascii="宋体" w:eastAsia="宋体"/>
    </w:rPr>
  </w:style>
  <w:style w:type="paragraph" w:customStyle="1" w:styleId="76">
    <w:name w:val="注：（正文）"/>
    <w:basedOn w:val="69"/>
    <w:next w:val="25"/>
    <w:qFormat/>
    <w:uiPriority w:val="99"/>
  </w:style>
  <w:style w:type="paragraph" w:customStyle="1" w:styleId="77">
    <w:name w:val="注×：（正文）"/>
    <w:qFormat/>
    <w:uiPriority w:val="99"/>
    <w:pPr>
      <w:numPr>
        <w:ilvl w:val="0"/>
        <w:numId w:val="9"/>
      </w:numPr>
      <w:jc w:val="both"/>
    </w:pPr>
    <w:rPr>
      <w:rFonts w:ascii="宋体" w:hAnsi="Times New Roman" w:eastAsia="宋体" w:cs="Times New Roman"/>
      <w:sz w:val="18"/>
      <w:szCs w:val="18"/>
      <w:lang w:val="en-US" w:eastAsia="zh-CN" w:bidi="ar-SA"/>
    </w:rPr>
  </w:style>
  <w:style w:type="paragraph" w:customStyle="1" w:styleId="78">
    <w:name w:val="标准标志"/>
    <w:next w:val="1"/>
    <w:qFormat/>
    <w:uiPriority w:val="0"/>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sz w:val="96"/>
      <w:szCs w:val="96"/>
      <w:lang w:val="en-US" w:eastAsia="zh-CN" w:bidi="ar-SA"/>
    </w:rPr>
  </w:style>
  <w:style w:type="paragraph" w:customStyle="1" w:styleId="79">
    <w:name w:val="标准称谓"/>
    <w:next w:val="1"/>
    <w:qFormat/>
    <w:uiPriority w:val="99"/>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48"/>
      <w:lang w:val="en-US" w:eastAsia="zh-CN" w:bidi="ar-SA"/>
    </w:rPr>
  </w:style>
  <w:style w:type="paragraph" w:customStyle="1" w:styleId="80">
    <w:name w:val="标准书脚_偶数页"/>
    <w:qFormat/>
    <w:uiPriority w:val="99"/>
    <w:pPr>
      <w:spacing w:before="120"/>
      <w:ind w:left="221"/>
    </w:pPr>
    <w:rPr>
      <w:rFonts w:ascii="宋体" w:hAnsi="Times New Roman" w:eastAsia="宋体" w:cs="Times New Roman"/>
      <w:sz w:val="18"/>
      <w:szCs w:val="18"/>
      <w:lang w:val="en-US" w:eastAsia="zh-CN" w:bidi="ar-SA"/>
    </w:rPr>
  </w:style>
  <w:style w:type="paragraph" w:customStyle="1" w:styleId="81">
    <w:name w:val="标准书眉_偶数页"/>
    <w:basedOn w:val="56"/>
    <w:next w:val="1"/>
    <w:qFormat/>
    <w:uiPriority w:val="99"/>
    <w:pPr>
      <w:jc w:val="left"/>
    </w:pPr>
  </w:style>
  <w:style w:type="paragraph" w:customStyle="1" w:styleId="82">
    <w:name w:val="标准书眉一"/>
    <w:qFormat/>
    <w:uiPriority w:val="99"/>
    <w:pPr>
      <w:jc w:val="both"/>
    </w:pPr>
    <w:rPr>
      <w:rFonts w:ascii="Times New Roman" w:hAnsi="Times New Roman" w:eastAsia="宋体" w:cs="Times New Roman"/>
      <w:lang w:val="en-US" w:eastAsia="zh-CN" w:bidi="ar-SA"/>
    </w:rPr>
  </w:style>
  <w:style w:type="paragraph" w:customStyle="1" w:styleId="83">
    <w:name w:val="参考文献"/>
    <w:basedOn w:val="1"/>
    <w:next w:val="25"/>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84">
    <w:name w:val="参考文献、索引标题"/>
    <w:basedOn w:val="1"/>
    <w:next w:val="25"/>
    <w:qFormat/>
    <w:uiPriority w:val="99"/>
    <w:pPr>
      <w:keepNext/>
      <w:pageBreakBefore/>
      <w:widowControl/>
      <w:shd w:val="clear" w:color="FFFFFF" w:fill="FFFFFF"/>
      <w:spacing w:before="640" w:after="200"/>
      <w:jc w:val="center"/>
      <w:outlineLvl w:val="0"/>
    </w:pPr>
    <w:rPr>
      <w:rFonts w:ascii="黑体" w:eastAsia="黑体"/>
      <w:kern w:val="0"/>
      <w:szCs w:val="20"/>
    </w:rPr>
  </w:style>
  <w:style w:type="character" w:customStyle="1" w:styleId="85">
    <w:name w:val="发布"/>
    <w:qFormat/>
    <w:uiPriority w:val="99"/>
    <w:rPr>
      <w:rFonts w:ascii="黑体" w:eastAsia="黑体"/>
      <w:spacing w:val="85"/>
      <w:w w:val="100"/>
      <w:position w:val="3"/>
      <w:sz w:val="28"/>
    </w:rPr>
  </w:style>
  <w:style w:type="paragraph" w:customStyle="1" w:styleId="86">
    <w:name w:val="发布部门"/>
    <w:next w:val="25"/>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7">
    <w:name w:val="发布日期"/>
    <w:qFormat/>
    <w:uiPriority w:val="99"/>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8">
    <w:name w:val="封面标准代替信息"/>
    <w:qFormat/>
    <w:uiPriority w:val="99"/>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9">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0">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1">
    <w:name w:val="封面标准英文名称"/>
    <w:basedOn w:val="90"/>
    <w:qFormat/>
    <w:uiPriority w:val="99"/>
    <w:pPr>
      <w:framePr w:wrap="around"/>
      <w:spacing w:before="370" w:line="400" w:lineRule="exact"/>
    </w:pPr>
    <w:rPr>
      <w:rFonts w:ascii="Times New Roman"/>
      <w:sz w:val="28"/>
      <w:szCs w:val="28"/>
    </w:rPr>
  </w:style>
  <w:style w:type="paragraph" w:customStyle="1" w:styleId="92">
    <w:name w:val="封面一致性程度标识"/>
    <w:basedOn w:val="91"/>
    <w:qFormat/>
    <w:uiPriority w:val="99"/>
    <w:pPr>
      <w:framePr w:wrap="around"/>
      <w:spacing w:before="440"/>
    </w:pPr>
    <w:rPr>
      <w:rFonts w:ascii="宋体" w:eastAsia="宋体"/>
    </w:rPr>
  </w:style>
  <w:style w:type="paragraph" w:customStyle="1" w:styleId="93">
    <w:name w:val="封面标准文稿类别"/>
    <w:basedOn w:val="92"/>
    <w:qFormat/>
    <w:uiPriority w:val="99"/>
    <w:pPr>
      <w:framePr w:wrap="around"/>
      <w:spacing w:after="160" w:line="240" w:lineRule="auto"/>
    </w:pPr>
    <w:rPr>
      <w:sz w:val="24"/>
    </w:rPr>
  </w:style>
  <w:style w:type="paragraph" w:customStyle="1" w:styleId="94">
    <w:name w:val="封面标准文稿编辑信息"/>
    <w:basedOn w:val="93"/>
    <w:qFormat/>
    <w:uiPriority w:val="99"/>
    <w:pPr>
      <w:framePr w:wrap="around"/>
      <w:spacing w:before="180" w:line="180" w:lineRule="exact"/>
    </w:pPr>
    <w:rPr>
      <w:sz w:val="21"/>
    </w:rPr>
  </w:style>
  <w:style w:type="paragraph" w:customStyle="1" w:styleId="95">
    <w:name w:val="封面正文"/>
    <w:qFormat/>
    <w:uiPriority w:val="99"/>
    <w:pPr>
      <w:jc w:val="both"/>
    </w:pPr>
    <w:rPr>
      <w:rFonts w:ascii="Times New Roman" w:hAnsi="Times New Roman" w:eastAsia="宋体" w:cs="Times New Roman"/>
      <w:lang w:val="en-US" w:eastAsia="zh-CN" w:bidi="ar-SA"/>
    </w:rPr>
  </w:style>
  <w:style w:type="paragraph" w:customStyle="1" w:styleId="96">
    <w:name w:val="附录标识"/>
    <w:basedOn w:val="1"/>
    <w:next w:val="25"/>
    <w:qFormat/>
    <w:uiPriority w:val="99"/>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7">
    <w:name w:val="附录标题"/>
    <w:basedOn w:val="25"/>
    <w:next w:val="25"/>
    <w:qFormat/>
    <w:uiPriority w:val="99"/>
    <w:pPr>
      <w:ind w:firstLine="0" w:firstLineChars="0"/>
      <w:jc w:val="center"/>
    </w:pPr>
    <w:rPr>
      <w:rFonts w:ascii="黑体" w:eastAsia="黑体"/>
    </w:rPr>
  </w:style>
  <w:style w:type="paragraph" w:customStyle="1" w:styleId="98">
    <w:name w:val="附录表标号"/>
    <w:basedOn w:val="1"/>
    <w:next w:val="25"/>
    <w:qFormat/>
    <w:uiPriority w:val="99"/>
    <w:pPr>
      <w:numPr>
        <w:ilvl w:val="0"/>
        <w:numId w:val="10"/>
      </w:numPr>
      <w:spacing w:line="14" w:lineRule="exact"/>
      <w:ind w:left="811" w:hanging="448"/>
      <w:jc w:val="center"/>
      <w:outlineLvl w:val="0"/>
    </w:pPr>
    <w:rPr>
      <w:color w:val="FFFFFF"/>
    </w:rPr>
  </w:style>
  <w:style w:type="paragraph" w:customStyle="1" w:styleId="99">
    <w:name w:val="附录表标题"/>
    <w:basedOn w:val="1"/>
    <w:next w:val="25"/>
    <w:uiPriority w:val="99"/>
    <w:pPr>
      <w:numPr>
        <w:ilvl w:val="1"/>
        <w:numId w:val="10"/>
      </w:numPr>
      <w:tabs>
        <w:tab w:val="left" w:pos="180"/>
      </w:tabs>
      <w:spacing w:beforeLines="50" w:afterLines="50"/>
      <w:jc w:val="center"/>
    </w:pPr>
    <w:rPr>
      <w:rFonts w:ascii="黑体" w:eastAsia="黑体"/>
      <w:szCs w:val="21"/>
    </w:rPr>
  </w:style>
  <w:style w:type="paragraph" w:customStyle="1" w:styleId="100">
    <w:name w:val="附录二级条标题"/>
    <w:basedOn w:val="1"/>
    <w:next w:val="25"/>
    <w:qFormat/>
    <w:uiPriority w:val="99"/>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1">
    <w:name w:val="附录二级无"/>
    <w:basedOn w:val="100"/>
    <w:qFormat/>
    <w:uiPriority w:val="99"/>
    <w:pPr>
      <w:tabs>
        <w:tab w:val="clear" w:pos="360"/>
      </w:tabs>
      <w:spacing w:beforeLines="0" w:afterLines="0"/>
    </w:pPr>
    <w:rPr>
      <w:rFonts w:ascii="宋体" w:eastAsia="宋体"/>
      <w:szCs w:val="21"/>
    </w:rPr>
  </w:style>
  <w:style w:type="paragraph" w:customStyle="1" w:styleId="102">
    <w:name w:val="附录公式"/>
    <w:basedOn w:val="25"/>
    <w:next w:val="25"/>
    <w:link w:val="103"/>
    <w:qFormat/>
    <w:uiPriority w:val="99"/>
  </w:style>
  <w:style w:type="character" w:customStyle="1" w:styleId="103">
    <w:name w:val="附录公式 Char"/>
    <w:basedOn w:val="53"/>
    <w:link w:val="102"/>
    <w:qFormat/>
    <w:locked/>
    <w:uiPriority w:val="99"/>
    <w:rPr>
      <w:rFonts w:ascii="宋体" w:cs="Times New Roman"/>
      <w:sz w:val="21"/>
      <w:lang w:val="en-US" w:eastAsia="zh-CN" w:bidi="ar-SA"/>
    </w:rPr>
  </w:style>
  <w:style w:type="paragraph" w:customStyle="1" w:styleId="104">
    <w:name w:val="附录公式编号制表符"/>
    <w:basedOn w:val="1"/>
    <w:next w:val="25"/>
    <w:qFormat/>
    <w:uiPriority w:val="99"/>
    <w:pPr>
      <w:widowControl/>
      <w:tabs>
        <w:tab w:val="center" w:pos="4201"/>
        <w:tab w:val="right" w:leader="dot" w:pos="9298"/>
      </w:tabs>
      <w:autoSpaceDE w:val="0"/>
      <w:autoSpaceDN w:val="0"/>
    </w:pPr>
    <w:rPr>
      <w:rFonts w:ascii="宋体"/>
      <w:kern w:val="0"/>
      <w:szCs w:val="20"/>
    </w:rPr>
  </w:style>
  <w:style w:type="paragraph" w:customStyle="1" w:styleId="105">
    <w:name w:val="附录三级条标题"/>
    <w:basedOn w:val="100"/>
    <w:next w:val="25"/>
    <w:uiPriority w:val="99"/>
    <w:pPr>
      <w:outlineLvl w:val="4"/>
    </w:pPr>
  </w:style>
  <w:style w:type="paragraph" w:customStyle="1" w:styleId="106">
    <w:name w:val="附录三级无"/>
    <w:basedOn w:val="105"/>
    <w:qFormat/>
    <w:uiPriority w:val="99"/>
    <w:pPr>
      <w:tabs>
        <w:tab w:val="clear" w:pos="360"/>
      </w:tabs>
      <w:spacing w:beforeLines="0" w:afterLines="0"/>
    </w:pPr>
    <w:rPr>
      <w:rFonts w:ascii="宋体" w:eastAsia="宋体"/>
      <w:szCs w:val="21"/>
    </w:rPr>
  </w:style>
  <w:style w:type="paragraph" w:customStyle="1" w:styleId="107">
    <w:name w:val="附录数字编号列项（二级）"/>
    <w:qFormat/>
    <w:uiPriority w:val="99"/>
    <w:pPr>
      <w:numPr>
        <w:ilvl w:val="1"/>
        <w:numId w:val="11"/>
      </w:numPr>
    </w:pPr>
    <w:rPr>
      <w:rFonts w:ascii="宋体" w:hAnsi="Times New Roman" w:eastAsia="宋体" w:cs="Times New Roman"/>
      <w:sz w:val="21"/>
      <w:lang w:val="en-US" w:eastAsia="zh-CN" w:bidi="ar-SA"/>
    </w:rPr>
  </w:style>
  <w:style w:type="paragraph" w:customStyle="1" w:styleId="108">
    <w:name w:val="附录四级条标题"/>
    <w:basedOn w:val="105"/>
    <w:next w:val="25"/>
    <w:qFormat/>
    <w:uiPriority w:val="99"/>
    <w:pPr>
      <w:outlineLvl w:val="5"/>
    </w:pPr>
  </w:style>
  <w:style w:type="paragraph" w:customStyle="1" w:styleId="109">
    <w:name w:val="附录四级无"/>
    <w:basedOn w:val="108"/>
    <w:qFormat/>
    <w:uiPriority w:val="99"/>
    <w:pPr>
      <w:tabs>
        <w:tab w:val="clear" w:pos="360"/>
      </w:tabs>
      <w:spacing w:beforeLines="0" w:afterLines="0"/>
    </w:pPr>
    <w:rPr>
      <w:rFonts w:ascii="宋体" w:eastAsia="宋体"/>
      <w:szCs w:val="21"/>
    </w:rPr>
  </w:style>
  <w:style w:type="paragraph" w:customStyle="1" w:styleId="110">
    <w:name w:val="附录图标号"/>
    <w:basedOn w:val="1"/>
    <w:qFormat/>
    <w:uiPriority w:val="99"/>
    <w:pPr>
      <w:keepNext/>
      <w:pageBreakBefore/>
      <w:widowControl/>
      <w:numPr>
        <w:ilvl w:val="0"/>
        <w:numId w:val="12"/>
      </w:numPr>
      <w:spacing w:line="14" w:lineRule="exact"/>
      <w:ind w:firstLine="363"/>
      <w:jc w:val="center"/>
      <w:outlineLvl w:val="0"/>
    </w:pPr>
    <w:rPr>
      <w:color w:val="FFFFFF"/>
    </w:rPr>
  </w:style>
  <w:style w:type="paragraph" w:customStyle="1" w:styleId="111">
    <w:name w:val="附录图标题"/>
    <w:basedOn w:val="1"/>
    <w:next w:val="25"/>
    <w:qFormat/>
    <w:uiPriority w:val="99"/>
    <w:pPr>
      <w:numPr>
        <w:ilvl w:val="1"/>
        <w:numId w:val="12"/>
      </w:numPr>
      <w:tabs>
        <w:tab w:val="left" w:pos="363"/>
      </w:tabs>
      <w:spacing w:beforeLines="50" w:afterLines="50"/>
      <w:jc w:val="center"/>
    </w:pPr>
    <w:rPr>
      <w:rFonts w:ascii="黑体" w:eastAsia="黑体"/>
      <w:szCs w:val="21"/>
    </w:rPr>
  </w:style>
  <w:style w:type="paragraph" w:customStyle="1" w:styleId="112">
    <w:name w:val="附录五级条标题"/>
    <w:basedOn w:val="108"/>
    <w:next w:val="25"/>
    <w:qFormat/>
    <w:uiPriority w:val="99"/>
    <w:pPr>
      <w:outlineLvl w:val="6"/>
    </w:pPr>
  </w:style>
  <w:style w:type="paragraph" w:customStyle="1" w:styleId="113">
    <w:name w:val="附录五级无"/>
    <w:basedOn w:val="112"/>
    <w:qFormat/>
    <w:uiPriority w:val="99"/>
    <w:pPr>
      <w:tabs>
        <w:tab w:val="clear" w:pos="360"/>
      </w:tabs>
      <w:spacing w:beforeLines="0" w:afterLines="0"/>
    </w:pPr>
    <w:rPr>
      <w:rFonts w:ascii="宋体" w:eastAsia="宋体"/>
      <w:szCs w:val="21"/>
    </w:rPr>
  </w:style>
  <w:style w:type="paragraph" w:customStyle="1" w:styleId="114">
    <w:name w:val="附录章标题"/>
    <w:next w:val="25"/>
    <w:qFormat/>
    <w:uiPriority w:val="99"/>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5">
    <w:name w:val="附录一级条标题"/>
    <w:basedOn w:val="114"/>
    <w:next w:val="25"/>
    <w:qFormat/>
    <w:uiPriority w:val="99"/>
    <w:pPr>
      <w:autoSpaceDN w:val="0"/>
      <w:spacing w:beforeLines="50" w:afterLines="50"/>
      <w:outlineLvl w:val="2"/>
    </w:pPr>
  </w:style>
  <w:style w:type="paragraph" w:customStyle="1" w:styleId="116">
    <w:name w:val="附录一级无"/>
    <w:basedOn w:val="115"/>
    <w:qFormat/>
    <w:uiPriority w:val="99"/>
    <w:pPr>
      <w:tabs>
        <w:tab w:val="clear" w:pos="360"/>
      </w:tabs>
      <w:spacing w:beforeLines="0" w:afterLines="0"/>
    </w:pPr>
    <w:rPr>
      <w:rFonts w:ascii="宋体" w:eastAsia="宋体"/>
      <w:szCs w:val="21"/>
    </w:rPr>
  </w:style>
  <w:style w:type="paragraph" w:customStyle="1" w:styleId="117">
    <w:name w:val="附录字母编号列项（一级）"/>
    <w:qFormat/>
    <w:uiPriority w:val="99"/>
    <w:pPr>
      <w:numPr>
        <w:ilvl w:val="0"/>
        <w:numId w:val="11"/>
      </w:numPr>
    </w:pPr>
    <w:rPr>
      <w:rFonts w:ascii="宋体" w:hAnsi="Times New Roman" w:eastAsia="宋体" w:cs="Times New Roman"/>
      <w:sz w:val="21"/>
      <w:lang w:val="en-US" w:eastAsia="zh-CN" w:bidi="ar-SA"/>
    </w:rPr>
  </w:style>
  <w:style w:type="paragraph" w:customStyle="1" w:styleId="118">
    <w:name w:val="列项说明"/>
    <w:basedOn w:val="1"/>
    <w:uiPriority w:val="99"/>
    <w:pPr>
      <w:adjustRightInd w:val="0"/>
      <w:spacing w:line="320" w:lineRule="exact"/>
      <w:ind w:left="400" w:leftChars="200" w:hanging="200" w:hangingChars="200"/>
      <w:jc w:val="left"/>
      <w:textAlignment w:val="baseline"/>
    </w:pPr>
    <w:rPr>
      <w:rFonts w:ascii="宋体"/>
      <w:kern w:val="0"/>
      <w:szCs w:val="20"/>
    </w:rPr>
  </w:style>
  <w:style w:type="paragraph" w:customStyle="1" w:styleId="119">
    <w:name w:val="列项说明数字编号"/>
    <w:qFormat/>
    <w:uiPriority w:val="99"/>
    <w:pPr>
      <w:ind w:left="600" w:leftChars="400" w:hanging="200" w:hangingChars="200"/>
    </w:pPr>
    <w:rPr>
      <w:rFonts w:ascii="宋体" w:hAnsi="Times New Roman" w:eastAsia="宋体" w:cs="Times New Roman"/>
      <w:sz w:val="21"/>
      <w:lang w:val="en-US" w:eastAsia="zh-CN" w:bidi="ar-SA"/>
    </w:rPr>
  </w:style>
  <w:style w:type="paragraph" w:customStyle="1" w:styleId="120">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21">
    <w:name w:val="其他标准标志"/>
    <w:basedOn w:val="78"/>
    <w:qFormat/>
    <w:uiPriority w:val="99"/>
    <w:pPr>
      <w:framePr w:w="6101" w:wrap="around" w:vAnchor="page" w:hAnchor="page" w:x="4673" w:y="942"/>
    </w:pPr>
    <w:rPr>
      <w:w w:val="130"/>
    </w:rPr>
  </w:style>
  <w:style w:type="paragraph" w:customStyle="1" w:styleId="122">
    <w:name w:val="其他标准称谓"/>
    <w:next w:val="1"/>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sz w:val="48"/>
      <w:szCs w:val="52"/>
      <w:lang w:val="en-US" w:eastAsia="zh-CN" w:bidi="ar-SA"/>
    </w:rPr>
  </w:style>
  <w:style w:type="paragraph" w:customStyle="1" w:styleId="123">
    <w:name w:val="其他发布部门"/>
    <w:basedOn w:val="86"/>
    <w:uiPriority w:val="99"/>
    <w:pPr>
      <w:framePr w:wrap="around" w:y="15310"/>
      <w:spacing w:line="240" w:lineRule="atLeast"/>
    </w:pPr>
    <w:rPr>
      <w:rFonts w:ascii="黑体" w:eastAsia="黑体"/>
      <w:b w:val="0"/>
    </w:rPr>
  </w:style>
  <w:style w:type="paragraph" w:customStyle="1" w:styleId="124">
    <w:name w:val="前言、引言标题"/>
    <w:next w:val="25"/>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5">
    <w:name w:val="三级无"/>
    <w:basedOn w:val="63"/>
    <w:uiPriority w:val="99"/>
    <w:pPr>
      <w:spacing w:beforeLines="0" w:afterLines="0"/>
    </w:pPr>
    <w:rPr>
      <w:rFonts w:ascii="宋体" w:eastAsia="宋体"/>
    </w:rPr>
  </w:style>
  <w:style w:type="paragraph" w:customStyle="1" w:styleId="126">
    <w:name w:val="实施日期"/>
    <w:basedOn w:val="87"/>
    <w:uiPriority w:val="99"/>
    <w:pPr>
      <w:framePr w:wrap="around" w:vAnchor="page" w:hAnchor="text"/>
      <w:jc w:val="right"/>
    </w:pPr>
  </w:style>
  <w:style w:type="paragraph" w:customStyle="1" w:styleId="127">
    <w:name w:val="示例后文字"/>
    <w:basedOn w:val="25"/>
    <w:next w:val="25"/>
    <w:qFormat/>
    <w:uiPriority w:val="99"/>
    <w:pPr>
      <w:ind w:firstLine="360"/>
    </w:pPr>
    <w:rPr>
      <w:sz w:val="18"/>
    </w:rPr>
  </w:style>
  <w:style w:type="paragraph" w:customStyle="1" w:styleId="128">
    <w:name w:val="首示例"/>
    <w:next w:val="25"/>
    <w:link w:val="129"/>
    <w:uiPriority w:val="99"/>
    <w:pPr>
      <w:numPr>
        <w:ilvl w:val="0"/>
        <w:numId w:val="13"/>
      </w:numPr>
      <w:tabs>
        <w:tab w:val="left" w:pos="360"/>
      </w:tabs>
    </w:pPr>
    <w:rPr>
      <w:rFonts w:ascii="宋体" w:hAnsi="宋体" w:eastAsia="宋体" w:cs="Times New Roman"/>
      <w:kern w:val="2"/>
      <w:sz w:val="18"/>
      <w:szCs w:val="18"/>
      <w:lang w:val="en-US" w:eastAsia="zh-CN" w:bidi="ar-SA"/>
    </w:rPr>
  </w:style>
  <w:style w:type="character" w:customStyle="1" w:styleId="129">
    <w:name w:val="首示例 Char"/>
    <w:link w:val="128"/>
    <w:locked/>
    <w:uiPriority w:val="99"/>
    <w:rPr>
      <w:rFonts w:ascii="宋体" w:hAnsi="宋体"/>
      <w:kern w:val="2"/>
      <w:sz w:val="18"/>
      <w:szCs w:val="18"/>
    </w:rPr>
  </w:style>
  <w:style w:type="paragraph" w:customStyle="1" w:styleId="130">
    <w:name w:val="四级无"/>
    <w:basedOn w:val="67"/>
    <w:uiPriority w:val="99"/>
    <w:pPr>
      <w:spacing w:beforeLines="0" w:afterLines="0"/>
    </w:pPr>
    <w:rPr>
      <w:rFonts w:ascii="宋体" w:eastAsia="宋体"/>
    </w:rPr>
  </w:style>
  <w:style w:type="paragraph" w:customStyle="1" w:styleId="131">
    <w:name w:val="条文脚注"/>
    <w:basedOn w:val="26"/>
    <w:uiPriority w:val="99"/>
    <w:pPr>
      <w:numPr>
        <w:numId w:val="0"/>
      </w:numPr>
      <w:jc w:val="both"/>
    </w:pPr>
  </w:style>
  <w:style w:type="paragraph" w:customStyle="1" w:styleId="132">
    <w:name w:val="图标脚注说明"/>
    <w:basedOn w:val="25"/>
    <w:qFormat/>
    <w:uiPriority w:val="99"/>
    <w:pPr>
      <w:ind w:left="840" w:hanging="420" w:firstLineChars="0"/>
    </w:pPr>
    <w:rPr>
      <w:sz w:val="18"/>
      <w:szCs w:val="18"/>
    </w:rPr>
  </w:style>
  <w:style w:type="paragraph" w:customStyle="1" w:styleId="133">
    <w:name w:val="图表脚注说明"/>
    <w:basedOn w:val="1"/>
    <w:uiPriority w:val="99"/>
    <w:pPr>
      <w:numPr>
        <w:ilvl w:val="0"/>
        <w:numId w:val="14"/>
      </w:numPr>
    </w:pPr>
    <w:rPr>
      <w:rFonts w:ascii="宋体"/>
      <w:sz w:val="18"/>
      <w:szCs w:val="18"/>
    </w:rPr>
  </w:style>
  <w:style w:type="paragraph" w:customStyle="1" w:styleId="134">
    <w:name w:val="图的脚注"/>
    <w:next w:val="25"/>
    <w:qFormat/>
    <w:uiPriority w:val="99"/>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5">
    <w:name w:val="文献分类号"/>
    <w:uiPriority w:val="99"/>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6">
    <w:name w:val="五级无"/>
    <w:basedOn w:val="68"/>
    <w:qFormat/>
    <w:uiPriority w:val="99"/>
    <w:pPr>
      <w:spacing w:beforeLines="0" w:afterLines="0"/>
    </w:pPr>
    <w:rPr>
      <w:rFonts w:ascii="宋体" w:eastAsia="宋体"/>
    </w:rPr>
  </w:style>
  <w:style w:type="paragraph" w:customStyle="1" w:styleId="137">
    <w:name w:val="一级无"/>
    <w:basedOn w:val="54"/>
    <w:qFormat/>
    <w:uiPriority w:val="99"/>
    <w:pPr>
      <w:spacing w:beforeLines="0" w:afterLines="0"/>
    </w:pPr>
    <w:rPr>
      <w:rFonts w:ascii="宋体" w:eastAsia="宋体"/>
    </w:rPr>
  </w:style>
  <w:style w:type="paragraph" w:customStyle="1" w:styleId="138">
    <w:name w:val="正文表标题"/>
    <w:next w:val="25"/>
    <w:qFormat/>
    <w:uiPriority w:val="0"/>
    <w:pPr>
      <w:numPr>
        <w:ilvl w:val="0"/>
        <w:numId w:val="15"/>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9">
    <w:name w:val="正文公式编号制表符"/>
    <w:basedOn w:val="25"/>
    <w:next w:val="25"/>
    <w:uiPriority w:val="99"/>
    <w:pPr>
      <w:ind w:firstLine="0" w:firstLineChars="0"/>
    </w:pPr>
  </w:style>
  <w:style w:type="paragraph" w:customStyle="1" w:styleId="140">
    <w:name w:val="正文图标题"/>
    <w:next w:val="25"/>
    <w:uiPriority w:val="99"/>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1">
    <w:name w:val="终结线"/>
    <w:basedOn w:val="1"/>
    <w:qFormat/>
    <w:uiPriority w:val="0"/>
    <w:pPr>
      <w:framePr w:hSpace="181" w:vSpace="181" w:wrap="around" w:vAnchor="text" w:hAnchor="margin" w:xAlign="center" w:y="285"/>
    </w:pPr>
  </w:style>
  <w:style w:type="paragraph" w:customStyle="1" w:styleId="142">
    <w:name w:val="其他发布日期"/>
    <w:basedOn w:val="87"/>
    <w:qFormat/>
    <w:uiPriority w:val="99"/>
    <w:pPr>
      <w:framePr w:wrap="around" w:vAnchor="page" w:hAnchor="text" w:x="1419"/>
    </w:pPr>
  </w:style>
  <w:style w:type="paragraph" w:customStyle="1" w:styleId="143">
    <w:name w:val="其他实施日期"/>
    <w:basedOn w:val="126"/>
    <w:qFormat/>
    <w:uiPriority w:val="99"/>
    <w:pPr>
      <w:framePr w:wrap="around"/>
    </w:pPr>
  </w:style>
  <w:style w:type="paragraph" w:customStyle="1" w:styleId="144">
    <w:name w:val="封面标准名称2"/>
    <w:basedOn w:val="90"/>
    <w:qFormat/>
    <w:uiPriority w:val="99"/>
    <w:pPr>
      <w:framePr w:wrap="around" w:y="4469"/>
      <w:spacing w:beforeLines="630"/>
    </w:pPr>
  </w:style>
  <w:style w:type="paragraph" w:customStyle="1" w:styleId="145">
    <w:name w:val="封面标准英文名称2"/>
    <w:basedOn w:val="91"/>
    <w:qFormat/>
    <w:uiPriority w:val="99"/>
    <w:pPr>
      <w:framePr w:wrap="around" w:y="4469"/>
    </w:pPr>
  </w:style>
  <w:style w:type="paragraph" w:customStyle="1" w:styleId="146">
    <w:name w:val="封面一致性程度标识2"/>
    <w:basedOn w:val="92"/>
    <w:uiPriority w:val="99"/>
    <w:pPr>
      <w:framePr w:wrap="around" w:y="4469"/>
    </w:pPr>
  </w:style>
  <w:style w:type="paragraph" w:customStyle="1" w:styleId="147">
    <w:name w:val="封面标准文稿类别2"/>
    <w:basedOn w:val="93"/>
    <w:qFormat/>
    <w:uiPriority w:val="99"/>
    <w:pPr>
      <w:framePr w:wrap="around" w:y="4469"/>
    </w:pPr>
  </w:style>
  <w:style w:type="paragraph" w:customStyle="1" w:styleId="148">
    <w:name w:val="封面标准文稿编辑信息2"/>
    <w:basedOn w:val="94"/>
    <w:qFormat/>
    <w:uiPriority w:val="99"/>
    <w:pPr>
      <w:framePr w:wrap="around" w:y="4469"/>
    </w:pPr>
  </w:style>
  <w:style w:type="paragraph" w:styleId="149">
    <w:name w:val="List Paragraph"/>
    <w:basedOn w:val="1"/>
    <w:qFormat/>
    <w:uiPriority w:val="99"/>
    <w:pPr>
      <w:ind w:left="953" w:hanging="527"/>
    </w:pPr>
    <w:rPr>
      <w:rFonts w:ascii="宋体" w:hAnsi="宋体" w:cs="宋体"/>
      <w:lang w:val="ca-ES" w:eastAsia="ca-ES"/>
    </w:rPr>
  </w:style>
  <w:style w:type="paragraph" w:customStyle="1" w:styleId="150">
    <w:name w:val="Table Paragraph"/>
    <w:basedOn w:val="1"/>
    <w:qFormat/>
    <w:uiPriority w:val="99"/>
    <w:rPr>
      <w:rFonts w:ascii="宋体" w:hAnsi="宋体" w:cs="宋体"/>
      <w:lang w:val="ca-ES" w:eastAsia="ca-ES"/>
    </w:rPr>
  </w:style>
  <w:style w:type="paragraph" w:customStyle="1" w:styleId="151">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2">
    <w:name w:val="批注主题 字符"/>
    <w:basedOn w:val="46"/>
    <w:link w:val="33"/>
    <w:semiHidden/>
    <w:qFormat/>
    <w:uiPriority w:val="99"/>
    <w:rPr>
      <w:b/>
      <w:bCs/>
      <w:kern w:val="2"/>
      <w:sz w:val="24"/>
      <w:szCs w:val="24"/>
    </w:rPr>
  </w:style>
  <w:style w:type="character" w:customStyle="1" w:styleId="153">
    <w:name w:val="标题 3 字符"/>
    <w:basedOn w:val="36"/>
    <w:link w:val="3"/>
    <w:semiHidden/>
    <w:uiPriority w:val="0"/>
    <w:rPr>
      <w:b/>
      <w:bCs/>
      <w:sz w:val="32"/>
      <w:szCs w:val="32"/>
    </w:rPr>
  </w:style>
  <w:style w:type="paragraph" w:customStyle="1" w:styleId="154">
    <w:name w:val="标准文件_二级无标题"/>
    <w:basedOn w:val="1"/>
    <w:qFormat/>
    <w:uiPriority w:val="0"/>
    <w:rPr>
      <w:rFonts w:ascii="宋体"/>
      <w:kern w:val="0"/>
      <w:szCs w:val="20"/>
    </w:rPr>
  </w:style>
  <w:style w:type="paragraph" w:customStyle="1" w:styleId="155">
    <w:name w:val="标准文件_段"/>
    <w:link w:val="15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56">
    <w:name w:val="标准文件_段 Char"/>
    <w:link w:val="155"/>
    <w:uiPriority w:val="0"/>
    <w:rPr>
      <w:rFonts w:ascii="宋体"/>
      <w:sz w:val="21"/>
    </w:rPr>
  </w:style>
  <w:style w:type="paragraph" w:customStyle="1" w:styleId="157">
    <w:name w:val="标准文件_数字编号列项（二级）"/>
    <w:qFormat/>
    <w:uiPriority w:val="0"/>
    <w:pPr>
      <w:tabs>
        <w:tab w:val="left" w:pos="1276"/>
      </w:tabs>
      <w:ind w:left="1276" w:hanging="425"/>
      <w:jc w:val="both"/>
    </w:pPr>
    <w:rPr>
      <w:rFonts w:ascii="宋体" w:hAnsi="Times New Roman" w:eastAsia="宋体" w:cs="Times New Roman"/>
      <w:sz w:val="21"/>
      <w:lang w:val="en-US" w:eastAsia="zh-CN" w:bidi="ar-SA"/>
    </w:rPr>
  </w:style>
  <w:style w:type="paragraph" w:customStyle="1" w:styleId="158">
    <w:name w:val="标准文件_编号列项（三级）"/>
    <w:qFormat/>
    <w:uiPriority w:val="0"/>
    <w:pPr>
      <w:ind w:left="1701" w:hanging="425"/>
    </w:pPr>
    <w:rPr>
      <w:rFonts w:ascii="宋体" w:hAnsi="Times New Roman" w:eastAsia="宋体" w:cs="Times New Roman"/>
      <w:sz w:val="21"/>
      <w:lang w:val="en-US" w:eastAsia="zh-CN" w:bidi="ar-SA"/>
    </w:rPr>
  </w:style>
  <w:style w:type="paragraph" w:customStyle="1" w:styleId="159">
    <w:name w:val="标准文件_字母编号列项（一级）"/>
    <w:qFormat/>
    <w:uiPriority w:val="0"/>
    <w:pPr>
      <w:tabs>
        <w:tab w:val="left" w:pos="851"/>
      </w:tabs>
      <w:ind w:left="851" w:hanging="426"/>
      <w:jc w:val="both"/>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9A0A6D-8E26-4872-B2BD-21BD88CF5A6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25</Pages>
  <Words>2224</Words>
  <Characters>12677</Characters>
  <Lines>105</Lines>
  <Paragraphs>29</Paragraphs>
  <TotalTime>299</TotalTime>
  <ScaleCrop>false</ScaleCrop>
  <LinksUpToDate>false</LinksUpToDate>
  <CharactersWithSpaces>14872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2020-06-22T07:19:00Z</dcterms:created>
  <dc:creator>CNIS</dc:creator>
  <cp:lastModifiedBy>我</cp:lastModifiedBy>
  <cp:lastPrinted>2020-06-22T02:37:00Z</cp:lastPrinted>
  <dcterms:modified xsi:type="dcterms:W3CDTF">2021-05-12T03:28:41Z</dcterms:modified>
  <dc:title>标准名称</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867D783DF7FF4165AF5D5BABB4F656A9</vt:lpwstr>
  </property>
</Properties>
</file>