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5"/>
        <w:framePr w:wrap="around"/>
        <w:rPr>
          <w:rFonts w:hint="eastAsia" w:ascii="黑体" w:hAnsi="黑体" w:eastAsia="黑体" w:cs="黑体"/>
        </w:rPr>
      </w:pPr>
      <w:r>
        <w:rPr>
          <w:rFonts w:hint="eastAsia" w:ascii="黑体" w:hAnsi="黑体" w:eastAsia="黑体" w:cs="黑体"/>
        </w:rPr>
        <w:t>ICS</w:t>
      </w:r>
      <w:r>
        <w:rPr>
          <w:rFonts w:hint="eastAsia" w:ascii="黑体" w:hAnsi="黑体" w:eastAsia="黑体" w:cs="黑体"/>
          <w:lang w:val="en-US" w:eastAsia="zh-CN"/>
        </w:rPr>
        <w:t xml:space="preserve"> </w:t>
      </w:r>
      <w:r>
        <w:rPr>
          <w:rFonts w:hint="eastAsia" w:ascii="黑体" w:hAnsi="黑体" w:eastAsia="黑体" w:cs="黑体"/>
          <w:sz w:val="21"/>
          <w:szCs w:val="21"/>
        </w:rPr>
        <w:t>点击此处添加ICS号</w:t>
      </w:r>
    </w:p>
    <w:p>
      <w:pPr>
        <w:pStyle w:val="135"/>
        <w:framePr w:wrap="around"/>
      </w:pPr>
      <w:r>
        <w:rPr>
          <w:rFonts w:hint="eastAsia" w:hAnsi="黑体"/>
          <w:sz w:val="21"/>
          <w:szCs w:val="21"/>
          <w:lang w:val="en-US" w:eastAsia="zh-CN"/>
        </w:rPr>
        <w:t xml:space="preserve">CCS </w:t>
      </w:r>
      <w:r>
        <w:rPr>
          <w:rFonts w:ascii="黑体" w:hAnsi="黑体" w:eastAsia="黑体"/>
          <w:sz w:val="21"/>
          <w:szCs w:val="21"/>
        </w:rPr>
        <w:t>点击此处添加CCS号</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35"/>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0"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bodyPr wrap="square" anchor="t" upright="1"/>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zqcig7oBAACBAwAADgAAAGRycy9lMm9Eb2MueG1srVNNj9Mw&#10;EL0j8R8s32maSnRL1HQFVIUDgpUWfoDr2IklfzHjNu2/Z+yEsiyXPZBDMvbMvJn3ZrK9vzjLzgrQ&#10;BN/yerHkTHkZOuP7lv/4fniz4QyT8J2wwauWXxXy+93rV9sxNmoVhmA7BYxAPDZjbPmQUmyqCuWg&#10;nMBFiMqTUwdwItER+qoDMRK6s9VquVxXY4AuQpAKkW73k5PPiPASwKC1kWof5MkpnyZUUFYkooSD&#10;ich3pVutlUzftEaVmG05MU3lTUXIPuZ3tduKpgcRByPnFsRLWnjGyQnjqegNai+SYCcw/0A5IyFg&#10;0Gkhg6smIkURYlEvn2nzOIioCheSGuNNdPx/sPLr+QGY6WgTSBIvHE38w/vPWZcxYkPux/gA8wnJ&#10;zCQvGlz+UvvsUrS83rRUl8QkXW7W67u7t5xJctXvNvWqaF39SY6A6ZMKjmWj5UCjKgqK8xdMVJBC&#10;f4fkWhis6Q7G2nKA/vjRAjsLGuuhPLljSvkrzPoc7ENOm9zTjSqLMZfJNCdi2TqG7kqCjLQRLcef&#10;JwGKM+HlEGhpEmenCKYfqN+6FMwpNJlSet6iPPqnZ7Kf/jm7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iuL+zVAAAABwEAAA8AAAAAAAAAAQAgAAAAIgAAAGRycy9kb3ducmV2LnhtbFBLAQIUABQA&#10;AAAIAIdO4kDOpyKDugEAAIEDAAAOAAAAAAAAAAEAIAAAACQBAABkcnMvZTJvRG9jLnhtbFBLBQYA&#10;AAAABgAGAFkBAABQBQAAAAA=&#10;">
                      <v:fill on="t" focussize="0,0"/>
                      <v:stroke on="f"/>
                      <v:imagedata o:title=""/>
                      <o:lock v:ext="edit" aspectratio="f"/>
                    </v:rect>
                  </w:pict>
                </mc:Fallback>
              </mc:AlternateContent>
            </w:r>
          </w:p>
        </w:tc>
      </w:tr>
    </w:tbl>
    <w:p>
      <w:pPr>
        <w:pStyle w:val="121"/>
        <w:framePr w:wrap="around"/>
      </w:pPr>
      <w:r>
        <w:t>DB</w:t>
      </w:r>
      <w:bookmarkStart w:id="0" w:name="c3"/>
      <w:r>
        <w:fldChar w:fldCharType="begin">
          <w:ffData>
            <w:name w:val="c3"/>
            <w:enabled/>
            <w:calcOnExit w:val="0"/>
            <w:entryMacro w:val="ShowHelp16"/>
            <w:textInput>
              <w:maxLength w:val="2"/>
            </w:textInput>
          </w:ffData>
        </w:fldChar>
      </w:r>
      <w:r>
        <w:instrText xml:space="preserve"> FORMTEXT </w:instrText>
      </w:r>
      <w:r>
        <w:fldChar w:fldCharType="separate"/>
      </w:r>
      <w:r>
        <w:t>32</w:t>
      </w:r>
      <w:r>
        <w:fldChar w:fldCharType="end"/>
      </w:r>
      <w:bookmarkEnd w:id="0"/>
    </w:p>
    <w:p>
      <w:pPr>
        <w:pStyle w:val="122"/>
        <w:framePr w:wrap="around"/>
      </w:pPr>
      <w:bookmarkStart w:id="1" w:name="c4"/>
      <w:r>
        <w:fldChar w:fldCharType="begin">
          <w:ffData>
            <w:name w:val="c4"/>
            <w:enabled/>
            <w:calcOnExit w:val="0"/>
            <w:entryMacro w:val="showhelp12"/>
            <w:textInput/>
          </w:ffData>
        </w:fldChar>
      </w:r>
      <w:r>
        <w:instrText xml:space="preserve"> FORMTEXT </w:instrText>
      </w:r>
      <w:r>
        <w:fldChar w:fldCharType="separate"/>
      </w:r>
      <w:r>
        <w:rPr>
          <w:rFonts w:hint="eastAsia"/>
        </w:rPr>
        <w:t>江苏省</w:t>
      </w:r>
      <w:r>
        <w:fldChar w:fldCharType="end"/>
      </w:r>
      <w:bookmarkEnd w:id="1"/>
      <w:r>
        <w:rPr>
          <w:rFonts w:hint="eastAsia"/>
        </w:rPr>
        <w:t>地方标准</w:t>
      </w:r>
    </w:p>
    <w:p>
      <w:pPr>
        <w:pStyle w:val="59"/>
        <w:framePr w:wrap="around"/>
        <w:wordWrap w:val="0"/>
        <w:rPr>
          <w:rFonts w:hint="default" w:hAnsi="黑体" w:eastAsia="黑体"/>
          <w:lang w:val="en-US" w:eastAsia="zh-CN"/>
        </w:rPr>
      </w:pPr>
      <w:r>
        <w:rPr>
          <w:rFonts w:hint="eastAsia" w:ascii="黑体" w:hAnsi="黑体" w:eastAsia="黑体" w:cs="黑体"/>
        </w:rPr>
        <w:t>DB</w:t>
      </w:r>
      <w:r>
        <w:rPr>
          <w:rFonts w:hint="eastAsia" w:ascii="黑体" w:hAnsi="黑体" w:eastAsia="黑体" w:cs="黑体"/>
          <w:lang w:val="en-US" w:eastAsia="zh-CN"/>
        </w:rPr>
        <w:t>XX</w:t>
      </w:r>
      <w:r>
        <w:rPr>
          <w:rFonts w:hAnsi="黑体"/>
        </w:rPr>
        <w:t>/</w:t>
      </w:r>
      <w:bookmarkStart w:id="2"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TXXXX</w:t>
      </w:r>
      <w:r>
        <w:rPr>
          <w:rFonts w:hAnsi="黑体"/>
        </w:rPr>
        <w:fldChar w:fldCharType="end"/>
      </w:r>
      <w:bookmarkEnd w:id="2"/>
      <w:r>
        <w:rPr>
          <w:rFonts w:hAnsi="黑体"/>
        </w:rPr>
        <w:t>—</w:t>
      </w:r>
      <w:r>
        <w:rPr>
          <w:rFonts w:hint="eastAsia" w:hAnsi="黑体"/>
          <w:lang w:val="en-US" w:eastAsia="zh-CN"/>
        </w:rPr>
        <w:t>XXXX</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88"/>
              <w:framePr w:wrap="around"/>
            </w:pPr>
            <w:bookmarkStart w:id="3"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9"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anchor="t" upright="1"/>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GYlMC1AQAAgAMAAA4AAABkcnMvZTJvRG9jLnhtbK1TTW/b&#10;MAy9D9h/EHRfbGdD0RlxemiQXYatQLsfoMiSLUBfJZU4+fejZC9ru0sP88EmReqR75He3J2dZScF&#10;aILveLOqOVNeht74oeO/nvafbjnDJHwvbPCq4xeF/G778cNmiq1ahzHYXgEjEI/tFDs+phTbqkI5&#10;KidwFaLyFNQBnEjkwlD1ICZCd7Za1/VNNQXoIwSpEOl0Nwf5ggjvAQxaG6l2QR6d8mlGBWVFIko4&#10;moh8W7rVWsn0U2tUidmOE9NU3lSE7EN+V9uNaAcQcTRyaUG8p4U3nJwwnopeoXYiCXYE8w+UMxIC&#10;Bp1WMrhqJlIUIRZN/Uabx1FEVbiQ1BivouP/g5U/Tg/ATN/xr5x54Wjgu6esyhSxpeBjfIDFQzIz&#10;xbMGl7/UPDsXJS9XJdU5MUmHTfPlc12TyJJi6/XtDdkEU/29HQHTNxUcy0bHgSZVBBSn75jm1D8p&#10;uRgGa/q9sbY4MBzuLbCToKnuy7Ogv0qzPif7kK/NiPOJKnuxlMk8Z2bZOoT+QnpMtBAdx+ejAMWZ&#10;8HIMtDOJs2MEM4zUb1MK5is0mEJsWaI8+Zc+2S9/nO1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HmDyy9YAAAAIAQAADwAAAAAAAAABACAAAAAiAAAAZHJzL2Rvd25yZXYueG1sUEsBAhQAFAAAAAgA&#10;h07iQLGYlMC1AQAAgAMAAA4AAAAAAAAAAQAgAAAAJQEAAGRycy9lMm9Eb2MueG1sUEsFBgAAAAAG&#10;AAYAWQEAAEwFAAAAAA==&#10;">
                      <v:fill on="t" focussize="0,0"/>
                      <v:stroke on="f"/>
                      <v:imagedata o:title=""/>
                      <o:lock v:ext="edit" aspectratio="f"/>
                    </v:rect>
                  </w:pict>
                </mc:Fallback>
              </mc:AlternateContent>
            </w:r>
            <w:bookmarkEnd w:id="3"/>
            <w:r>
              <w:t xml:space="preserve"> </w:t>
            </w:r>
          </w:p>
        </w:tc>
      </w:tr>
    </w:tbl>
    <w:p>
      <w:pPr>
        <w:pStyle w:val="59"/>
        <w:framePr w:wrap="around"/>
        <w:rPr>
          <w:rFonts w:hAnsi="黑体"/>
        </w:rPr>
      </w:pPr>
    </w:p>
    <w:p>
      <w:pPr>
        <w:pStyle w:val="59"/>
        <w:framePr w:wrap="around"/>
        <w:rPr>
          <w:rFonts w:hAnsi="黑体"/>
        </w:rPr>
      </w:pPr>
    </w:p>
    <w:p>
      <w:pPr>
        <w:pStyle w:val="90"/>
        <w:framePr w:wrap="around"/>
        <w:rPr>
          <w:rFonts w:hint="default" w:eastAsia="黑体"/>
          <w:lang w:val="en-US" w:eastAsia="zh-CN"/>
        </w:rPr>
      </w:pPr>
      <w:r>
        <w:rPr>
          <w:rFonts w:hint="eastAsia"/>
          <w:lang w:val="en-US" w:eastAsia="zh-CN"/>
        </w:rPr>
        <w:t>城镇道路开挖、回填、恢复快速施工及验收规程</w:t>
      </w:r>
    </w:p>
    <w:p>
      <w:pPr>
        <w:pStyle w:val="91"/>
        <w:framePr w:wrap="around"/>
      </w:pPr>
      <w:r>
        <w:rPr>
          <w:rFonts w:hint="eastAsia"/>
        </w:rPr>
        <w:t>Code for construction and acceptance of urban road excavation and quick recovery</w:t>
      </w:r>
    </w:p>
    <w:p>
      <w:pPr>
        <w:pStyle w:val="92"/>
        <w:framePr w:wrap="around"/>
      </w:pP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93"/>
              <w:framePr w:wrap="around"/>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anchor="t" upright="1"/>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tsrEvbUBAACAAwAADgAAAGRycy9lMm9Eb2MueG1srVNNk9Mw&#10;DL0zw3/w+E6Tdlg+Ok33sJ1yYWBh4Qe4jpJ4xl9IbtP+e2QnlGW57GFzSCRLftJ7Uja3Z2fFCZBM&#10;8I1cLmopwOvQGt838ueP/ZsPUlBSvlU2eGjkBUjebl+/2oxxDaswBNsCCgbxtB5jI4eU4rqqSA/g&#10;FC1CBM/BLqBTiV3sqxbVyOjOVqu6fleNAduIQQMRn+6moJwR8TmAoeuMhl3QRwc+TagIViWmRIOJ&#10;JLel264Dnb52HUEStpHMNJU3F2H7kN/VdqPWPao4GD23oJ7TwhNOThnPRa9QO5WUOKL5D8oZjYFC&#10;lxY6uGoiUhRhFsv6iTYPg4pQuLDUFK+i08vB6i+nexSmbeR7KbxyPPDv37IqY6Q1Bx/iPc4esZkp&#10;njt0+cvNi3NR8nJVEs5JaD5cfqxv6ppF1hxb3bzNNsNUf29HpPQJghPZaCTypIqA6vSZ0pT6JyUX&#10;o2BNuzfWFgf7w51FcVI81X15ZvR/0qzPyT7kaxPidAJlL+YymefELFuH0F5Yj5EXopH066gQpFBe&#10;D4F3JklxjGj6gftdloL5Cg+mEJuXKE/+sc/24x9n+x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F&#10;ia6S1QAAAAoBAAAPAAAAAAAAAAEAIAAAACIAAABkcnMvZG93bnJldi54bWxQSwECFAAUAAAACACH&#10;TuJAtsrEvbUBAACAAwAADgAAAAAAAAABACAAAAAkAQAAZHJzL2Uyb0RvYy54bWxQSwUGAAAAAAYA&#10;BgBZAQAASwU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6"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txbx>
                              <w:txbxContent>
                                <w:p>
                                  <w:pPr>
                                    <w:jc w:val="center"/>
                                  </w:pPr>
                                </w:p>
                              </w:txbxContent>
                            </wps:txbx>
                            <wps:bodyPr wrap="square" anchor="t" upright="1"/>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Jjkrjq6AQAAiwMAAA4AAABkcnMvZTJvRG9jLnhtbK1TTW/b&#10;MAy9D9h/EHRf7GRDVxhxCrRBdim2At1+gCJLtgB9jVRi59+Pkr2s6y49TAeZFKlHvid6ezc5y84K&#10;0ATf8vWq5kx5GTrj+5b/+H74cMsZJuE7YYNXLb8o5He79++2Y2zUJgzBdgoYgXhsxtjyIaXYVBXK&#10;QTmBqxCVp6AO4EQiF/qqAzESurPVpq5vqjFAFyFIhUin+znIF0R4C2DQ2ki1D/LklE8zKigrElHC&#10;wUTku9Kt1kqmb1qjSsy2nJimslMRso95r3Zb0fQg4mDk0oJ4SwuvODlhPBW9Qu1FEuwE5h8oZyQE&#10;DDqtZHDVTKQoQizW9SttngcRVeFCUmO8io7/D1Z+PT8BM13LbzjzwtGDP95nVcaIDQWf4xMsHpKZ&#10;KU4aXP5S82wqSl6uSqopMUmH683nmhZnkmIf60+3ZBNM9ed2BExfVHAsGy0HeqkioDg/YppTf6fk&#10;Yhis6Q7G2uJAf3ywwM6CXvVQ1oL+V5r1OdmHfG1GnE9UmYulTOY5M8tWmo7TQvcYugtJM9JstBx/&#10;ngQozoSXQ6DxSZydIph+oNbXpXa+TW9UOC7zlIfgpU/2y39o9w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D4Yvl1gAAAAkBAAAPAAAAAAAAAAEAIAAAACIAAABkcnMvZG93bnJldi54bWxQSwECFAAU&#10;AAAACACHTuJAmOSuOroBAACLAwAADgAAAAAAAAABACAAAAAlAQAAZHJzL2Uyb0RvYy54bWxQSwUG&#10;AAAAAAYABgBZAQAAUQUAAAAA&#10;">
                      <v:fill on="t" focussize="0,0"/>
                      <v:stroke on="f"/>
                      <v:imagedata o:title=""/>
                      <o:lock v:ext="edit" aspectratio="f"/>
                      <v:textbox>
                        <w:txbxContent>
                          <w:p>
                            <w:pPr>
                              <w:jc w:val="center"/>
                            </w:pPr>
                          </w:p>
                        </w:txbxContent>
                      </v:textbox>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94"/>
              <w:framePr w:wrap="around"/>
              <w:rPr>
                <w:rFonts w:hint="eastAsia" w:eastAsia="宋体"/>
                <w:lang w:eastAsia="zh-CN"/>
              </w:rPr>
            </w:pPr>
            <w:r>
              <w:rPr>
                <w:rFonts w:hint="eastAsia"/>
                <w:sz w:val="24"/>
                <w:szCs w:val="24"/>
                <w:lang w:eastAsia="zh-CN"/>
              </w:rPr>
              <w:t>（</w:t>
            </w:r>
            <w:r>
              <w:rPr>
                <w:rFonts w:hint="eastAsia"/>
                <w:sz w:val="24"/>
                <w:szCs w:val="24"/>
                <w:lang w:val="en-US" w:eastAsia="zh-CN"/>
              </w:rPr>
              <w:t>报批稿</w:t>
            </w:r>
            <w:r>
              <w:rPr>
                <w:rFonts w:hint="eastAsia"/>
                <w:sz w:val="24"/>
                <w:szCs w:val="24"/>
                <w:lang w:eastAsia="zh-CN"/>
              </w:rPr>
              <w:t>）</w:t>
            </w:r>
            <w:bookmarkStart w:id="129" w:name="_GoBack"/>
            <w:bookmarkEnd w:id="129"/>
          </w:p>
        </w:tc>
      </w:tr>
    </w:tbl>
    <w:p>
      <w:pPr>
        <w:pStyle w:val="142"/>
        <w:framePr w:wrap="around" w:hAnchor="page" w:x="1213" w:y="14161"/>
      </w:pPr>
      <w:r>
        <w:rPr>
          <w:rFonts w:hint="eastAsia" w:ascii="黑体"/>
          <w:lang w:val="en-US" w:eastAsia="zh-CN"/>
        </w:rPr>
        <w:t>2021</w:t>
      </w:r>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4"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-244475</wp:posOffset>
                </wp:positionH>
                <wp:positionV relativeFrom="page">
                  <wp:posOffset>9363710</wp:posOffset>
                </wp:positionV>
                <wp:extent cx="6120130" cy="0"/>
                <wp:effectExtent l="0" t="0" r="13970" b="1905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10" o:spid="_x0000_s1026" o:spt="20" style="position:absolute;left:0pt;margin-left:-19.25pt;margin-top:737.3pt;height:0pt;width:481.9pt;mso-position-vertical-relative:page;z-index:251659264;mso-width-relative:page;mso-height-relative:page;" filled="f" stroked="t" coordsize="21600,21600" o:gfxdata="UEsDBAoAAAAAAIdO4kAAAAAAAAAAAAAAAAAEAAAAZHJzL1BLAwQUAAAACACHTuJAl1Ux7NkAAAAN&#10;AQAADwAAAGRycy9kb3ducmV2LnhtbE2PTU/DMAyG70j8h8hIXKYtWbuNUZruAPTGZWMTV68xbUXj&#10;dE32Ab+ecEBwtN9Hrx/nq4vtxIkG3zrWMJ0oEMSVMy3XGrav5XgJwgdkg51j0vBJHlbF9VWOmXFn&#10;XtNpE2oRS9hnqKEJoc+k9FVDFv3E9cQxe3eDxRDHoZZmwHMst51MlFpIiy3HCw329NhQ9bE5Wg2+&#10;3NGh/BpVI/WW1o6Sw9PLM2p9ezNVDyACXcIfDD/6UR2K6LR3RzZedBrG6XIe0RjM7mYLEBG5T+Yp&#10;iP3vSha5/P9F8Q1QSwMEFAAAAAgAh07iQJi8ZUXjAQAA3gMAAA4AAABkcnMvZTJvRG9jLnhtbK1T&#10;zW4TMRC+I/EOlu9kk6BWsMqmh4ZyQRAJeICJPZu15D953GzyLLwGJy48Tl+DsZOmpVxyYA/eGXv8&#10;zXzfjBc3e2fFDhOZ4Ds5m0ylQK+CNn7bye/f7t68k4IyeA02eOzkAUneLF+/WoyxxXkYgtWYBIN4&#10;asfYySHn2DYNqQEd0CRE9HzYh+Qgs5u2jU4wMrqzzXw6vW7GkHRMQSER766Oh/KEmC4BDH1vFK6C&#10;unfo8xE1oYXMlGgwkeSyVtv3qPKXvifMwnaSmea6chK2N2VtlgtotwniYNSpBLikhBecHBjPSc9Q&#10;K8gg7pP5B8oZlQKFPk9UcM2RSFWEWcymL7T5OkDEyoWlpngWnf4frPq8WydhdCevpPDguOEPP34+&#10;/PotZlWcMVLLMbd+nViq4lFcp8J03ydX/sxB7Kugh7OguM9C8eb1jFm9Za3V41nzdDEmyh8xOFGM&#10;TlrjC1doYfeJMifj0MeQsm29GDv5/mrOhSrgweu54Wy6yMWT39a7FKzRd8bacoPSdnNrk9hBaX79&#10;Sr8Z96+wkmQFNBzj6tFxLAYE/cFrkQ+RZfH8GmQpwaGWwiI/nmLVAcpg7CWRnNr6UhrW0TzxfFK1&#10;WJugD1Xspnjc9lrxaUTLXD332X7+LJ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dVMezZAAAA&#10;DQEAAA8AAAAAAAAAAQAgAAAAIgAAAGRycy9kb3ducmV2LnhtbFBLAQIUABQAAAAIAIdO4kCYvGVF&#10;4wEAAN4DAAAOAAAAAAAAAAEAIAAAACgBAABkcnMvZTJvRG9jLnhtbFBLBQYAAAAABgAGAFkBAAB9&#10;BQAAAAA=&#10;">
                <v:fill on="f" focussize="0,0"/>
                <v:stroke color="#000000" joinstyle="round"/>
                <v:imagedata o:title=""/>
                <o:lock v:ext="edit" aspectratio="f"/>
                <w10:anchorlock/>
              </v:line>
            </w:pict>
          </mc:Fallback>
        </mc:AlternateContent>
      </w:r>
    </w:p>
    <w:p>
      <w:pPr>
        <w:pStyle w:val="143"/>
        <w:framePr w:wrap="around" w:hAnchor="page" w:x="6385" w:y="14173"/>
      </w:pPr>
      <w:r>
        <w:rPr>
          <w:rFonts w:hint="eastAsia" w:ascii="黑体"/>
          <w:lang w:val="en-US" w:eastAsia="zh-CN"/>
        </w:rPr>
        <w:t>2021</w:t>
      </w:r>
      <w:r>
        <w:rPr>
          <w:rFonts w:ascii="黑体"/>
        </w:rPr>
        <w:t>-</w:t>
      </w:r>
      <w:bookmarkStart w:id="5"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ascii="黑体"/>
        </w:rPr>
        <w:t>-</w:t>
      </w:r>
      <w:bookmarkStart w:id="6"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hint="eastAsia"/>
        </w:rPr>
        <w:t>实施</w:t>
      </w:r>
    </w:p>
    <w:p>
      <w:pPr>
        <w:pStyle w:val="123"/>
        <w:framePr w:wrap="around"/>
      </w:pPr>
      <w:bookmarkStart w:id="7" w:name="fm"/>
      <w:r>
        <w:rPr>
          <w:rStyle w:val="85"/>
          <w:rFonts w:hint="eastAsia"/>
          <w:spacing w:val="0"/>
          <w:position w:val="0"/>
          <w:sz w:val="28"/>
          <w:szCs w:val="28"/>
        </w:rPr>
        <w:fldChar w:fldCharType="begin">
          <w:ffData>
            <w:name w:val="fm"/>
            <w:enabled/>
            <w:calcOnExit w:val="0"/>
            <w:textInput/>
          </w:ffData>
        </w:fldChar>
      </w:r>
      <w:r>
        <w:rPr>
          <w:rStyle w:val="85"/>
          <w:rFonts w:hint="eastAsia"/>
          <w:spacing w:val="0"/>
          <w:position w:val="0"/>
          <w:sz w:val="28"/>
          <w:szCs w:val="28"/>
        </w:rPr>
        <w:instrText xml:space="preserve"> FORMTEXT </w:instrText>
      </w:r>
      <w:r>
        <w:rPr>
          <w:rStyle w:val="85"/>
          <w:rFonts w:hint="eastAsia"/>
          <w:spacing w:val="0"/>
          <w:position w:val="0"/>
          <w:sz w:val="28"/>
          <w:szCs w:val="28"/>
        </w:rPr>
        <w:fldChar w:fldCharType="separate"/>
      </w:r>
      <w:r>
        <w:rPr>
          <w:rStyle w:val="85"/>
          <w:rFonts w:hint="eastAsia"/>
          <w:spacing w:val="0"/>
          <w:position w:val="0"/>
          <w:sz w:val="28"/>
          <w:szCs w:val="28"/>
        </w:rPr>
        <w:t>江苏省市场监督管理局</w:t>
      </w:r>
      <w:r>
        <w:rPr>
          <w:rStyle w:val="85"/>
          <w:rFonts w:hint="eastAsia"/>
          <w:spacing w:val="0"/>
          <w:position w:val="0"/>
          <w:sz w:val="28"/>
          <w:szCs w:val="28"/>
        </w:rPr>
        <w:fldChar w:fldCharType="end"/>
      </w:r>
      <w:bookmarkEnd w:id="7"/>
      <w:r>
        <w:rPr>
          <w:rStyle w:val="85"/>
          <w:rFonts w:hint="eastAsia"/>
          <w:spacing w:val="0"/>
          <w:position w:val="0"/>
          <w:sz w:val="28"/>
          <w:szCs w:val="28"/>
          <w:lang w:val="en-US" w:eastAsia="zh-CN"/>
        </w:rPr>
        <w:t xml:space="preserve"> 江苏省住房和城乡建设</w:t>
      </w:r>
      <w:r>
        <w:rPr>
          <w:rStyle w:val="85"/>
          <w:rFonts w:hint="eastAsia"/>
          <w:spacing w:val="204"/>
          <w:position w:val="0"/>
          <w:sz w:val="28"/>
          <w:szCs w:val="28"/>
          <w:lang w:val="en-US" w:eastAsia="zh-CN"/>
        </w:rPr>
        <w:t>厅</w:t>
      </w:r>
      <w:r>
        <w:rPr>
          <w:rStyle w:val="85"/>
          <w:rFonts w:hint="eastAsia"/>
          <w:spacing w:val="68"/>
          <w:w w:val="100"/>
          <w:position w:val="0"/>
          <w:sz w:val="28"/>
          <w:szCs w:val="28"/>
        </w:rPr>
        <w:t>发布</w:t>
      </w:r>
    </w:p>
    <w:p>
      <w:pPr>
        <w:pStyle w:val="25"/>
        <w:sectPr>
          <w:headerReference r:id="rId3" w:type="even"/>
          <w:pgSz w:w="11906" w:h="16838"/>
          <w:pgMar w:top="567" w:right="1134" w:bottom="1134" w:left="1417"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2338705</wp:posOffset>
                </wp:positionV>
                <wp:extent cx="6120130" cy="0"/>
                <wp:effectExtent l="0" t="0" r="13970" b="19050"/>
                <wp:wrapNone/>
                <wp:docPr id="3"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11" o:spid="_x0000_s1026" o:spt="20" style="position:absolute;left:0pt;margin-left:-0.05pt;margin-top:184.15pt;height:0pt;width:481.9pt;z-index:251660288;mso-width-relative:page;mso-height-relative:page;" filled="f" stroked="t" coordsize="21600,21600" o:gfxdata="UEsDBAoAAAAAAIdO4kAAAAAAAAAAAAAAAAAEAAAAZHJzL1BLAwQUAAAACACHTuJAkTT8dtcAAAAJ&#10;AQAADwAAAGRycy9kb3ducmV2LnhtbE2PzU7DMBCE70h9B2srcalaO42UlhCnByA3LrRFXLfxkkTE&#10;6zR2f+DpMRISHGdnNPNtsbnaXpxp9J1jDclCgSCunem40bDfVfM1CB+QDfaOScMnediUk5sCc+Mu&#10;/ELnbWhELGGfo4Y2hCGX0tctWfQLNxBH792NFkOUYyPNiJdYbnu5VCqTFjuOCy0O9NBS/bE9WQ2+&#10;eqVj9TWrZ+otbRwtj4/PT6j17TRR9yACXcNfGH7wIzqUkengTmy86DXMkxjUkGbrFET077J0BeLw&#10;e5FlIf9/UH4DUEsDBBQAAAAIAIdO4kBXS5zQ5AEAAN4DAAAOAAAAZHJzL2Uyb0RvYy54bWytU82O&#10;0zAQviPxDpbvNE1Xu4Ko6R62LBcElYAHmNpOYsl/8nib9ll4DU5ceJx9DcZOtizLpQdycMae8Tfz&#10;fTNe3x6tYQcVUXvX8nqx5Ew54aV2fcu/fb1/85YzTOAkGO9Uy08K+e3m9av1GBq18oM3UkVGIA6b&#10;MbR8SCk0VYViUBZw4YNy5Ox8tJBoG/tKRhgJ3ZpqtVzeVKOPMkQvFCKdbicnnxHjJYC+67RQWy8e&#10;rHJpQo3KQCJKOOiAfFOq7Tol0ueuQ5WYaTkxTWWlJGTv81pt1tD0EcKgxVwCXFLCC04WtKOkZ6gt&#10;JGAPUf8DZbWIHn2XFsLbaiJSFCEW9fKFNl8GCKpwIakxnEXH/wcrPh12kWnZ8ivOHFhq+OP3H48/&#10;f7G6zuKMARuKuXO7OO8w7GJmeuyizX/iwI5F0NNZUHVMTNDhTU2srkhr8eSr/lwMEdMH5S3LRsuN&#10;dpkrNHD4iImSUehTSD42jo0tf3e9uiY4oMHrqOFk2kDFo+vLXfRGy3ttTL6Bsd/fmcgOkJtfvkyJ&#10;cP8Ky0m2gMMUV1zTWAwK5HsnWToFksXRa+C5BKskZ0bR48kWAUKTQJtLIim1cfmCKqM588waT6pm&#10;a+/lqYhd5R21vVQ8j2ieq+d7sp8/y81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kTT8dtcAAAAJ&#10;AQAADwAAAAAAAAABACAAAAAiAAAAZHJzL2Rvd25yZXYueG1sUEsBAhQAFAAAAAgAh07iQFdLnNDk&#10;AQAA3gMAAA4AAAAAAAAAAQAgAAAAJgEAAGRycy9lMm9Eb2MueG1sUEsFBgAAAAAGAAYAWQEAAHwF&#10;AAAAAA==&#10;">
                <v:fill on="f" focussize="0,0"/>
                <v:stroke color="#000000" joinstyle="round"/>
                <v:imagedata o:title=""/>
                <o:lock v:ext="edit" aspectratio="f"/>
              </v:line>
            </w:pict>
          </mc:Fallback>
        </mc:AlternateContent>
      </w:r>
    </w:p>
    <w:p>
      <w:pPr>
        <w:pStyle w:val="157"/>
        <w:adjustRightInd w:val="0"/>
        <w:spacing w:after="468"/>
        <w:rPr>
          <w:rFonts w:hint="eastAsia" w:hAnsi="Calibri"/>
          <w:spacing w:val="320"/>
          <w:szCs w:val="21"/>
        </w:rPr>
      </w:pPr>
      <w:bookmarkStart w:id="8" w:name="PRTVIEWTCS"/>
      <w:bookmarkEnd w:id="8"/>
      <w:bookmarkStart w:id="9" w:name="_Toc7377570"/>
      <w:bookmarkStart w:id="10" w:name="_Toc532914493"/>
      <w:bookmarkStart w:id="11" w:name="_Toc504143591"/>
      <w:bookmarkStart w:id="12" w:name="_Toc521488067"/>
      <w:bookmarkStart w:id="13" w:name="_Toc488245931"/>
      <w:bookmarkStart w:id="14" w:name="_Toc504133277"/>
      <w:bookmarkStart w:id="15" w:name="_Toc532892963"/>
      <w:bookmarkStart w:id="16" w:name="_Toc521407144"/>
      <w:bookmarkStart w:id="17" w:name="_Toc532892934"/>
      <w:bookmarkStart w:id="18" w:name="_Toc521421773"/>
      <w:bookmarkStart w:id="19" w:name="_Toc521407202"/>
      <w:bookmarkStart w:id="20" w:name="_Toc7377001"/>
      <w:bookmarkStart w:id="21" w:name="_Toc488157674"/>
      <w:bookmarkStart w:id="22" w:name="_Toc488245913"/>
      <w:bookmarkStart w:id="23" w:name="_Toc533777092"/>
      <w:bookmarkStart w:id="24" w:name="_Toc488245885"/>
      <w:bookmarkStart w:id="25" w:name="_Toc504140230"/>
      <w:bookmarkStart w:id="26" w:name="_Toc491787422"/>
      <w:bookmarkStart w:id="27" w:name="_Toc7377551"/>
      <w:bookmarkStart w:id="28" w:name="_Toc521407175"/>
      <w:bookmarkStart w:id="29" w:name="_Toc521419294"/>
      <w:bookmarkStart w:id="30" w:name="_Toc492023786"/>
      <w:bookmarkStart w:id="31" w:name="_Toc532913491"/>
      <w:bookmarkStart w:id="32" w:name="_Toc533758266"/>
      <w:bookmarkStart w:id="33" w:name="_Toc533425483"/>
      <w:bookmarkStart w:id="34" w:name="_Toc7188472"/>
      <w:bookmarkStart w:id="35" w:name="_Toc533413423"/>
      <w:r>
        <w:rPr>
          <w:rFonts w:hint="eastAsia" w:hAnsi="Calibri"/>
          <w:spacing w:val="320"/>
          <w:szCs w:val="21"/>
        </w:rPr>
        <w:t>目次</w:t>
      </w:r>
    </w:p>
    <w:p>
      <w:pPr>
        <w:pStyle w:val="21"/>
        <w:spacing w:before="78" w:after="78"/>
        <w:rPr>
          <w:rFonts w:ascii="Calibri" w:hAnsi="Calibri"/>
          <w:szCs w:val="22"/>
        </w:rPr>
      </w:pPr>
      <w:r>
        <w:fldChar w:fldCharType="begin" w:fldLock="1"/>
      </w:r>
      <w:r>
        <w:instrText xml:space="preserve">TOC \h \z \t"</w:instrText>
      </w:r>
      <w:r>
        <w:rPr>
          <w:rFonts w:hint="eastAsia"/>
        </w:rPr>
        <w:instrText xml:space="preserve">前言、引言标题</w:instrText>
      </w:r>
      <w:r>
        <w:instrText xml:space="preserve">,1,</w:instrText>
      </w:r>
      <w:r>
        <w:rPr>
          <w:rFonts w:hint="eastAsia"/>
        </w:rPr>
        <w:instrText xml:space="preserve">参考文献、索引标题</w:instrText>
      </w:r>
      <w:r>
        <w:instrText xml:space="preserve">,1,</w:instrText>
      </w:r>
      <w:r>
        <w:rPr>
          <w:rFonts w:hint="eastAsia"/>
        </w:rPr>
        <w:instrText xml:space="preserve">章标题</w:instrText>
      </w:r>
      <w:r>
        <w:instrText xml:space="preserve">,1,</w:instrText>
      </w:r>
      <w:r>
        <w:rPr>
          <w:rFonts w:hint="eastAsia"/>
        </w:rPr>
        <w:instrText xml:space="preserve">参考文献</w:instrText>
      </w:r>
      <w:r>
        <w:instrText xml:space="preserve">,1,</w:instrText>
      </w:r>
      <w:r>
        <w:rPr>
          <w:rFonts w:hint="eastAsia"/>
        </w:rPr>
        <w:instrText xml:space="preserve">附录标识</w:instrText>
      </w:r>
      <w:r>
        <w:instrText xml:space="preserve">,1" \* MERGEFORMAT</w:instrText>
      </w:r>
      <w:r>
        <w:fldChar w:fldCharType="separate"/>
      </w:r>
      <w:r>
        <w:fldChar w:fldCharType="begin"/>
      </w:r>
      <w:r>
        <w:instrText xml:space="preserve"> HYPERLINK \l "_Toc7377845" </w:instrText>
      </w:r>
      <w:r>
        <w:fldChar w:fldCharType="separate"/>
      </w:r>
      <w:r>
        <w:rPr>
          <w:rStyle w:val="41"/>
          <w:rFonts w:hint="eastAsia"/>
        </w:rPr>
        <w:t>前言</w:t>
      </w:r>
      <w:r>
        <w:tab/>
      </w:r>
      <w:r>
        <w:fldChar w:fldCharType="begin" w:fldLock="1"/>
      </w:r>
      <w:r>
        <w:instrText xml:space="preserve"> PAGEREF _Toc7377845 \h </w:instrText>
      </w:r>
      <w:r>
        <w:fldChar w:fldCharType="separate"/>
      </w:r>
      <w:r>
        <w:t>I</w:t>
      </w:r>
      <w:r>
        <w:fldChar w:fldCharType="end"/>
      </w:r>
      <w:r>
        <w:fldChar w:fldCharType="end"/>
      </w:r>
    </w:p>
    <w:p>
      <w:pPr>
        <w:pStyle w:val="21"/>
        <w:spacing w:before="78" w:after="78"/>
        <w:rPr>
          <w:rFonts w:ascii="Calibri" w:hAnsi="Calibri"/>
          <w:szCs w:val="22"/>
        </w:rPr>
      </w:pPr>
      <w:r>
        <w:fldChar w:fldCharType="begin"/>
      </w:r>
      <w:r>
        <w:instrText xml:space="preserve"> HYPERLINK \l "_Toc7377846" </w:instrText>
      </w:r>
      <w:r>
        <w:fldChar w:fldCharType="separate"/>
      </w:r>
      <w:r>
        <w:rPr>
          <w:rStyle w:val="41"/>
        </w:rPr>
        <w:t>1</w:t>
      </w:r>
      <w:r>
        <w:rPr>
          <w:rStyle w:val="41"/>
          <w:rFonts w:hint="eastAsia"/>
        </w:rPr>
        <w:t>　范围</w:t>
      </w:r>
      <w:r>
        <w:tab/>
      </w:r>
      <w:r>
        <w:fldChar w:fldCharType="begin" w:fldLock="1"/>
      </w:r>
      <w:r>
        <w:instrText xml:space="preserve"> PAGEREF _Toc7377846 \h </w:instrText>
      </w:r>
      <w:r>
        <w:fldChar w:fldCharType="separate"/>
      </w:r>
      <w:r>
        <w:t>1</w:t>
      </w:r>
      <w:r>
        <w:fldChar w:fldCharType="end"/>
      </w:r>
      <w:r>
        <w:fldChar w:fldCharType="end"/>
      </w:r>
    </w:p>
    <w:p>
      <w:pPr>
        <w:pStyle w:val="21"/>
        <w:spacing w:before="78" w:after="78"/>
        <w:rPr>
          <w:rFonts w:ascii="Calibri" w:hAnsi="Calibri"/>
          <w:szCs w:val="22"/>
        </w:rPr>
      </w:pPr>
      <w:r>
        <w:fldChar w:fldCharType="begin"/>
      </w:r>
      <w:r>
        <w:instrText xml:space="preserve"> HYPERLINK \l "_Toc7377847" </w:instrText>
      </w:r>
      <w:r>
        <w:fldChar w:fldCharType="separate"/>
      </w:r>
      <w:r>
        <w:rPr>
          <w:rStyle w:val="41"/>
        </w:rPr>
        <w:t>2</w:t>
      </w:r>
      <w:r>
        <w:rPr>
          <w:rStyle w:val="41"/>
          <w:rFonts w:hint="eastAsia"/>
        </w:rPr>
        <w:t>　规范性引用文件</w:t>
      </w:r>
      <w:r>
        <w:tab/>
      </w:r>
      <w:r>
        <w:fldChar w:fldCharType="begin" w:fldLock="1"/>
      </w:r>
      <w:r>
        <w:instrText xml:space="preserve"> PAGEREF _Toc7377847 \h </w:instrText>
      </w:r>
      <w:r>
        <w:fldChar w:fldCharType="separate"/>
      </w:r>
      <w:r>
        <w:t>1</w:t>
      </w:r>
      <w:r>
        <w:fldChar w:fldCharType="end"/>
      </w:r>
      <w:r>
        <w:fldChar w:fldCharType="end"/>
      </w:r>
    </w:p>
    <w:p>
      <w:pPr>
        <w:pStyle w:val="21"/>
        <w:spacing w:before="78" w:after="78"/>
        <w:rPr>
          <w:rFonts w:ascii="Calibri" w:hAnsi="Calibri"/>
          <w:szCs w:val="22"/>
        </w:rPr>
      </w:pPr>
      <w:r>
        <w:fldChar w:fldCharType="begin"/>
      </w:r>
      <w:r>
        <w:instrText xml:space="preserve"> HYPERLINK \l "_Toc7377848" </w:instrText>
      </w:r>
      <w:r>
        <w:fldChar w:fldCharType="separate"/>
      </w:r>
      <w:r>
        <w:rPr>
          <w:rStyle w:val="41"/>
        </w:rPr>
        <w:t>3</w:t>
      </w:r>
      <w:r>
        <w:rPr>
          <w:rStyle w:val="41"/>
          <w:rFonts w:hint="eastAsia"/>
        </w:rPr>
        <w:t>　术语</w:t>
      </w:r>
      <w:r>
        <w:tab/>
      </w:r>
      <w:r>
        <w:fldChar w:fldCharType="begin" w:fldLock="1"/>
      </w:r>
      <w:r>
        <w:instrText xml:space="preserve"> PAGEREF _Toc7377848 \h </w:instrText>
      </w:r>
      <w:r>
        <w:fldChar w:fldCharType="separate"/>
      </w:r>
      <w:r>
        <w:t>1</w:t>
      </w:r>
      <w:r>
        <w:fldChar w:fldCharType="end"/>
      </w:r>
      <w:r>
        <w:fldChar w:fldCharType="end"/>
      </w:r>
    </w:p>
    <w:p>
      <w:pPr>
        <w:pStyle w:val="21"/>
        <w:spacing w:before="78" w:after="78"/>
        <w:rPr>
          <w:rFonts w:ascii="Calibri" w:hAnsi="Calibri"/>
          <w:szCs w:val="22"/>
        </w:rPr>
      </w:pPr>
      <w:r>
        <w:fldChar w:fldCharType="begin"/>
      </w:r>
      <w:r>
        <w:instrText xml:space="preserve"> HYPERLINK \l "_Toc7377849" </w:instrText>
      </w:r>
      <w:r>
        <w:fldChar w:fldCharType="separate"/>
      </w:r>
      <w:r>
        <w:rPr>
          <w:rStyle w:val="41"/>
        </w:rPr>
        <w:t>4</w:t>
      </w:r>
      <w:r>
        <w:rPr>
          <w:rStyle w:val="41"/>
          <w:rFonts w:hint="eastAsia"/>
        </w:rPr>
        <w:t>　</w:t>
      </w:r>
      <w:r>
        <w:rPr>
          <w:rStyle w:val="41"/>
          <w:rFonts w:hint="eastAsia"/>
          <w:lang w:val="en-US" w:eastAsia="zh-CN"/>
        </w:rPr>
        <w:t>基本规定</w:t>
      </w:r>
      <w:r>
        <w:tab/>
      </w:r>
      <w:r>
        <w:rPr>
          <w:rFonts w:hint="eastAsia"/>
          <w:lang w:val="en-US" w:eastAsia="zh-CN"/>
        </w:rPr>
        <w:t>2</w:t>
      </w:r>
      <w:r>
        <w:fldChar w:fldCharType="end"/>
      </w:r>
    </w:p>
    <w:p>
      <w:pPr>
        <w:pStyle w:val="21"/>
        <w:spacing w:before="78" w:after="78"/>
        <w:rPr>
          <w:rFonts w:ascii="Calibri" w:hAnsi="Calibri"/>
          <w:szCs w:val="22"/>
        </w:rPr>
      </w:pPr>
      <w:r>
        <w:fldChar w:fldCharType="begin"/>
      </w:r>
      <w:r>
        <w:instrText xml:space="preserve"> HYPERLINK \l "_Toc7377850" </w:instrText>
      </w:r>
      <w:r>
        <w:fldChar w:fldCharType="separate"/>
      </w:r>
      <w:r>
        <w:rPr>
          <w:rStyle w:val="41"/>
        </w:rPr>
        <w:t>5</w:t>
      </w:r>
      <w:r>
        <w:rPr>
          <w:rStyle w:val="41"/>
          <w:rFonts w:hint="eastAsia"/>
        </w:rPr>
        <w:t>　</w:t>
      </w:r>
      <w:r>
        <w:rPr>
          <w:rStyle w:val="41"/>
          <w:rFonts w:hint="eastAsia"/>
          <w:lang w:val="en-US" w:eastAsia="zh-CN"/>
        </w:rPr>
        <w:t>材料要求</w:t>
      </w:r>
      <w:r>
        <w:tab/>
      </w:r>
      <w:r>
        <w:rPr>
          <w:rFonts w:hint="eastAsia"/>
          <w:lang w:val="en-US" w:eastAsia="zh-CN"/>
        </w:rPr>
        <w:t>3</w:t>
      </w:r>
      <w:r>
        <w:fldChar w:fldCharType="end"/>
      </w:r>
    </w:p>
    <w:p>
      <w:pPr>
        <w:pStyle w:val="21"/>
        <w:spacing w:before="78" w:after="78"/>
        <w:rPr>
          <w:rFonts w:ascii="Calibri" w:hAnsi="Calibri"/>
          <w:szCs w:val="22"/>
        </w:rPr>
      </w:pPr>
      <w:r>
        <w:fldChar w:fldCharType="begin"/>
      </w:r>
      <w:r>
        <w:instrText xml:space="preserve"> HYPERLINK \l "_Toc7377851" </w:instrText>
      </w:r>
      <w:r>
        <w:fldChar w:fldCharType="separate"/>
      </w:r>
      <w:r>
        <w:rPr>
          <w:rStyle w:val="41"/>
        </w:rPr>
        <w:t>6</w:t>
      </w:r>
      <w:r>
        <w:rPr>
          <w:rStyle w:val="41"/>
          <w:rFonts w:hint="eastAsia"/>
        </w:rPr>
        <w:t>　</w:t>
      </w:r>
      <w:r>
        <w:rPr>
          <w:rStyle w:val="41"/>
          <w:rFonts w:hint="eastAsia"/>
          <w:lang w:val="en-US" w:eastAsia="zh-CN"/>
        </w:rPr>
        <w:t>开挖回填施工</w:t>
      </w:r>
      <w:r>
        <w:tab/>
      </w:r>
      <w:r>
        <w:rPr>
          <w:rFonts w:hint="eastAsia"/>
          <w:lang w:val="en-US" w:eastAsia="zh-CN"/>
        </w:rPr>
        <w:t>5</w:t>
      </w:r>
      <w:r>
        <w:rPr>
          <w:rFonts w:hint="eastAsia"/>
        </w:rPr>
        <w:fldChar w:fldCharType="end"/>
      </w:r>
    </w:p>
    <w:p>
      <w:pPr>
        <w:pStyle w:val="21"/>
        <w:spacing w:before="78" w:after="78"/>
        <w:rPr>
          <w:rStyle w:val="41"/>
        </w:rPr>
      </w:pPr>
      <w:r>
        <w:fldChar w:fldCharType="begin"/>
      </w:r>
      <w:r>
        <w:instrText xml:space="preserve"> HYPERLINK \l "_Toc7377852" </w:instrText>
      </w:r>
      <w:r>
        <w:fldChar w:fldCharType="separate"/>
      </w:r>
      <w:r>
        <w:rPr>
          <w:rStyle w:val="41"/>
        </w:rPr>
        <w:t>7</w:t>
      </w:r>
      <w:r>
        <w:rPr>
          <w:rStyle w:val="41"/>
          <w:rFonts w:hint="eastAsia"/>
        </w:rPr>
        <w:t>　</w:t>
      </w:r>
      <w:r>
        <w:rPr>
          <w:rStyle w:val="41"/>
          <w:rFonts w:hint="eastAsia"/>
          <w:lang w:val="en-US" w:eastAsia="zh-CN"/>
        </w:rPr>
        <w:t>验收</w:t>
      </w:r>
      <w:r>
        <w:tab/>
      </w:r>
      <w:r>
        <w:rPr>
          <w:rFonts w:hint="eastAsia"/>
          <w:lang w:val="en-US" w:eastAsia="zh-CN"/>
        </w:rPr>
        <w:t>9</w:t>
      </w:r>
      <w:r>
        <w:fldChar w:fldCharType="end"/>
      </w:r>
    </w:p>
    <w:p>
      <w:pPr>
        <w:pStyle w:val="21"/>
        <w:spacing w:before="78" w:after="78"/>
        <w:rPr>
          <w:rFonts w:hint="eastAsia" w:eastAsia="宋体"/>
          <w:color w:val="0000FF"/>
          <w:u w:val="single"/>
          <w:lang w:val="en-US" w:eastAsia="zh-CN"/>
        </w:rPr>
      </w:pPr>
      <w:r>
        <w:fldChar w:fldCharType="begin"/>
      </w:r>
      <w:r>
        <w:instrText xml:space="preserve"> HYPERLINK \l "_Toc7377852" </w:instrText>
      </w:r>
      <w:r>
        <w:fldChar w:fldCharType="separate"/>
      </w:r>
      <w:r>
        <w:rPr>
          <w:rStyle w:val="41"/>
          <w:rFonts w:hint="eastAsia"/>
        </w:rPr>
        <w:t>附录</w:t>
      </w:r>
      <w:r>
        <w:rPr>
          <w:rStyle w:val="41"/>
        </w:rPr>
        <w:t>A</w:t>
      </w:r>
      <w:r>
        <w:rPr>
          <w:rStyle w:val="41"/>
          <w:rFonts w:hint="eastAsia"/>
        </w:rPr>
        <w:t>（资料性附录）</w:t>
      </w:r>
      <w:r>
        <w:tab/>
      </w:r>
      <w:r>
        <w:rPr>
          <w:rFonts w:hint="eastAsia"/>
          <w:lang w:val="en-US" w:eastAsia="zh-CN"/>
        </w:rPr>
        <w:t>1</w:t>
      </w:r>
      <w:r>
        <w:fldChar w:fldCharType="end"/>
      </w:r>
      <w:r>
        <w:rPr>
          <w:rFonts w:hint="eastAsia"/>
          <w:lang w:val="en-US" w:eastAsia="zh-CN"/>
        </w:rPr>
        <w:t>3</w:t>
      </w:r>
    </w:p>
    <w:p>
      <w:pPr>
        <w:pStyle w:val="25"/>
      </w:pPr>
      <w:r>
        <w:fldChar w:fldCharType="end"/>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Pr>
        <w:pStyle w:val="25"/>
      </w:pPr>
    </w:p>
    <w:p>
      <w:pPr>
        <w:pStyle w:val="124"/>
        <w:keepNext/>
        <w:keepLines w:val="0"/>
        <w:pageBreakBefore/>
        <w:widowControl/>
        <w:kinsoku/>
        <w:wordWrap/>
        <w:overflowPunct/>
        <w:topLinePunct w:val="0"/>
        <w:autoSpaceDE/>
        <w:autoSpaceDN/>
        <w:bidi w:val="0"/>
        <w:adjustRightInd/>
        <w:snapToGrid/>
        <w:textAlignment w:val="auto"/>
        <w:rPr>
          <w:rFonts w:hint="eastAsia"/>
        </w:rPr>
      </w:pPr>
      <w:r>
        <w:rPr>
          <w:rFonts w:hint="eastAsia"/>
        </w:rPr>
        <w:t>前</w:t>
      </w:r>
      <w:bookmarkStart w:id="36" w:name="BKQY"/>
      <w:r>
        <w:rPr>
          <w:rFonts w:hint="eastAsia" w:ascii="MS Mincho" w:hAnsi="MS Mincho" w:eastAsia="MS Mincho" w:cs="MS Mincho"/>
        </w:rPr>
        <w:t>  </w:t>
      </w:r>
      <w:r>
        <w:rPr>
          <w:rFonts w:hint="eastAsia"/>
        </w:rPr>
        <w:t>言</w:t>
      </w:r>
      <w:bookmarkEnd w:id="36"/>
    </w:p>
    <w:p>
      <w:pPr>
        <w:pStyle w:val="154"/>
        <w:ind w:firstLine="420"/>
      </w:pPr>
      <w:r>
        <w:rPr>
          <w:rFonts w:hint="eastAsia"/>
        </w:rPr>
        <w:t>本规程按照GB/T 1.1—2020《标准化工作导则  第1部分：标准化文件的结构和起草规则》的规定起草。</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cs="宋体"/>
          <w:color w:val="000000"/>
          <w:kern w:val="0"/>
          <w:szCs w:val="21"/>
        </w:rPr>
      </w:pPr>
      <w:r>
        <w:rPr>
          <w:rFonts w:hint="eastAsia" w:ascii="宋体" w:hAnsi="宋体" w:cs="宋体"/>
          <w:color w:val="000000"/>
          <w:kern w:val="0"/>
          <w:szCs w:val="21"/>
        </w:rPr>
        <w:t>本</w:t>
      </w:r>
      <w:r>
        <w:rPr>
          <w:rFonts w:hint="eastAsia" w:ascii="宋体" w:hAnsi="宋体" w:cs="宋体"/>
          <w:color w:val="000000"/>
          <w:kern w:val="0"/>
          <w:szCs w:val="21"/>
          <w:lang w:val="en-US" w:eastAsia="zh-CN"/>
        </w:rPr>
        <w:t>规程</w:t>
      </w:r>
      <w:r>
        <w:rPr>
          <w:rFonts w:hint="eastAsia" w:ascii="宋体" w:hAnsi="宋体" w:cs="宋体"/>
          <w:color w:val="000000"/>
          <w:kern w:val="0"/>
          <w:szCs w:val="21"/>
        </w:rPr>
        <w:t>由</w:t>
      </w:r>
      <w:r>
        <w:rPr>
          <w:rFonts w:ascii="Times New Roman"/>
        </w:rPr>
        <w:t>江苏省住房和城乡建设厅</w:t>
      </w:r>
      <w:r>
        <w:rPr>
          <w:rFonts w:hint="eastAsia" w:ascii="宋体" w:hAnsi="宋体" w:cs="宋体"/>
          <w:color w:val="000000"/>
          <w:kern w:val="0"/>
          <w:szCs w:val="21"/>
        </w:rPr>
        <w:t>提出。</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cs="宋体"/>
          <w:color w:val="000000"/>
          <w:kern w:val="0"/>
          <w:szCs w:val="21"/>
        </w:rPr>
      </w:pPr>
      <w:r>
        <w:rPr>
          <w:rFonts w:hint="eastAsia" w:ascii="宋体" w:hAnsi="宋体" w:cs="宋体"/>
          <w:color w:val="000000"/>
          <w:kern w:val="0"/>
          <w:szCs w:val="21"/>
        </w:rPr>
        <w:t>本</w:t>
      </w:r>
      <w:r>
        <w:rPr>
          <w:rFonts w:hint="eastAsia" w:ascii="宋体" w:hAnsi="宋体" w:cs="宋体"/>
          <w:color w:val="000000"/>
          <w:kern w:val="0"/>
          <w:szCs w:val="21"/>
          <w:lang w:val="en-US" w:eastAsia="zh-CN"/>
        </w:rPr>
        <w:t>规程</w:t>
      </w:r>
      <w:r>
        <w:rPr>
          <w:rFonts w:hint="eastAsia" w:ascii="宋体" w:hAnsi="宋体" w:cs="宋体"/>
          <w:color w:val="000000"/>
          <w:kern w:val="0"/>
          <w:szCs w:val="21"/>
        </w:rPr>
        <w:t>由江苏省住建厅归口。</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000000"/>
          <w:kern w:val="0"/>
          <w:szCs w:val="21"/>
          <w:lang w:eastAsia="zh-CN"/>
        </w:rPr>
      </w:pPr>
      <w:r>
        <w:rPr>
          <w:rFonts w:hint="eastAsia" w:ascii="宋体" w:hAnsi="宋体" w:cs="宋体"/>
          <w:color w:val="000000"/>
          <w:kern w:val="0"/>
          <w:szCs w:val="21"/>
        </w:rPr>
        <w:t>本</w:t>
      </w:r>
      <w:r>
        <w:rPr>
          <w:rFonts w:hint="eastAsia" w:ascii="宋体" w:hAnsi="宋体" w:cs="宋体"/>
          <w:color w:val="000000"/>
          <w:kern w:val="0"/>
          <w:szCs w:val="21"/>
          <w:lang w:val="en-US" w:eastAsia="zh-CN"/>
        </w:rPr>
        <w:t>规程</w:t>
      </w:r>
      <w:r>
        <w:rPr>
          <w:rFonts w:hint="eastAsia" w:ascii="宋体" w:hAnsi="宋体" w:cs="宋体"/>
          <w:color w:val="000000"/>
          <w:kern w:val="0"/>
          <w:szCs w:val="21"/>
        </w:rPr>
        <w:t>起草单位：英达热再生有限公司</w:t>
      </w:r>
      <w:r>
        <w:rPr>
          <w:rFonts w:hint="eastAsia" w:ascii="宋体" w:hAnsi="宋体" w:cs="宋体"/>
          <w:color w:val="000000"/>
          <w:kern w:val="0"/>
          <w:szCs w:val="21"/>
          <w:lang w:eastAsia="zh-CN"/>
        </w:rPr>
        <w:t>、</w:t>
      </w:r>
      <w:r>
        <w:rPr>
          <w:rFonts w:hint="eastAsia" w:ascii="宋体" w:hAnsi="宋体" w:cs="宋体"/>
          <w:color w:val="000000"/>
          <w:kern w:val="0"/>
          <w:szCs w:val="21"/>
        </w:rPr>
        <w:t>同济大学</w:t>
      </w:r>
      <w:r>
        <w:rPr>
          <w:rFonts w:hint="eastAsia" w:ascii="宋体" w:hAnsi="宋体" w:cs="宋体"/>
          <w:color w:val="000000"/>
          <w:kern w:val="0"/>
          <w:szCs w:val="21"/>
          <w:lang w:eastAsia="zh-CN"/>
        </w:rPr>
        <w:t>、</w:t>
      </w:r>
      <w:r>
        <w:rPr>
          <w:rFonts w:hint="eastAsia" w:ascii="宋体" w:hAnsi="宋体" w:cs="宋体"/>
          <w:color w:val="000000"/>
          <w:kern w:val="0"/>
          <w:szCs w:val="21"/>
        </w:rPr>
        <w:t>南京市交通运输局</w:t>
      </w:r>
      <w:r>
        <w:rPr>
          <w:rFonts w:hint="eastAsia" w:ascii="宋体" w:hAnsi="宋体" w:cs="宋体"/>
          <w:color w:val="000000"/>
          <w:kern w:val="0"/>
          <w:szCs w:val="21"/>
          <w:lang w:eastAsia="zh-CN"/>
        </w:rPr>
        <w:t>。</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cs="宋体"/>
          <w:color w:val="000000"/>
          <w:kern w:val="0"/>
          <w:szCs w:val="21"/>
        </w:rPr>
      </w:pPr>
      <w:r>
        <w:rPr>
          <w:rFonts w:hint="eastAsia" w:ascii="宋体" w:hAnsi="宋体" w:cs="宋体"/>
          <w:color w:val="000000"/>
          <w:kern w:val="0"/>
          <w:szCs w:val="21"/>
        </w:rPr>
        <w:t>本</w:t>
      </w:r>
      <w:r>
        <w:rPr>
          <w:rFonts w:hint="eastAsia" w:ascii="宋体" w:hAnsi="宋体" w:cs="宋体"/>
          <w:color w:val="000000"/>
          <w:kern w:val="0"/>
          <w:szCs w:val="21"/>
          <w:lang w:val="en-US" w:eastAsia="zh-CN"/>
        </w:rPr>
        <w:t>规程</w:t>
      </w:r>
      <w:r>
        <w:rPr>
          <w:rFonts w:hint="eastAsia" w:ascii="宋体" w:hAnsi="宋体" w:cs="宋体"/>
          <w:color w:val="000000"/>
          <w:kern w:val="0"/>
          <w:szCs w:val="21"/>
        </w:rPr>
        <w:t>主要起草人：雷 涛 施伟斌 张义甫 陈启景 戴合理 孙立军 朱 伟 朱建华 陈 敏 曹巍巍 胡小文 侯梦飞 徐肖龙 段鹏鹏</w:t>
      </w:r>
    </w:p>
    <w:p>
      <w:pPr>
        <w:pStyle w:val="25"/>
      </w:pPr>
    </w:p>
    <w:p>
      <w:pPr>
        <w:pStyle w:val="25"/>
      </w:pPr>
    </w:p>
    <w:p>
      <w:pPr>
        <w:pStyle w:val="25"/>
        <w:ind w:firstLine="0" w:firstLineChars="0"/>
      </w:pPr>
    </w:p>
    <w:p>
      <w:pPr>
        <w:pStyle w:val="25"/>
        <w:ind w:firstLine="0" w:firstLineChars="0"/>
        <w:sectPr>
          <w:headerReference r:id="rId4" w:type="default"/>
          <w:footerReference r:id="rId5" w:type="default"/>
          <w:footerReference r:id="rId6" w:type="even"/>
          <w:pgSz w:w="11906" w:h="16838"/>
          <w:pgMar w:top="567" w:right="1134" w:bottom="1134" w:left="1417" w:header="1418" w:footer="1134" w:gutter="0"/>
          <w:pgNumType w:fmt="upperRoman" w:start="1"/>
          <w:cols w:space="425" w:num="1"/>
          <w:formProt w:val="0"/>
          <w:docGrid w:type="lines" w:linePitch="312" w:charSpace="0"/>
        </w:sectPr>
      </w:pPr>
    </w:p>
    <w:p>
      <w:pPr>
        <w:pStyle w:val="62"/>
        <w:shd w:val="clear" w:color="FFFFFF" w:fill="FFFFFF"/>
        <w:rPr>
          <w:rFonts w:hint="eastAsia" w:hAnsi="Times New Roman" w:cs="Times New Roman"/>
          <w:color w:val="000000"/>
        </w:rPr>
      </w:pPr>
      <w:r>
        <w:rPr>
          <w:rFonts w:hint="eastAsia" w:hAnsi="Times New Roman" w:cs="Times New Roman"/>
          <w:color w:val="000000"/>
        </w:rPr>
        <w:t>城镇道路开挖、回填、恢复快速施工及验收规程</w:t>
      </w:r>
    </w:p>
    <w:p>
      <w:pPr>
        <w:pStyle w:val="57"/>
        <w:keepNext w:val="0"/>
        <w:keepLines w:val="0"/>
        <w:pageBreakBefore w:val="0"/>
        <w:widowControl/>
        <w:kinsoku/>
        <w:wordWrap/>
        <w:overflowPunct/>
        <w:topLinePunct w:val="0"/>
        <w:autoSpaceDE/>
        <w:autoSpaceDN/>
        <w:bidi w:val="0"/>
        <w:adjustRightInd/>
        <w:snapToGrid/>
        <w:spacing w:line="240" w:lineRule="auto"/>
        <w:ind w:left="0"/>
        <w:textAlignment w:val="auto"/>
      </w:pPr>
      <w:r>
        <w:rPr>
          <w:rFonts w:hint="eastAsia"/>
        </w:rPr>
        <w:t>范围</w:t>
      </w:r>
    </w:p>
    <w:p>
      <w:pPr>
        <w:pStyle w:val="25"/>
        <w:rPr>
          <w:rFonts w:hint="eastAsia" w:hAnsi="Times New Roman" w:eastAsia="宋体" w:cs="Times New Roman"/>
          <w:color w:val="000000"/>
        </w:rPr>
      </w:pPr>
      <w:r>
        <w:rPr>
          <w:rFonts w:hint="eastAsia" w:hAnsi="Times New Roman" w:eastAsia="宋体" w:cs="Times New Roman"/>
          <w:color w:val="000000"/>
        </w:rPr>
        <w:t>为贯彻国家关于建设节约型社会,实现循环经济、低碳经济的规定,最大限度地利用路面开挖产生的旧料,实现城镇道路开挖、回填和路面快速恢复,制定本规程。</w:t>
      </w:r>
    </w:p>
    <w:p>
      <w:pPr>
        <w:pStyle w:val="25"/>
        <w:rPr>
          <w:rFonts w:hint="eastAsia" w:hAnsi="Times New Roman" w:eastAsia="宋体" w:cs="Times New Roman"/>
          <w:color w:val="000000"/>
        </w:rPr>
      </w:pPr>
      <w:r>
        <w:rPr>
          <w:rFonts w:hint="eastAsia" w:hAnsi="Times New Roman" w:eastAsia="宋体" w:cs="Times New Roman"/>
          <w:color w:val="000000"/>
        </w:rPr>
        <w:t>本规程适用于城镇道路基层的快速开挖、回填及面层快速恢复工程的施工、质量控制和验收,包括:</w:t>
      </w:r>
    </w:p>
    <w:p>
      <w:pPr>
        <w:pStyle w:val="25"/>
        <w:rPr>
          <w:rFonts w:hint="eastAsia" w:hAnsi="Times New Roman" w:eastAsia="宋体" w:cs="Times New Roman"/>
          <w:color w:val="000000"/>
        </w:rPr>
      </w:pPr>
      <w:r>
        <w:rPr>
          <w:rFonts w:hint="eastAsia" w:hAnsi="Times New Roman" w:eastAsia="宋体" w:cs="Times New Roman"/>
          <w:color w:val="000000"/>
        </w:rPr>
        <w:t>a）城镇道路管道铺设、安装后沟槽、基坑、井室的快速回填和路面恢复。</w:t>
      </w:r>
    </w:p>
    <w:p>
      <w:pPr>
        <w:pStyle w:val="25"/>
        <w:rPr>
          <w:rFonts w:hint="eastAsia" w:hAnsi="Times New Roman" w:eastAsia="宋体" w:cs="Times New Roman"/>
          <w:color w:val="000000"/>
        </w:rPr>
      </w:pPr>
      <w:r>
        <w:rPr>
          <w:rFonts w:hint="eastAsia" w:hAnsi="Times New Roman" w:eastAsia="宋体" w:cs="Times New Roman"/>
          <w:color w:val="000000"/>
        </w:rPr>
        <w:t>b）城镇道路病害基层的快速开挖、回填和路面恢复。</w:t>
      </w:r>
    </w:p>
    <w:p>
      <w:pPr>
        <w:pStyle w:val="25"/>
        <w:rPr>
          <w:rFonts w:hint="eastAsia" w:hAnsi="Times New Roman" w:eastAsia="宋体" w:cs="Times New Roman"/>
          <w:color w:val="000000"/>
        </w:rPr>
      </w:pPr>
      <w:r>
        <w:rPr>
          <w:rFonts w:hint="eastAsia" w:hAnsi="Times New Roman" w:eastAsia="宋体" w:cs="Times New Roman"/>
          <w:color w:val="000000"/>
        </w:rPr>
        <w:t>c）城镇道路检查井口周围损坏路面结构的快速开挖、回填和恢复。</w:t>
      </w:r>
    </w:p>
    <w:p>
      <w:pPr>
        <w:pStyle w:val="25"/>
        <w:rPr>
          <w:rFonts w:hint="eastAsia" w:hAnsi="Times New Roman" w:eastAsia="宋体" w:cs="Times New Roman"/>
          <w:color w:val="000000"/>
        </w:rPr>
      </w:pPr>
      <w:r>
        <w:rPr>
          <w:rFonts w:hint="eastAsia" w:hAnsi="Times New Roman" w:eastAsia="宋体" w:cs="Times New Roman"/>
          <w:color w:val="000000"/>
        </w:rPr>
        <w:t>d）城镇道路基层及面层新建工程。</w:t>
      </w:r>
    </w:p>
    <w:p>
      <w:pPr>
        <w:pStyle w:val="25"/>
        <w:rPr>
          <w:rFonts w:hint="eastAsia" w:hAnsi="Times New Roman" w:eastAsia="宋体" w:cs="Times New Roman"/>
          <w:color w:val="000000"/>
        </w:rPr>
      </w:pPr>
      <w:r>
        <w:rPr>
          <w:rFonts w:hint="eastAsia" w:hAnsi="Times New Roman" w:eastAsia="宋体" w:cs="Times New Roman"/>
          <w:color w:val="000000"/>
        </w:rPr>
        <w:t>城镇道路基层的快速开挖、回填及面层的快速恢复工程施工除应符合本规程的规定外,尚应符合国家、行业及江苏省现行有关标准、规范的规定。</w:t>
      </w:r>
    </w:p>
    <w:p>
      <w:pPr>
        <w:pStyle w:val="57"/>
        <w:keepNext w:val="0"/>
        <w:keepLines w:val="0"/>
        <w:pageBreakBefore w:val="0"/>
        <w:widowControl/>
        <w:kinsoku/>
        <w:wordWrap/>
        <w:overflowPunct/>
        <w:topLinePunct w:val="0"/>
        <w:autoSpaceDE/>
        <w:autoSpaceDN/>
        <w:bidi w:val="0"/>
        <w:adjustRightInd/>
        <w:snapToGrid/>
        <w:spacing w:line="240" w:lineRule="auto"/>
        <w:ind w:left="0"/>
        <w:textAlignment w:val="auto"/>
        <w:rPr>
          <w:rFonts w:ascii="Times New Roman"/>
          <w:szCs w:val="21"/>
        </w:rPr>
      </w:pPr>
      <w:bookmarkStart w:id="37" w:name="_Toc16727"/>
      <w:bookmarkStart w:id="38" w:name="_Toc327877664"/>
      <w:bookmarkStart w:id="39" w:name="_Toc527332908"/>
      <w:bookmarkStart w:id="40" w:name="_Toc527332365"/>
      <w:bookmarkStart w:id="41" w:name="_Toc527332637"/>
      <w:bookmarkStart w:id="42" w:name="_Toc527332831"/>
      <w:bookmarkStart w:id="43" w:name="_Toc527332777"/>
      <w:bookmarkStart w:id="44" w:name="_Toc527332708"/>
      <w:bookmarkStart w:id="45" w:name="_Toc527332205"/>
      <w:r>
        <w:rPr>
          <w:rFonts w:ascii="Times New Roman"/>
          <w:szCs w:val="21"/>
        </w:rPr>
        <w:t>规范性引用文件</w:t>
      </w:r>
      <w:bookmarkEnd w:id="37"/>
    </w:p>
    <w:p>
      <w:pPr>
        <w:pStyle w:val="25"/>
        <w:rPr>
          <w:rFonts w:hint="eastAsia" w:hAnsi="Times New Roman" w:eastAsia="宋体" w:cs="Times New Roman"/>
          <w:color w:val="000000"/>
        </w:rPr>
      </w:pPr>
      <w:r>
        <w:rPr>
          <w:rFonts w:hint="eastAsia" w:hAnsi="Times New Roman" w:eastAsia="宋体" w:cs="Times New Roman"/>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5"/>
        <w:rPr>
          <w:rFonts w:hint="eastAsia" w:hAnsi="Times New Roman" w:eastAsia="宋体" w:cs="Times New Roman"/>
          <w:color w:val="000000"/>
        </w:rPr>
      </w:pPr>
      <w:r>
        <w:rPr>
          <w:rFonts w:hint="eastAsia" w:hAnsi="Times New Roman" w:eastAsia="宋体" w:cs="Times New Roman"/>
          <w:color w:val="000000"/>
        </w:rPr>
        <w:t>JTG E40 公路土工试验规程</w:t>
      </w:r>
    </w:p>
    <w:p>
      <w:pPr>
        <w:pStyle w:val="25"/>
        <w:rPr>
          <w:rFonts w:hint="eastAsia" w:hAnsi="Times New Roman" w:eastAsia="宋体" w:cs="Times New Roman"/>
          <w:color w:val="000000"/>
        </w:rPr>
      </w:pPr>
      <w:r>
        <w:rPr>
          <w:rFonts w:hint="eastAsia" w:hAnsi="Times New Roman" w:eastAsia="宋体" w:cs="Times New Roman"/>
          <w:color w:val="000000"/>
        </w:rPr>
        <w:t>JTG E51 公路工程无机结合料稳定材料试验规程</w:t>
      </w:r>
    </w:p>
    <w:p>
      <w:pPr>
        <w:pStyle w:val="25"/>
        <w:rPr>
          <w:rFonts w:hint="eastAsia" w:hAnsi="Times New Roman" w:eastAsia="宋体" w:cs="Times New Roman"/>
          <w:color w:val="000000"/>
        </w:rPr>
      </w:pPr>
      <w:r>
        <w:rPr>
          <w:rFonts w:hint="eastAsia" w:hAnsi="Times New Roman" w:eastAsia="宋体" w:cs="Times New Roman"/>
          <w:color w:val="000000"/>
        </w:rPr>
        <w:t>JTG/T F20-2015公路路面基层施工技术细则</w:t>
      </w:r>
    </w:p>
    <w:p>
      <w:pPr>
        <w:pStyle w:val="57"/>
        <w:keepNext w:val="0"/>
        <w:keepLines w:val="0"/>
        <w:pageBreakBefore w:val="0"/>
        <w:widowControl/>
        <w:kinsoku/>
        <w:wordWrap/>
        <w:overflowPunct/>
        <w:topLinePunct w:val="0"/>
        <w:autoSpaceDE/>
        <w:autoSpaceDN/>
        <w:bidi w:val="0"/>
        <w:adjustRightInd/>
        <w:snapToGrid/>
        <w:spacing w:line="240" w:lineRule="auto"/>
        <w:ind w:left="0"/>
        <w:textAlignment w:val="auto"/>
        <w:rPr>
          <w:rFonts w:ascii="Times New Roman"/>
          <w:szCs w:val="21"/>
        </w:rPr>
      </w:pPr>
      <w:bookmarkStart w:id="46" w:name="_Toc25957"/>
      <w:r>
        <w:rPr>
          <w:rFonts w:ascii="Times New Roman"/>
          <w:szCs w:val="21"/>
        </w:rPr>
        <w:t>术语</w:t>
      </w:r>
      <w:bookmarkEnd w:id="38"/>
      <w:bookmarkEnd w:id="39"/>
      <w:bookmarkEnd w:id="40"/>
      <w:bookmarkEnd w:id="41"/>
      <w:bookmarkEnd w:id="42"/>
      <w:bookmarkEnd w:id="43"/>
      <w:bookmarkEnd w:id="44"/>
      <w:bookmarkEnd w:id="45"/>
      <w:bookmarkEnd w:id="46"/>
    </w:p>
    <w:p>
      <w:pPr>
        <w:pStyle w:val="25"/>
        <w:rPr>
          <w:rFonts w:hint="eastAsia" w:hAnsi="Times New Roman" w:eastAsia="宋体" w:cs="Times New Roman"/>
          <w:color w:val="000000"/>
        </w:rPr>
      </w:pPr>
      <w:r>
        <w:rPr>
          <w:rFonts w:hint="eastAsia" w:hAnsi="Times New Roman" w:eastAsia="宋体" w:cs="Times New Roman"/>
          <w:color w:val="000000"/>
        </w:rPr>
        <w:t>以下术语和定义适用于本文件。</w:t>
      </w:r>
    </w:p>
    <w:p>
      <w:pPr>
        <w:pStyle w:val="54"/>
        <w:keepNext w:val="0"/>
        <w:keepLines w:val="0"/>
        <w:pageBreakBefore w:val="0"/>
        <w:widowControl/>
        <w:kinsoku/>
        <w:wordWrap/>
        <w:overflowPunct/>
        <w:topLinePunct w:val="0"/>
        <w:autoSpaceDE/>
        <w:autoSpaceDN/>
        <w:bidi w:val="0"/>
        <w:adjustRightInd/>
        <w:snapToGrid/>
        <w:spacing w:line="240" w:lineRule="auto"/>
        <w:ind w:left="0"/>
        <w:textAlignment w:val="auto"/>
        <w:rPr>
          <w:rFonts w:ascii="Times New Roman"/>
          <w:bCs/>
        </w:rPr>
      </w:pPr>
    </w:p>
    <w:p>
      <w:pPr>
        <w:keepNext w:val="0"/>
        <w:keepLines w:val="0"/>
        <w:pageBreakBefore w:val="0"/>
        <w:widowControl/>
        <w:kinsoku/>
        <w:wordWrap/>
        <w:overflowPunct/>
        <w:topLinePunct w:val="0"/>
        <w:bidi w:val="0"/>
        <w:adjustRightInd w:val="0"/>
        <w:snapToGrid w:val="0"/>
        <w:spacing w:line="240" w:lineRule="auto"/>
        <w:ind w:firstLine="420" w:firstLineChars="200"/>
        <w:textAlignment w:val="auto"/>
        <w:rPr>
          <w:rFonts w:ascii="黑体" w:eastAsia="黑体"/>
          <w:color w:val="000000"/>
          <w:szCs w:val="21"/>
        </w:rPr>
      </w:pPr>
      <w:r>
        <w:rPr>
          <w:rFonts w:ascii="黑体" w:eastAsia="黑体"/>
          <w:color w:val="000000"/>
          <w:szCs w:val="21"/>
        </w:rPr>
        <w:t xml:space="preserve">再生利用  </w:t>
      </w:r>
      <w:r>
        <w:rPr>
          <w:rFonts w:hint="eastAsia" w:ascii="黑体" w:hAnsi="黑体" w:eastAsia="黑体" w:cs="黑体"/>
          <w:color w:val="000000"/>
          <w:szCs w:val="21"/>
        </w:rPr>
        <w:t>recycling and regeneration</w:t>
      </w:r>
    </w:p>
    <w:p>
      <w:pPr>
        <w:pStyle w:val="25"/>
        <w:keepNext w:val="0"/>
        <w:keepLines w:val="0"/>
        <w:pageBreakBefore w:val="0"/>
        <w:widowControl/>
        <w:kinsoku/>
        <w:wordWrap/>
        <w:overflowPunct/>
        <w:topLinePunct w:val="0"/>
        <w:bidi w:val="0"/>
        <w:spacing w:line="240" w:lineRule="auto"/>
        <w:textAlignment w:val="auto"/>
        <w:rPr>
          <w:rFonts w:hint="eastAsia" w:hAnsi="宋体"/>
          <w:szCs w:val="21"/>
        </w:rPr>
      </w:pPr>
      <w:r>
        <w:rPr>
          <w:rFonts w:hint="eastAsia" w:hAnsi="宋体"/>
          <w:szCs w:val="21"/>
        </w:rPr>
        <w:t>使原有路面或建筑材料恢复或部分恢复其性能，重新用于路面工程或其它建设工程。</w:t>
      </w:r>
    </w:p>
    <w:p>
      <w:pPr>
        <w:pStyle w:val="54"/>
        <w:keepNext w:val="0"/>
        <w:keepLines w:val="0"/>
        <w:pageBreakBefore w:val="0"/>
        <w:widowControl/>
        <w:kinsoku/>
        <w:wordWrap/>
        <w:overflowPunct/>
        <w:topLinePunct w:val="0"/>
        <w:autoSpaceDE/>
        <w:autoSpaceDN/>
        <w:bidi w:val="0"/>
        <w:adjustRightInd/>
        <w:snapToGrid/>
        <w:spacing w:line="240" w:lineRule="auto"/>
        <w:ind w:left="0"/>
        <w:textAlignment w:val="auto"/>
        <w:rPr>
          <w:rFonts w:ascii="Times New Roman"/>
          <w:bCs/>
        </w:rPr>
      </w:pPr>
    </w:p>
    <w:p>
      <w:pPr>
        <w:keepNext w:val="0"/>
        <w:keepLines w:val="0"/>
        <w:pageBreakBefore w:val="0"/>
        <w:widowControl/>
        <w:kinsoku/>
        <w:wordWrap/>
        <w:overflowPunct/>
        <w:topLinePunct w:val="0"/>
        <w:bidi w:val="0"/>
        <w:adjustRightInd w:val="0"/>
        <w:snapToGrid w:val="0"/>
        <w:spacing w:line="240" w:lineRule="auto"/>
        <w:ind w:firstLine="420" w:firstLineChars="200"/>
        <w:textAlignment w:val="auto"/>
        <w:rPr>
          <w:rFonts w:ascii="黑体" w:eastAsia="黑体"/>
          <w:color w:val="000000"/>
          <w:szCs w:val="21"/>
        </w:rPr>
      </w:pPr>
      <w:r>
        <w:rPr>
          <w:rFonts w:ascii="黑体" w:eastAsia="黑体"/>
          <w:color w:val="000000"/>
          <w:szCs w:val="21"/>
        </w:rPr>
        <w:t xml:space="preserve">流动性  </w:t>
      </w:r>
      <w:r>
        <w:rPr>
          <w:rFonts w:hint="default" w:ascii="黑体" w:hAnsi="黑体" w:eastAsia="黑体" w:cs="黑体"/>
          <w:color w:val="000000"/>
          <w:szCs w:val="21"/>
        </w:rPr>
        <w:t>fluidity</w:t>
      </w:r>
    </w:p>
    <w:p>
      <w:pPr>
        <w:pStyle w:val="25"/>
        <w:keepNext w:val="0"/>
        <w:keepLines w:val="0"/>
        <w:pageBreakBefore w:val="0"/>
        <w:widowControl/>
        <w:kinsoku/>
        <w:wordWrap/>
        <w:overflowPunct/>
        <w:topLinePunct w:val="0"/>
        <w:bidi w:val="0"/>
        <w:spacing w:line="240" w:lineRule="auto"/>
        <w:textAlignment w:val="auto"/>
        <w:rPr>
          <w:rFonts w:hint="eastAsia" w:hAnsi="宋体"/>
          <w:szCs w:val="21"/>
        </w:rPr>
      </w:pPr>
      <w:r>
        <w:rPr>
          <w:rFonts w:hint="eastAsia" w:hAnsi="宋体"/>
          <w:szCs w:val="21"/>
        </w:rPr>
        <w:t>回填料本身的流淌性能，当其塌落度满足施工和易性要求时，能自动流淌填充密实。</w:t>
      </w:r>
    </w:p>
    <w:p>
      <w:pPr>
        <w:pStyle w:val="54"/>
        <w:keepNext w:val="0"/>
        <w:keepLines w:val="0"/>
        <w:pageBreakBefore w:val="0"/>
        <w:widowControl/>
        <w:kinsoku/>
        <w:wordWrap/>
        <w:overflowPunct/>
        <w:topLinePunct w:val="0"/>
        <w:autoSpaceDE/>
        <w:autoSpaceDN/>
        <w:bidi w:val="0"/>
        <w:adjustRightInd/>
        <w:snapToGrid/>
        <w:spacing w:line="240" w:lineRule="auto"/>
        <w:ind w:left="0"/>
        <w:textAlignment w:val="auto"/>
        <w:rPr>
          <w:rFonts w:ascii="Times New Roman"/>
          <w:bCs/>
        </w:rPr>
      </w:pP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ascii="黑体" w:eastAsia="黑体"/>
          <w:color w:val="000000"/>
          <w:szCs w:val="21"/>
        </w:rPr>
      </w:pPr>
      <w:r>
        <w:rPr>
          <w:rFonts w:ascii="黑体" w:eastAsia="黑体"/>
          <w:color w:val="000000"/>
          <w:szCs w:val="21"/>
        </w:rPr>
        <w:t xml:space="preserve">固化过程 </w:t>
      </w:r>
      <w:r>
        <w:rPr>
          <w:rFonts w:hint="default" w:ascii="Times New Roman" w:hAnsi="Times New Roman" w:eastAsia="黑体" w:cs="Times New Roman"/>
          <w:color w:val="000000"/>
          <w:szCs w:val="21"/>
        </w:rPr>
        <w:t xml:space="preserve"> </w:t>
      </w:r>
      <w:r>
        <w:rPr>
          <w:rFonts w:hint="default" w:ascii="黑体" w:hAnsi="黑体" w:eastAsia="黑体" w:cs="黑体"/>
          <w:color w:val="000000"/>
          <w:szCs w:val="21"/>
        </w:rPr>
        <w:t>solidify process</w:t>
      </w:r>
    </w:p>
    <w:p>
      <w:pPr>
        <w:keepNext w:val="0"/>
        <w:keepLines w:val="0"/>
        <w:pageBreakBefore w:val="0"/>
        <w:kinsoku/>
        <w:wordWrap/>
        <w:overflowPunct/>
        <w:topLinePunct w:val="0"/>
        <w:autoSpaceDE/>
        <w:autoSpaceDN/>
        <w:bidi w:val="0"/>
        <w:spacing w:line="240" w:lineRule="auto"/>
        <w:ind w:right="482" w:firstLine="420" w:firstLineChars="200"/>
        <w:textAlignment w:val="auto"/>
        <w:rPr>
          <w:szCs w:val="21"/>
        </w:rPr>
      </w:pPr>
      <w:r>
        <w:rPr>
          <w:szCs w:val="21"/>
        </w:rPr>
        <w:t>回填料硬化、形成强度的过程。</w:t>
      </w:r>
    </w:p>
    <w:p>
      <w:pPr>
        <w:pStyle w:val="54"/>
        <w:keepNext w:val="0"/>
        <w:keepLines w:val="0"/>
        <w:pageBreakBefore w:val="0"/>
        <w:widowControl/>
        <w:kinsoku/>
        <w:wordWrap/>
        <w:overflowPunct/>
        <w:topLinePunct w:val="0"/>
        <w:autoSpaceDE/>
        <w:autoSpaceDN/>
        <w:bidi w:val="0"/>
        <w:adjustRightInd/>
        <w:snapToGrid/>
        <w:spacing w:line="240" w:lineRule="auto"/>
        <w:ind w:left="0"/>
        <w:textAlignment w:val="auto"/>
        <w:rPr>
          <w:rFonts w:ascii="Times New Roman"/>
          <w:bCs/>
        </w:rPr>
      </w:pP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ascii="黑体" w:eastAsia="黑体"/>
          <w:color w:val="000000"/>
          <w:szCs w:val="21"/>
        </w:rPr>
      </w:pPr>
      <w:r>
        <w:rPr>
          <w:rFonts w:ascii="黑体" w:eastAsia="黑体"/>
          <w:color w:val="000000"/>
          <w:szCs w:val="21"/>
        </w:rPr>
        <w:t xml:space="preserve">弱接缝  </w:t>
      </w:r>
      <w:r>
        <w:rPr>
          <w:rFonts w:hint="default" w:ascii="黑体" w:hAnsi="黑体" w:eastAsia="黑体" w:cs="黑体"/>
          <w:color w:val="000000"/>
          <w:szCs w:val="21"/>
        </w:rPr>
        <w:t>weak joint</w:t>
      </w:r>
    </w:p>
    <w:p>
      <w:pPr>
        <w:keepNext w:val="0"/>
        <w:keepLines w:val="0"/>
        <w:pageBreakBefore w:val="0"/>
        <w:kinsoku/>
        <w:wordWrap/>
        <w:overflowPunct/>
        <w:topLinePunct w:val="0"/>
        <w:autoSpaceDE/>
        <w:autoSpaceDN/>
        <w:bidi w:val="0"/>
        <w:spacing w:line="240" w:lineRule="auto"/>
        <w:ind w:right="16" w:firstLine="420" w:firstLineChars="200"/>
        <w:textAlignment w:val="auto"/>
        <w:rPr>
          <w:szCs w:val="21"/>
        </w:rPr>
      </w:pPr>
      <w:r>
        <w:rPr>
          <w:szCs w:val="21"/>
        </w:rPr>
        <w:t>未经加热的旧沥青路面与新铺热沥青混合料之间由于温度差而产生的粘结力较弱的接缝。</w:t>
      </w:r>
    </w:p>
    <w:p>
      <w:pPr>
        <w:pStyle w:val="54"/>
        <w:keepNext w:val="0"/>
        <w:keepLines w:val="0"/>
        <w:pageBreakBefore w:val="0"/>
        <w:widowControl/>
        <w:kinsoku/>
        <w:wordWrap/>
        <w:overflowPunct/>
        <w:topLinePunct w:val="0"/>
        <w:autoSpaceDE/>
        <w:autoSpaceDN/>
        <w:bidi w:val="0"/>
        <w:adjustRightInd/>
        <w:snapToGrid/>
        <w:spacing w:line="240" w:lineRule="auto"/>
        <w:ind w:left="0"/>
        <w:textAlignment w:val="auto"/>
        <w:rPr>
          <w:rFonts w:ascii="Times New Roman"/>
          <w:bCs/>
        </w:rPr>
      </w:pP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ascii="黑体" w:eastAsia="黑体"/>
          <w:color w:val="000000"/>
          <w:szCs w:val="21"/>
        </w:rPr>
      </w:pPr>
      <w:r>
        <w:rPr>
          <w:rFonts w:ascii="黑体" w:eastAsia="黑体"/>
          <w:color w:val="000000"/>
          <w:szCs w:val="21"/>
        </w:rPr>
        <w:t xml:space="preserve">热粘结 </w:t>
      </w:r>
      <w:r>
        <w:rPr>
          <w:rFonts w:hint="default" w:ascii="黑体" w:hAnsi="黑体" w:eastAsia="黑体" w:cs="黑体"/>
          <w:color w:val="000000"/>
          <w:szCs w:val="21"/>
        </w:rPr>
        <w:t xml:space="preserve"> hot felt</w:t>
      </w:r>
    </w:p>
    <w:p>
      <w:pPr>
        <w:keepNext w:val="0"/>
        <w:keepLines w:val="0"/>
        <w:pageBreakBefore w:val="0"/>
        <w:kinsoku/>
        <w:wordWrap/>
        <w:overflowPunct/>
        <w:topLinePunct w:val="0"/>
        <w:autoSpaceDE/>
        <w:autoSpaceDN/>
        <w:bidi w:val="0"/>
        <w:spacing w:line="240" w:lineRule="auto"/>
        <w:ind w:right="16" w:firstLine="420" w:firstLineChars="200"/>
        <w:textAlignment w:val="auto"/>
        <w:rPr>
          <w:szCs w:val="21"/>
        </w:rPr>
      </w:pPr>
      <w:r>
        <w:rPr>
          <w:szCs w:val="21"/>
        </w:rPr>
        <w:t>通过对原沥青路面加热，使新、旧沥青层的接缝与界面处都处于相近的高温状态，以保证粘结质量。</w:t>
      </w:r>
    </w:p>
    <w:p>
      <w:pPr>
        <w:pStyle w:val="54"/>
        <w:keepNext w:val="0"/>
        <w:keepLines w:val="0"/>
        <w:pageBreakBefore w:val="0"/>
        <w:widowControl/>
        <w:kinsoku/>
        <w:wordWrap/>
        <w:overflowPunct/>
        <w:topLinePunct w:val="0"/>
        <w:autoSpaceDE/>
        <w:autoSpaceDN/>
        <w:bidi w:val="0"/>
        <w:adjustRightInd/>
        <w:snapToGrid/>
        <w:spacing w:line="240" w:lineRule="auto"/>
        <w:ind w:left="0"/>
        <w:textAlignment w:val="auto"/>
        <w:rPr>
          <w:rFonts w:ascii="Times New Roman"/>
          <w:bCs/>
        </w:rPr>
      </w:pP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ascii="黑体" w:eastAsia="黑体"/>
          <w:color w:val="000000"/>
          <w:szCs w:val="21"/>
        </w:rPr>
      </w:pPr>
      <w:r>
        <w:rPr>
          <w:rFonts w:ascii="黑体" w:eastAsia="黑体"/>
          <w:color w:val="000000"/>
          <w:szCs w:val="21"/>
        </w:rPr>
        <w:t xml:space="preserve">不收缩回填料  </w:t>
      </w:r>
      <w:r>
        <w:rPr>
          <w:rFonts w:hint="default" w:ascii="黑体" w:hAnsi="黑体" w:eastAsia="黑体" w:cs="黑体"/>
          <w:color w:val="000000"/>
          <w:szCs w:val="21"/>
        </w:rPr>
        <w:t>unshrinkable backfill material</w:t>
      </w:r>
    </w:p>
    <w:p>
      <w:pPr>
        <w:keepNext w:val="0"/>
        <w:keepLines w:val="0"/>
        <w:pageBreakBefore w:val="0"/>
        <w:kinsoku/>
        <w:wordWrap/>
        <w:overflowPunct/>
        <w:topLinePunct w:val="0"/>
        <w:autoSpaceDE/>
        <w:autoSpaceDN/>
        <w:bidi w:val="0"/>
        <w:spacing w:line="240" w:lineRule="auto"/>
        <w:ind w:right="16" w:firstLine="420" w:firstLineChars="200"/>
        <w:textAlignment w:val="auto"/>
        <w:rPr>
          <w:szCs w:val="21"/>
        </w:rPr>
      </w:pPr>
      <w:r>
        <w:rPr>
          <w:szCs w:val="21"/>
        </w:rPr>
        <w:t>使用后期不产生体积收缩、开裂、沉陷的回填材料。</w:t>
      </w:r>
    </w:p>
    <w:p>
      <w:pPr>
        <w:pStyle w:val="54"/>
        <w:spacing w:line="360" w:lineRule="auto"/>
        <w:ind w:left="0"/>
        <w:rPr>
          <w:rFonts w:ascii="Times New Roman"/>
          <w:bCs/>
        </w:rPr>
      </w:pP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ascii="黑体" w:eastAsia="黑体"/>
          <w:color w:val="000000"/>
          <w:szCs w:val="21"/>
        </w:rPr>
      </w:pPr>
      <w:r>
        <w:rPr>
          <w:rFonts w:ascii="黑体" w:eastAsia="黑体"/>
          <w:color w:val="000000"/>
          <w:szCs w:val="21"/>
        </w:rPr>
        <w:t xml:space="preserve">烘烤 </w:t>
      </w:r>
      <w:r>
        <w:rPr>
          <w:rFonts w:hint="default" w:ascii="Times New Roman" w:hAnsi="Times New Roman" w:eastAsia="黑体" w:cs="Times New Roman"/>
          <w:color w:val="000000"/>
          <w:szCs w:val="21"/>
        </w:rPr>
        <w:t xml:space="preserve"> </w:t>
      </w:r>
      <w:r>
        <w:rPr>
          <w:rFonts w:hint="default" w:ascii="黑体" w:hAnsi="黑体" w:eastAsia="黑体" w:cs="黑体"/>
          <w:color w:val="000000"/>
          <w:szCs w:val="21"/>
        </w:rPr>
        <w:t>roast</w:t>
      </w:r>
    </w:p>
    <w:p>
      <w:pPr>
        <w:keepNext w:val="0"/>
        <w:keepLines w:val="0"/>
        <w:pageBreakBefore w:val="0"/>
        <w:kinsoku/>
        <w:wordWrap/>
        <w:overflowPunct/>
        <w:topLinePunct w:val="0"/>
        <w:autoSpaceDE/>
        <w:autoSpaceDN/>
        <w:bidi w:val="0"/>
        <w:spacing w:line="240" w:lineRule="auto"/>
        <w:ind w:right="16" w:firstLine="420" w:firstLineChars="200"/>
        <w:textAlignment w:val="auto"/>
        <w:rPr>
          <w:szCs w:val="21"/>
        </w:rPr>
      </w:pPr>
      <w:r>
        <w:rPr>
          <w:szCs w:val="21"/>
        </w:rPr>
        <w:t>使用直接热辐射加热设备对回填料加热，使其快速形成强度。</w:t>
      </w:r>
    </w:p>
    <w:p>
      <w:pPr>
        <w:pStyle w:val="54"/>
        <w:keepNext w:val="0"/>
        <w:keepLines w:val="0"/>
        <w:pageBreakBefore w:val="0"/>
        <w:widowControl/>
        <w:kinsoku/>
        <w:wordWrap/>
        <w:overflowPunct/>
        <w:topLinePunct w:val="0"/>
        <w:autoSpaceDE/>
        <w:autoSpaceDN/>
        <w:bidi w:val="0"/>
        <w:adjustRightInd/>
        <w:snapToGrid/>
        <w:spacing w:line="240" w:lineRule="auto"/>
        <w:ind w:left="0"/>
        <w:textAlignment w:val="auto"/>
        <w:rPr>
          <w:rFonts w:ascii="Times New Roman"/>
          <w:bCs/>
        </w:rPr>
      </w:pP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ascii="黑体" w:eastAsia="黑体"/>
          <w:color w:val="000000"/>
          <w:szCs w:val="21"/>
        </w:rPr>
      </w:pPr>
      <w:r>
        <w:rPr>
          <w:rFonts w:ascii="黑体" w:eastAsia="黑体"/>
          <w:color w:val="000000"/>
          <w:szCs w:val="21"/>
        </w:rPr>
        <w:t xml:space="preserve">回填料用固化剂  </w:t>
      </w:r>
      <w:r>
        <w:rPr>
          <w:rFonts w:hint="default" w:ascii="黑体" w:hAnsi="黑体" w:eastAsia="黑体" w:cs="黑体"/>
          <w:color w:val="000000"/>
          <w:szCs w:val="21"/>
        </w:rPr>
        <w:t>FT rapid cure backfill curing agent</w:t>
      </w:r>
      <w:r>
        <w:rPr>
          <w:rFonts w:ascii="黑体" w:eastAsia="黑体"/>
          <w:color w:val="000000"/>
          <w:szCs w:val="21"/>
        </w:rPr>
        <w:t xml:space="preserve"> </w:t>
      </w:r>
    </w:p>
    <w:p>
      <w:pPr>
        <w:keepNext w:val="0"/>
        <w:keepLines w:val="0"/>
        <w:pageBreakBefore w:val="0"/>
        <w:kinsoku/>
        <w:wordWrap/>
        <w:overflowPunct/>
        <w:topLinePunct w:val="0"/>
        <w:autoSpaceDE/>
        <w:autoSpaceDN/>
        <w:bidi w:val="0"/>
        <w:spacing w:line="240" w:lineRule="auto"/>
        <w:ind w:right="16" w:firstLine="420" w:firstLineChars="200"/>
        <w:textAlignment w:val="auto"/>
        <w:rPr>
          <w:szCs w:val="21"/>
        </w:rPr>
      </w:pPr>
      <w:r>
        <w:rPr>
          <w:szCs w:val="21"/>
        </w:rPr>
        <w:t>一种专用液体添加剂，具有使回填料在强度形成过程中不开裂、不收缩的性能。</w:t>
      </w:r>
    </w:p>
    <w:p>
      <w:pPr>
        <w:pStyle w:val="54"/>
        <w:keepNext w:val="0"/>
        <w:keepLines w:val="0"/>
        <w:pageBreakBefore w:val="0"/>
        <w:widowControl/>
        <w:kinsoku/>
        <w:wordWrap/>
        <w:overflowPunct/>
        <w:topLinePunct w:val="0"/>
        <w:autoSpaceDE/>
        <w:autoSpaceDN/>
        <w:bidi w:val="0"/>
        <w:adjustRightInd/>
        <w:snapToGrid/>
        <w:spacing w:line="240" w:lineRule="auto"/>
        <w:ind w:left="0"/>
        <w:textAlignment w:val="auto"/>
        <w:rPr>
          <w:rFonts w:ascii="Times New Roman"/>
          <w:bCs/>
        </w:rPr>
      </w:pP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rPr>
          <w:rFonts w:ascii="黑体" w:eastAsia="黑体"/>
          <w:color w:val="000000"/>
          <w:szCs w:val="21"/>
        </w:rPr>
      </w:pPr>
      <w:r>
        <w:rPr>
          <w:rFonts w:ascii="黑体" w:eastAsia="黑体"/>
          <w:color w:val="000000"/>
          <w:szCs w:val="21"/>
        </w:rPr>
        <w:t xml:space="preserve">管道胸腔部分  </w:t>
      </w:r>
      <w:r>
        <w:rPr>
          <w:rFonts w:hint="default" w:ascii="黑体" w:hAnsi="黑体" w:eastAsia="黑体" w:cs="黑体"/>
          <w:color w:val="000000"/>
          <w:szCs w:val="21"/>
        </w:rPr>
        <w:t>chest part of pipeline</w:t>
      </w:r>
    </w:p>
    <w:p>
      <w:pPr>
        <w:keepNext w:val="0"/>
        <w:keepLines w:val="0"/>
        <w:pageBreakBefore w:val="0"/>
        <w:kinsoku/>
        <w:wordWrap/>
        <w:overflowPunct/>
        <w:topLinePunct w:val="0"/>
        <w:autoSpaceDE/>
        <w:autoSpaceDN/>
        <w:bidi w:val="0"/>
        <w:spacing w:line="240" w:lineRule="auto"/>
        <w:ind w:firstLine="420" w:firstLineChars="200"/>
        <w:textAlignment w:val="auto"/>
        <w:rPr>
          <w:szCs w:val="21"/>
        </w:rPr>
      </w:pPr>
      <w:r>
        <w:rPr>
          <w:szCs w:val="21"/>
        </w:rPr>
        <w:t>管道沟槽底部至管顶以</w:t>
      </w:r>
      <w:r>
        <w:rPr>
          <w:rFonts w:hint="eastAsia" w:ascii="宋体" w:hAnsi="宋体" w:eastAsia="宋体" w:cs="宋体"/>
          <w:szCs w:val="21"/>
        </w:rPr>
        <w:t>上200mm范围的部分</w:t>
      </w:r>
      <w:r>
        <w:rPr>
          <w:szCs w:val="21"/>
        </w:rPr>
        <w:t>。</w:t>
      </w:r>
      <w:bookmarkStart w:id="47" w:name="_Toc327877665"/>
      <w:bookmarkStart w:id="48" w:name="_Toc527332366"/>
      <w:bookmarkStart w:id="49" w:name="_Toc527332638"/>
      <w:bookmarkStart w:id="50" w:name="_Toc527332709"/>
      <w:bookmarkStart w:id="51" w:name="_Toc527332778"/>
      <w:bookmarkStart w:id="52" w:name="_Toc527332206"/>
      <w:bookmarkStart w:id="53" w:name="_Toc527332909"/>
      <w:bookmarkStart w:id="54" w:name="_Toc527332832"/>
    </w:p>
    <w:bookmarkEnd w:id="47"/>
    <w:p>
      <w:pPr>
        <w:pStyle w:val="57"/>
        <w:keepNext w:val="0"/>
        <w:keepLines w:val="0"/>
        <w:pageBreakBefore w:val="0"/>
        <w:widowControl/>
        <w:kinsoku/>
        <w:wordWrap/>
        <w:overflowPunct/>
        <w:topLinePunct w:val="0"/>
        <w:autoSpaceDE/>
        <w:autoSpaceDN/>
        <w:bidi w:val="0"/>
        <w:adjustRightInd/>
        <w:snapToGrid/>
        <w:spacing w:line="240" w:lineRule="auto"/>
        <w:ind w:left="0"/>
        <w:textAlignment w:val="auto"/>
        <w:rPr>
          <w:rFonts w:ascii="黑体" w:hAnsi="黑体" w:eastAsia="黑体" w:cs="黑体"/>
        </w:rPr>
      </w:pPr>
      <w:bookmarkStart w:id="55" w:name="_Toc21405"/>
      <w:r>
        <w:rPr>
          <w:rFonts w:ascii="黑体" w:hAnsi="黑体" w:eastAsia="黑体" w:cs="黑体"/>
        </w:rPr>
        <w:t>基本规定</w:t>
      </w:r>
      <w:bookmarkEnd w:id="48"/>
      <w:bookmarkEnd w:id="49"/>
      <w:bookmarkEnd w:id="50"/>
      <w:bookmarkEnd w:id="51"/>
      <w:bookmarkEnd w:id="52"/>
      <w:bookmarkEnd w:id="53"/>
      <w:bookmarkEnd w:id="54"/>
      <w:bookmarkEnd w:id="55"/>
    </w:p>
    <w:p>
      <w:pPr>
        <w:pStyle w:val="25"/>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000000"/>
        </w:rPr>
      </w:pPr>
      <w:r>
        <w:rPr>
          <w:rFonts w:hint="eastAsia" w:ascii="黑体" w:hAnsi="黑体" w:eastAsia="黑体" w:cs="黑体"/>
          <w:sz w:val="21"/>
          <w:lang w:val="en-US" w:eastAsia="zh-CN" w:bidi="ar-SA"/>
        </w:rPr>
        <w:t>4.0.1</w:t>
      </w:r>
      <w:r>
        <w:rPr>
          <w:rFonts w:hint="eastAsia" w:hAnsi="Times New Roman" w:eastAsia="宋体" w:cs="Times New Roman"/>
          <w:color w:val="000000"/>
        </w:rPr>
        <w:t xml:space="preserve"> 施工单位应按照合同文件、设计文件和有关标准、规范要求，组织有关技术管理人员深入调查，做好施工准备工作。</w:t>
      </w:r>
    </w:p>
    <w:p>
      <w:pPr>
        <w:pStyle w:val="25"/>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000000"/>
        </w:rPr>
      </w:pPr>
      <w:r>
        <w:rPr>
          <w:rFonts w:hint="eastAsia" w:ascii="黑体" w:hAnsi="黑体" w:eastAsia="黑体" w:cs="黑体"/>
          <w:sz w:val="21"/>
          <w:lang w:val="en-US" w:eastAsia="zh-CN" w:bidi="ar-SA"/>
        </w:rPr>
        <w:t>4.0.2</w:t>
      </w:r>
      <w:r>
        <w:rPr>
          <w:rFonts w:hint="eastAsia" w:hAnsi="Times New Roman" w:eastAsia="宋体" w:cs="Times New Roman"/>
          <w:color w:val="000000"/>
        </w:rPr>
        <w:t xml:space="preserve"> 施工单位在开工前应编制施工组织设计，施工组织设计必须按规定程序审批后执行，有变更时应办理变更审批。</w:t>
      </w:r>
    </w:p>
    <w:p>
      <w:pPr>
        <w:pStyle w:val="25"/>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000000"/>
        </w:rPr>
      </w:pPr>
      <w:r>
        <w:rPr>
          <w:rFonts w:hint="eastAsia" w:ascii="黑体" w:hAnsi="黑体" w:eastAsia="黑体" w:cs="黑体"/>
          <w:sz w:val="21"/>
          <w:lang w:val="en-US" w:eastAsia="zh-CN" w:bidi="ar-SA"/>
        </w:rPr>
        <w:t xml:space="preserve">4.0.3 </w:t>
      </w:r>
      <w:r>
        <w:rPr>
          <w:rFonts w:hint="eastAsia" w:hAnsi="Times New Roman" w:eastAsia="宋体" w:cs="Times New Roman"/>
          <w:color w:val="000000"/>
        </w:rPr>
        <w:t>施工单位必须遵守国家和地方政府有关环境保护的法律法规，采取有效措施控制施工现场的各种粉尘、废气、废弃物以及噪声、震动对环境造成的污染和危害。</w:t>
      </w:r>
    </w:p>
    <w:p>
      <w:pPr>
        <w:pStyle w:val="25"/>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000000"/>
        </w:rPr>
      </w:pPr>
      <w:r>
        <w:rPr>
          <w:rFonts w:hint="eastAsia" w:ascii="黑体" w:hAnsi="黑体" w:eastAsia="黑体" w:cs="黑体"/>
          <w:color w:val="000000"/>
        </w:rPr>
        <w:t>4.0.4</w:t>
      </w:r>
      <w:r>
        <w:rPr>
          <w:rFonts w:hint="eastAsia" w:hAnsi="Times New Roman" w:eastAsia="宋体" w:cs="Times New Roman"/>
          <w:color w:val="000000"/>
        </w:rPr>
        <w:t xml:space="preserve"> 施工单位应遵守有关施工安全、劳动保护的法律、法规，建立安全管理体系和安全生产责任制，确保安全施工。深基坑、槽等特殊作业，应制定专项施工方案。</w:t>
      </w:r>
    </w:p>
    <w:p>
      <w:pPr>
        <w:pStyle w:val="25"/>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000000"/>
        </w:rPr>
      </w:pPr>
      <w:r>
        <w:rPr>
          <w:rFonts w:hint="eastAsia" w:ascii="黑体" w:hAnsi="黑体" w:eastAsia="黑体" w:cs="黑体"/>
          <w:color w:val="000000"/>
        </w:rPr>
        <w:t>4.0.5</w:t>
      </w:r>
      <w:r>
        <w:rPr>
          <w:rFonts w:hint="eastAsia" w:hAnsi="Times New Roman" w:eastAsia="宋体" w:cs="Times New Roman"/>
          <w:color w:val="000000"/>
        </w:rPr>
        <w:t xml:space="preserve"> 在质量检验、验收中使用的计量器具和检测设备，必须经计量检定、校准合格后方可使用。</w:t>
      </w:r>
    </w:p>
    <w:p>
      <w:pPr>
        <w:pStyle w:val="25"/>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000000"/>
        </w:rPr>
      </w:pPr>
      <w:r>
        <w:rPr>
          <w:rFonts w:hint="eastAsia" w:ascii="黑体" w:hAnsi="黑体" w:eastAsia="黑体" w:cs="黑体"/>
          <w:color w:val="000000"/>
        </w:rPr>
        <w:t>4.0.6</w:t>
      </w:r>
      <w:r>
        <w:rPr>
          <w:rFonts w:hint="eastAsia" w:hAnsi="Times New Roman" w:eastAsia="宋体" w:cs="Times New Roman"/>
          <w:color w:val="000000"/>
        </w:rPr>
        <w:t xml:space="preserve"> 城镇道路开挖、回填、恢复快速施工质量管理应符合下列规定:</w:t>
      </w:r>
    </w:p>
    <w:p>
      <w:pPr>
        <w:pStyle w:val="60"/>
        <w:numPr>
          <w:ilvl w:val="0"/>
          <w:numId w:val="18"/>
        </w:numPr>
        <w:rPr>
          <w:rFonts w:hint="eastAsia" w:hAnsi="Times New Roman" w:eastAsia="宋体" w:cs="Times New Roman"/>
          <w:color w:val="000000"/>
        </w:rPr>
      </w:pPr>
      <w:r>
        <w:rPr>
          <w:rFonts w:hint="eastAsia" w:hAnsi="Times New Roman" w:eastAsia="宋体" w:cs="Times New Roman"/>
          <w:color w:val="000000"/>
        </w:rPr>
        <w:t>相关各工序、分项工程之间，必须进行交接检验，所有隐蔽分项工程完成后必须进行验收，所有未经检验或验收不合格的分项工程不得进行下一道工序的施工。</w:t>
      </w:r>
    </w:p>
    <w:p>
      <w:pPr>
        <w:pStyle w:val="60"/>
        <w:numPr>
          <w:ilvl w:val="0"/>
          <w:numId w:val="18"/>
        </w:numPr>
        <w:rPr>
          <w:rFonts w:hint="eastAsia" w:hAnsi="Times New Roman" w:eastAsia="宋体" w:cs="Times New Roman"/>
          <w:color w:val="000000"/>
        </w:rPr>
      </w:pPr>
      <w:r>
        <w:rPr>
          <w:rFonts w:hint="eastAsia" w:hAnsi="Times New Roman" w:eastAsia="宋体" w:cs="Times New Roman"/>
          <w:color w:val="000000"/>
        </w:rPr>
        <w:t>管道沟槽开挖、支护应符合相关标准、规范以及设计要求。</w:t>
      </w:r>
    </w:p>
    <w:p>
      <w:pPr>
        <w:pStyle w:val="60"/>
        <w:numPr>
          <w:ilvl w:val="0"/>
          <w:numId w:val="18"/>
        </w:numPr>
        <w:rPr>
          <w:rFonts w:hint="eastAsia" w:hAnsi="Times New Roman" w:eastAsia="宋体" w:cs="Times New Roman"/>
          <w:color w:val="000000"/>
        </w:rPr>
      </w:pPr>
      <w:r>
        <w:rPr>
          <w:rFonts w:hint="eastAsia" w:hAnsi="Times New Roman" w:eastAsia="宋体" w:cs="Times New Roman"/>
          <w:color w:val="000000"/>
        </w:rPr>
        <w:t>沥青路面开挖时，不得破坏沥青混合料级配，开挖回收的沥青混合料和基层以下(含基层)材料应分开存放。</w:t>
      </w:r>
    </w:p>
    <w:p>
      <w:pPr>
        <w:pStyle w:val="60"/>
        <w:numPr>
          <w:ilvl w:val="0"/>
          <w:numId w:val="18"/>
        </w:numPr>
        <w:rPr>
          <w:rFonts w:hint="eastAsia" w:hAnsi="Times New Roman" w:eastAsia="宋体" w:cs="Times New Roman"/>
          <w:color w:val="000000"/>
        </w:rPr>
      </w:pPr>
      <w:r>
        <w:rPr>
          <w:rFonts w:hint="eastAsia" w:hAnsi="Times New Roman" w:eastAsia="宋体" w:cs="Times New Roman"/>
          <w:color w:val="000000"/>
        </w:rPr>
        <w:t>生产不收缩回填料时，应尽可能多地利用原道路开挖回收材料，不合格或不能回收再用的材料不得堆放在拌合现场。</w:t>
      </w:r>
    </w:p>
    <w:p>
      <w:pPr>
        <w:pStyle w:val="60"/>
        <w:numPr>
          <w:ilvl w:val="0"/>
          <w:numId w:val="18"/>
        </w:numPr>
        <w:rPr>
          <w:rFonts w:hint="eastAsia" w:hAnsi="Times New Roman" w:eastAsia="宋体" w:cs="Times New Roman"/>
          <w:color w:val="000000"/>
        </w:rPr>
      </w:pPr>
      <w:r>
        <w:rPr>
          <w:rFonts w:hint="eastAsia" w:hAnsi="Times New Roman" w:eastAsia="宋体" w:cs="Times New Roman"/>
          <w:color w:val="000000"/>
        </w:rPr>
        <w:t>软土、膨胀土等地区的沟槽回填，应符合设计要求和相关标准的规定。</w:t>
      </w:r>
    </w:p>
    <w:p>
      <w:pPr>
        <w:pStyle w:val="60"/>
        <w:numPr>
          <w:ilvl w:val="0"/>
          <w:numId w:val="18"/>
        </w:numPr>
        <w:rPr>
          <w:rFonts w:hint="eastAsia" w:hAnsi="Times New Roman" w:eastAsia="宋体" w:cs="Times New Roman"/>
          <w:color w:val="000000"/>
        </w:rPr>
      </w:pPr>
      <w:r>
        <w:rPr>
          <w:rFonts w:hint="eastAsia" w:hAnsi="Times New Roman" w:eastAsia="宋体" w:cs="Times New Roman"/>
          <w:color w:val="000000"/>
        </w:rPr>
        <w:t>不收缩回填料可用于基层以下（含基层）部位的回填施工。</w:t>
      </w:r>
    </w:p>
    <w:p>
      <w:pPr>
        <w:pStyle w:val="60"/>
        <w:numPr>
          <w:ilvl w:val="0"/>
          <w:numId w:val="18"/>
        </w:numPr>
        <w:rPr>
          <w:rFonts w:hint="eastAsia" w:hAnsi="Times New Roman" w:eastAsia="宋体" w:cs="Times New Roman"/>
          <w:color w:val="000000"/>
        </w:rPr>
      </w:pPr>
      <w:r>
        <w:rPr>
          <w:rFonts w:hint="eastAsia" w:hAnsi="Times New Roman" w:eastAsia="宋体" w:cs="Times New Roman"/>
          <w:color w:val="000000"/>
        </w:rPr>
        <w:t>当施工现场环境日平均气温连续5d低于5℃，或最低环境温度低于-3℃时，应视为冬期施工。严禁不收缩回填料在冬期施工，在进入冬期前15d应停止不收缩回填料施工。</w:t>
      </w:r>
    </w:p>
    <w:p>
      <w:pPr>
        <w:pStyle w:val="60"/>
        <w:numPr>
          <w:ilvl w:val="0"/>
          <w:numId w:val="18"/>
        </w:numPr>
        <w:rPr>
          <w:rFonts w:hint="eastAsia" w:hAnsi="Times New Roman" w:eastAsia="宋体" w:cs="Times New Roman"/>
          <w:color w:val="000000"/>
        </w:rPr>
      </w:pPr>
      <w:r>
        <w:rPr>
          <w:rFonts w:hint="eastAsia" w:hAnsi="Times New Roman" w:eastAsia="宋体" w:cs="Times New Roman"/>
          <w:color w:val="000000"/>
        </w:rPr>
        <w:t>管道沟槽回填、恢复施工应分层进行，自下而上一般宜分四层，即管道胸腔部分、胸腔顶部至基层底面部分、基层部分、面层部分。</w:t>
      </w:r>
    </w:p>
    <w:p>
      <w:pPr>
        <w:pStyle w:val="60"/>
        <w:numPr>
          <w:ilvl w:val="0"/>
          <w:numId w:val="18"/>
        </w:numPr>
        <w:rPr>
          <w:rFonts w:hint="eastAsia" w:hAnsi="Times New Roman" w:eastAsia="宋体" w:cs="Times New Roman"/>
          <w:color w:val="000000"/>
        </w:rPr>
      </w:pPr>
      <w:r>
        <w:rPr>
          <w:rFonts w:hint="eastAsia" w:hAnsi="Times New Roman" w:eastAsia="宋体" w:cs="Times New Roman"/>
          <w:color w:val="000000"/>
        </w:rPr>
        <w:t>不收缩回填料可用于填充管道有效支撑角范围内的腋角部分。</w:t>
      </w:r>
    </w:p>
    <w:p>
      <w:pPr>
        <w:pStyle w:val="60"/>
        <w:numPr>
          <w:ilvl w:val="0"/>
          <w:numId w:val="18"/>
        </w:numPr>
        <w:rPr>
          <w:rFonts w:hint="eastAsia" w:hAnsi="Times New Roman" w:eastAsia="宋体" w:cs="Times New Roman"/>
          <w:color w:val="000000"/>
        </w:rPr>
      </w:pPr>
      <w:r>
        <w:rPr>
          <w:rFonts w:hint="eastAsia" w:hAnsi="Times New Roman" w:eastAsia="宋体" w:cs="Times New Roman"/>
          <w:color w:val="000000"/>
        </w:rPr>
        <w:t>拆除管道沟槽支护结构物时，回填和拆除应分层交替进行，且必须确保每次拆除作业都不会造成土体坍塌、滑移。</w:t>
      </w:r>
    </w:p>
    <w:p>
      <w:pPr>
        <w:pStyle w:val="25"/>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000000"/>
        </w:rPr>
      </w:pPr>
      <w:r>
        <w:rPr>
          <w:rFonts w:hint="eastAsia" w:ascii="黑体" w:hAnsi="黑体" w:eastAsia="黑体" w:cs="黑体"/>
          <w:color w:val="000000"/>
        </w:rPr>
        <w:t>4.0.7</w:t>
      </w:r>
      <w:r>
        <w:rPr>
          <w:rFonts w:hint="eastAsia" w:hAnsi="Times New Roman" w:eastAsia="宋体" w:cs="Times New Roman"/>
          <w:color w:val="000000"/>
        </w:rPr>
        <w:t xml:space="preserve"> 单位工程完成后，施工单位应进行自检，并在自检合格的基础上，将交工资料、自检结果报监理工程师，申请预验收。监理工程师应在预验收合格后报建设单位申请正式验收。</w:t>
      </w:r>
    </w:p>
    <w:p>
      <w:pPr>
        <w:pStyle w:val="57"/>
        <w:keepNext w:val="0"/>
        <w:keepLines w:val="0"/>
        <w:pageBreakBefore w:val="0"/>
        <w:widowControl/>
        <w:kinsoku/>
        <w:wordWrap/>
        <w:overflowPunct/>
        <w:topLinePunct w:val="0"/>
        <w:autoSpaceDE/>
        <w:autoSpaceDN/>
        <w:bidi w:val="0"/>
        <w:adjustRightInd/>
        <w:snapToGrid/>
        <w:spacing w:line="240" w:lineRule="auto"/>
        <w:ind w:left="0"/>
        <w:textAlignment w:val="auto"/>
        <w:rPr>
          <w:rFonts w:ascii="黑体" w:hAnsi="黑体" w:eastAsia="黑体" w:cs="黑体"/>
        </w:rPr>
      </w:pPr>
      <w:bookmarkStart w:id="56" w:name="_Toc327877667"/>
      <w:bookmarkStart w:id="57" w:name="_Toc527332779"/>
      <w:bookmarkStart w:id="58" w:name="_Toc527332367"/>
      <w:bookmarkStart w:id="59" w:name="_Toc527332207"/>
      <w:bookmarkStart w:id="60" w:name="_Toc527332639"/>
      <w:bookmarkStart w:id="61" w:name="_Toc24571"/>
      <w:bookmarkStart w:id="62" w:name="_Toc527332910"/>
      <w:bookmarkStart w:id="63" w:name="_Toc527332833"/>
      <w:bookmarkStart w:id="64" w:name="_Toc527332710"/>
      <w:r>
        <w:rPr>
          <w:rFonts w:ascii="黑体" w:hAnsi="黑体" w:eastAsia="黑体" w:cs="黑体"/>
        </w:rPr>
        <w:t>材料要求</w:t>
      </w:r>
      <w:bookmarkEnd w:id="56"/>
      <w:bookmarkEnd w:id="57"/>
      <w:bookmarkEnd w:id="58"/>
      <w:bookmarkEnd w:id="59"/>
      <w:bookmarkEnd w:id="60"/>
      <w:bookmarkEnd w:id="61"/>
      <w:bookmarkEnd w:id="62"/>
      <w:bookmarkEnd w:id="63"/>
      <w:bookmarkEnd w:id="64"/>
    </w:p>
    <w:p>
      <w:pPr>
        <w:pStyle w:val="54"/>
        <w:spacing w:before="156" w:after="156"/>
        <w:ind w:left="2"/>
        <w:rPr>
          <w:rFonts w:eastAsia="黑体"/>
          <w:szCs w:val="21"/>
        </w:rPr>
      </w:pPr>
      <w:bookmarkStart w:id="65" w:name="_Toc527332780"/>
      <w:bookmarkStart w:id="66" w:name="_Toc527332911"/>
      <w:bookmarkStart w:id="67" w:name="_Toc527332640"/>
      <w:bookmarkStart w:id="68" w:name="_Toc527332711"/>
      <w:bookmarkStart w:id="69" w:name="_Toc527332834"/>
      <w:r>
        <w:rPr>
          <w:rFonts w:eastAsia="黑体"/>
          <w:szCs w:val="21"/>
        </w:rPr>
        <w:t>一般规定</w:t>
      </w:r>
      <w:bookmarkEnd w:id="65"/>
      <w:bookmarkEnd w:id="66"/>
      <w:bookmarkEnd w:id="67"/>
      <w:bookmarkEnd w:id="68"/>
      <w:bookmarkEnd w:id="69"/>
    </w:p>
    <w:p>
      <w:pPr>
        <w:pStyle w:val="25"/>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000000"/>
        </w:rPr>
      </w:pPr>
      <w:r>
        <w:rPr>
          <w:rFonts w:hint="eastAsia" w:ascii="黑体" w:hAnsi="黑体" w:eastAsia="黑体" w:cs="黑体"/>
          <w:color w:val="000000"/>
        </w:rPr>
        <w:t>5.1.1</w:t>
      </w:r>
      <w:r>
        <w:rPr>
          <w:rFonts w:hint="eastAsia" w:hAnsi="Times New Roman" w:eastAsia="宋体" w:cs="Times New Roman"/>
          <w:color w:val="000000"/>
        </w:rPr>
        <w:t xml:space="preserve"> 不收缩回填料由水泥、粒料、水、回填料用固化剂四种原材料组成，其配合比应符合回填层位对抗压强度、工作性能(施工和易性)的要求。</w:t>
      </w:r>
    </w:p>
    <w:p>
      <w:pPr>
        <w:pStyle w:val="25"/>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000000"/>
        </w:rPr>
      </w:pPr>
      <w:r>
        <w:rPr>
          <w:rFonts w:hint="eastAsia" w:ascii="黑体" w:hAnsi="黑体" w:eastAsia="黑体" w:cs="黑体"/>
          <w:color w:val="000000"/>
        </w:rPr>
        <w:t>5.1.2</w:t>
      </w:r>
      <w:r>
        <w:rPr>
          <w:rFonts w:hint="eastAsia" w:hAnsi="Times New Roman" w:eastAsia="宋体" w:cs="Times New Roman"/>
          <w:color w:val="000000"/>
        </w:rPr>
        <w:t xml:space="preserve"> 用于表面恢复的回收再生沥青混合料应符合《公路沥青路面施工技术规范》（JTG F40）的要求。</w:t>
      </w:r>
    </w:p>
    <w:p>
      <w:pPr>
        <w:pStyle w:val="54"/>
        <w:spacing w:before="156" w:after="156"/>
        <w:ind w:left="2"/>
        <w:rPr>
          <w:rFonts w:eastAsia="黑体"/>
          <w:szCs w:val="21"/>
        </w:rPr>
      </w:pPr>
      <w:bookmarkStart w:id="70" w:name="_Toc527332712"/>
      <w:bookmarkStart w:id="71" w:name="_Toc527332641"/>
      <w:bookmarkStart w:id="72" w:name="_Toc527332912"/>
      <w:bookmarkStart w:id="73" w:name="_Toc527332781"/>
      <w:bookmarkStart w:id="74" w:name="_Toc527332835"/>
      <w:r>
        <w:rPr>
          <w:rFonts w:eastAsia="黑体"/>
          <w:szCs w:val="21"/>
        </w:rPr>
        <w:t>不收缩回填料</w:t>
      </w:r>
      <w:bookmarkEnd w:id="70"/>
      <w:bookmarkEnd w:id="71"/>
      <w:bookmarkEnd w:id="72"/>
      <w:bookmarkEnd w:id="73"/>
      <w:bookmarkEnd w:id="74"/>
    </w:p>
    <w:p>
      <w:pPr>
        <w:keepNext w:val="0"/>
        <w:keepLines w:val="0"/>
        <w:pageBreakBefore w:val="0"/>
        <w:widowControl w:val="0"/>
        <w:kinsoku/>
        <w:wordWrap/>
        <w:overflowPunct/>
        <w:topLinePunct w:val="0"/>
        <w:autoSpaceDE/>
        <w:autoSpaceDN/>
        <w:bidi w:val="0"/>
        <w:adjustRightInd/>
        <w:snapToGrid/>
        <w:spacing w:line="240" w:lineRule="auto"/>
        <w:textAlignment w:val="auto"/>
        <w:rPr>
          <w:b/>
          <w:szCs w:val="21"/>
        </w:rPr>
      </w:pPr>
      <w:bookmarkStart w:id="75" w:name="_Toc527332914"/>
      <w:bookmarkStart w:id="76" w:name="_Toc527332209"/>
      <w:bookmarkStart w:id="77" w:name="_Toc527332369"/>
      <w:bookmarkStart w:id="78" w:name="_Toc527332783"/>
      <w:bookmarkStart w:id="79" w:name="_Toc527332714"/>
      <w:bookmarkStart w:id="80" w:name="_Toc527332837"/>
      <w:bookmarkStart w:id="81" w:name="_Toc527332643"/>
      <w:r>
        <w:rPr>
          <w:rFonts w:hint="eastAsia" w:ascii="黑体" w:hAnsi="黑体" w:eastAsia="黑体" w:cs="黑体"/>
          <w:szCs w:val="21"/>
        </w:rPr>
        <w:t>5.2.1</w:t>
      </w:r>
      <w:r>
        <w:rPr>
          <w:rFonts w:eastAsia="黑体"/>
          <w:szCs w:val="21"/>
        </w:rPr>
        <w:t xml:space="preserve"> </w:t>
      </w:r>
      <w:r>
        <w:rPr>
          <w:szCs w:val="21"/>
        </w:rPr>
        <w:t>管道回填料的原材料应符合下列规定：</w:t>
      </w:r>
      <w:r>
        <w:rPr>
          <w:b/>
          <w:szCs w:val="21"/>
        </w:rPr>
        <w:t xml:space="preserve"> </w:t>
      </w:r>
    </w:p>
    <w:p>
      <w:pPr>
        <w:pStyle w:val="60"/>
        <w:numPr>
          <w:ilvl w:val="0"/>
          <w:numId w:val="19"/>
        </w:numPr>
        <w:rPr>
          <w:rFonts w:hint="eastAsia" w:ascii="宋体" w:hAnsi="宋体" w:eastAsia="宋体" w:cs="宋体"/>
          <w:szCs w:val="21"/>
        </w:rPr>
      </w:pPr>
      <w:r>
        <w:rPr>
          <w:rFonts w:hint="eastAsia" w:ascii="宋体" w:hAnsi="宋体" w:eastAsia="宋体" w:cs="宋体"/>
          <w:szCs w:val="21"/>
        </w:rPr>
        <w:t>水泥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bCs/>
          <w:szCs w:val="21"/>
        </w:rPr>
        <w:t>1）</w:t>
      </w:r>
      <w:r>
        <w:rPr>
          <w:rFonts w:hint="eastAsia" w:ascii="宋体" w:hAnsi="宋体" w:eastAsia="宋体" w:cs="宋体"/>
          <w:szCs w:val="21"/>
        </w:rPr>
        <w:t>水泥的品质应符合《通用硅酸盐水泥》（GB 175）的规定，应优先选用低强度等级的水泥。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bCs/>
          <w:szCs w:val="21"/>
        </w:rPr>
        <w:t>2）</w:t>
      </w:r>
      <w:r>
        <w:rPr>
          <w:rFonts w:hint="eastAsia" w:ascii="宋体" w:hAnsi="宋体" w:eastAsia="宋体" w:cs="宋体"/>
          <w:szCs w:val="21"/>
        </w:rPr>
        <w:t>不同强度等级、厂牌、品种、出厂日期的水泥不得混存、混用。出厂期超过三个月的水泥，必须经试验，合格后方可使用。受潮后的水泥不得使用。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bCs/>
          <w:szCs w:val="21"/>
        </w:rPr>
        <w:t>3）</w:t>
      </w:r>
      <w:r>
        <w:rPr>
          <w:rFonts w:hint="eastAsia" w:ascii="宋体" w:hAnsi="宋体" w:eastAsia="宋体" w:cs="宋体"/>
          <w:szCs w:val="21"/>
        </w:rPr>
        <w:t>水泥的初凝时间宜大于2h，不宜采用早强型水泥。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bCs/>
          <w:szCs w:val="21"/>
        </w:rPr>
        <w:t>4）</w:t>
      </w:r>
      <w:r>
        <w:rPr>
          <w:rFonts w:hint="eastAsia" w:ascii="宋体" w:hAnsi="宋体" w:eastAsia="宋体" w:cs="宋体"/>
          <w:szCs w:val="21"/>
        </w:rPr>
        <w:t>如采用散装水泥，夏季高温作业时，水泥进场入罐时的温度不得高于50℃。</w:t>
      </w:r>
    </w:p>
    <w:p>
      <w:pPr>
        <w:pStyle w:val="60"/>
        <w:numPr>
          <w:ilvl w:val="0"/>
          <w:numId w:val="19"/>
        </w:numPr>
        <w:rPr>
          <w:rFonts w:hint="eastAsia" w:ascii="宋体" w:hAnsi="宋体" w:eastAsia="宋体" w:cs="宋体"/>
          <w:b w:val="0"/>
          <w:bCs w:val="0"/>
          <w:szCs w:val="21"/>
        </w:rPr>
      </w:pPr>
      <w:r>
        <w:rPr>
          <w:rFonts w:hint="eastAsia" w:ascii="宋体" w:hAnsi="宋体" w:eastAsia="宋体" w:cs="宋体"/>
          <w:b w:val="0"/>
          <w:bCs w:val="0"/>
          <w:szCs w:val="21"/>
        </w:rPr>
        <w:t>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 xml:space="preserve">拌合用水应符合《混凝土用水标准》（JGJ 63）的规定。宜使用饮用水及不含油类等杂质的清洁中性水，pH值为6~8。 </w:t>
      </w:r>
    </w:p>
    <w:p>
      <w:pPr>
        <w:pStyle w:val="60"/>
        <w:numPr>
          <w:ilvl w:val="0"/>
          <w:numId w:val="19"/>
        </w:numPr>
        <w:rPr>
          <w:rFonts w:hint="eastAsia" w:ascii="宋体" w:hAnsi="宋体" w:eastAsia="宋体" w:cs="宋体"/>
          <w:b w:val="0"/>
          <w:bCs w:val="0"/>
          <w:szCs w:val="21"/>
        </w:rPr>
      </w:pPr>
      <w:r>
        <w:rPr>
          <w:rFonts w:hint="eastAsia" w:ascii="宋体" w:hAnsi="宋体" w:eastAsia="宋体" w:cs="宋体"/>
          <w:b w:val="0"/>
          <w:bCs w:val="0"/>
          <w:szCs w:val="21"/>
        </w:rPr>
        <w:t xml:space="preserve">粒料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bCs/>
          <w:szCs w:val="21"/>
        </w:rPr>
        <w:t>1）</w:t>
      </w:r>
      <w:r>
        <w:rPr>
          <w:rFonts w:hint="eastAsia" w:ascii="宋体" w:hAnsi="宋体" w:eastAsia="宋体" w:cs="宋体"/>
          <w:szCs w:val="21"/>
        </w:rPr>
        <w:t>碎石、砾石、机制砂、粒状矿渣、开挖回收的基层材料及沥青混合料等材料均可用作粒料原材料。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bCs/>
          <w:szCs w:val="21"/>
        </w:rPr>
        <w:t>2）</w:t>
      </w:r>
      <w:r>
        <w:rPr>
          <w:rFonts w:hint="eastAsia" w:ascii="宋体" w:hAnsi="宋体" w:eastAsia="宋体" w:cs="宋体"/>
          <w:szCs w:val="21"/>
        </w:rPr>
        <w:t xml:space="preserve">回填料的最大粒径不得超过40mm。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bCs/>
          <w:szCs w:val="21"/>
        </w:rPr>
        <w:t>3）</w:t>
      </w:r>
      <w:r>
        <w:rPr>
          <w:rFonts w:hint="eastAsia" w:ascii="宋体" w:hAnsi="宋体" w:eastAsia="宋体" w:cs="宋体"/>
          <w:szCs w:val="21"/>
        </w:rPr>
        <w:t xml:space="preserve">回填料中严禁掺入淤泥、沼泽土、泥炭土、冻土、有机土、杂填土、腐蚀性土以及生活垃圾土。 </w:t>
      </w:r>
    </w:p>
    <w:p>
      <w:pPr>
        <w:pStyle w:val="60"/>
        <w:numPr>
          <w:ilvl w:val="0"/>
          <w:numId w:val="19"/>
        </w:numPr>
        <w:rPr>
          <w:rFonts w:hint="eastAsia" w:ascii="宋体" w:hAnsi="宋体" w:eastAsia="宋体" w:cs="宋体"/>
          <w:b w:val="0"/>
          <w:bCs w:val="0"/>
          <w:szCs w:val="21"/>
        </w:rPr>
      </w:pPr>
      <w:r>
        <w:rPr>
          <w:rFonts w:hint="eastAsia" w:ascii="宋体" w:hAnsi="宋体" w:eastAsia="宋体" w:cs="宋体"/>
          <w:b w:val="0"/>
          <w:bCs w:val="0"/>
          <w:szCs w:val="21"/>
        </w:rPr>
        <w:t>回填料用固化剂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回填料用固化剂应符合表1规定。</w:t>
      </w:r>
    </w:p>
    <w:p>
      <w:pPr>
        <w:pStyle w:val="138"/>
        <w:keepNext w:val="0"/>
        <w:keepLines w:val="0"/>
        <w:pageBreakBefore w:val="0"/>
        <w:widowControl/>
        <w:kinsoku/>
        <w:wordWrap/>
        <w:overflowPunct/>
        <w:topLinePunct w:val="0"/>
        <w:autoSpaceDE/>
        <w:autoSpaceDN/>
        <w:bidi w:val="0"/>
        <w:adjustRightInd/>
        <w:snapToGrid/>
        <w:spacing w:line="240" w:lineRule="auto"/>
        <w:textAlignment w:val="auto"/>
        <w:rPr>
          <w:szCs w:val="21"/>
        </w:rPr>
      </w:pPr>
      <w:r>
        <w:rPr>
          <w:szCs w:val="21"/>
        </w:rPr>
        <w:t>回填料用固化剂技术要求</w:t>
      </w:r>
    </w:p>
    <w:tbl>
      <w:tblPr>
        <w:tblStyle w:val="3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464"/>
        <w:gridCol w:w="610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81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项目</w:t>
            </w:r>
          </w:p>
        </w:tc>
        <w:tc>
          <w:tcPr>
            <w:tcW w:w="319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技术要求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9" w:hRule="atLeast"/>
          <w:jc w:val="center"/>
        </w:trPr>
        <w:tc>
          <w:tcPr>
            <w:tcW w:w="181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状态（常温）</w:t>
            </w:r>
          </w:p>
        </w:tc>
        <w:tc>
          <w:tcPr>
            <w:tcW w:w="319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液态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9" w:hRule="atLeast"/>
          <w:jc w:val="center"/>
        </w:trPr>
        <w:tc>
          <w:tcPr>
            <w:tcW w:w="181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沸点</w:t>
            </w:r>
          </w:p>
        </w:tc>
        <w:tc>
          <w:tcPr>
            <w:tcW w:w="319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&gt;120℃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8" w:hRule="atLeast"/>
          <w:jc w:val="center"/>
        </w:trPr>
        <w:tc>
          <w:tcPr>
            <w:tcW w:w="181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比重（25℃）</w:t>
            </w:r>
          </w:p>
        </w:tc>
        <w:tc>
          <w:tcPr>
            <w:tcW w:w="319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1.05～1.15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8" w:hRule="atLeast"/>
          <w:jc w:val="center"/>
        </w:trPr>
        <w:tc>
          <w:tcPr>
            <w:tcW w:w="181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pH值</w:t>
            </w:r>
          </w:p>
        </w:tc>
        <w:tc>
          <w:tcPr>
            <w:tcW w:w="319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7～8.5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3" w:hRule="atLeast"/>
          <w:jc w:val="center"/>
        </w:trPr>
        <w:tc>
          <w:tcPr>
            <w:tcW w:w="181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可溶性</w:t>
            </w:r>
          </w:p>
        </w:tc>
        <w:tc>
          <w:tcPr>
            <w:tcW w:w="319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可溶于水，溶解度不小于99%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3" w:hRule="atLeast"/>
          <w:jc w:val="center"/>
        </w:trPr>
        <w:tc>
          <w:tcPr>
            <w:tcW w:w="181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蒸气压</w:t>
            </w:r>
          </w:p>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Pa</w:t>
            </w:r>
          </w:p>
        </w:tc>
        <w:tc>
          <w:tcPr>
            <w:tcW w:w="319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0.133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181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物理、化学性质</w:t>
            </w:r>
          </w:p>
        </w:tc>
        <w:tc>
          <w:tcPr>
            <w:tcW w:w="3190" w:type="pc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无味、黑色液体，不腐蚀塑料、金属</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rPr>
      </w:pPr>
      <w:r>
        <w:rPr>
          <w:rFonts w:hint="eastAsia" w:ascii="黑体" w:hAnsi="黑体" w:eastAsia="黑体" w:cs="黑体"/>
          <w:bCs/>
          <w:szCs w:val="21"/>
        </w:rPr>
        <w:t>5.2.2</w:t>
      </w:r>
      <w:r>
        <w:rPr>
          <w:b/>
          <w:szCs w:val="21"/>
        </w:rPr>
        <w:t xml:space="preserve"> </w:t>
      </w:r>
      <w:r>
        <w:rPr>
          <w:szCs w:val="21"/>
        </w:rPr>
        <w:t>参考《公路工程无机结合料稳定材料试验规程》（JTG E51），管道回填料各项指标应符合表2规定。</w:t>
      </w:r>
    </w:p>
    <w:p>
      <w:pPr>
        <w:pStyle w:val="138"/>
        <w:keepNext w:val="0"/>
        <w:keepLines w:val="0"/>
        <w:pageBreakBefore w:val="0"/>
        <w:widowControl/>
        <w:kinsoku/>
        <w:wordWrap/>
        <w:overflowPunct/>
        <w:topLinePunct w:val="0"/>
        <w:autoSpaceDE/>
        <w:autoSpaceDN/>
        <w:bidi w:val="0"/>
        <w:adjustRightInd/>
        <w:snapToGrid/>
        <w:spacing w:line="240" w:lineRule="auto"/>
        <w:textAlignment w:val="auto"/>
        <w:rPr>
          <w:szCs w:val="21"/>
        </w:rPr>
      </w:pPr>
      <w:r>
        <w:rPr>
          <w:szCs w:val="21"/>
        </w:rPr>
        <w:t>管道回填料技术要求</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1843"/>
        <w:gridCol w:w="1837"/>
        <w:gridCol w:w="21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660"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项目</w:t>
            </w:r>
          </w:p>
        </w:tc>
        <w:tc>
          <w:tcPr>
            <w:tcW w:w="3680" w:type="dxa"/>
            <w:gridSpan w:val="2"/>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技术要求</w:t>
            </w:r>
          </w:p>
        </w:tc>
        <w:tc>
          <w:tcPr>
            <w:tcW w:w="2114"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养护条件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660"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坍落度（mm）</w:t>
            </w:r>
          </w:p>
        </w:tc>
        <w:tc>
          <w:tcPr>
            <w:tcW w:w="3680" w:type="dxa"/>
            <w:gridSpan w:val="2"/>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100～160</w:t>
            </w:r>
          </w:p>
        </w:tc>
        <w:tc>
          <w:tcPr>
            <w:tcW w:w="2114"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660" w:type="dxa"/>
            <w:vMerge w:val="restar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管道回填料无侧限</w:t>
            </w:r>
          </w:p>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抗压强度（MPa）</w:t>
            </w:r>
          </w:p>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（不小于）</w:t>
            </w:r>
          </w:p>
        </w:tc>
        <w:tc>
          <w:tcPr>
            <w:tcW w:w="1843"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3h</w:t>
            </w:r>
          </w:p>
        </w:tc>
        <w:tc>
          <w:tcPr>
            <w:tcW w:w="1837"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1.0</w:t>
            </w:r>
          </w:p>
        </w:tc>
        <w:tc>
          <w:tcPr>
            <w:tcW w:w="2114"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加热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660" w:type="dxa"/>
            <w:vMerge w:val="continue"/>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c>
          <w:tcPr>
            <w:tcW w:w="1843"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28d</w:t>
            </w:r>
          </w:p>
        </w:tc>
        <w:tc>
          <w:tcPr>
            <w:tcW w:w="1837"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2.5</w:t>
            </w:r>
          </w:p>
        </w:tc>
        <w:tc>
          <w:tcPr>
            <w:tcW w:w="2114"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常温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454" w:type="dxa"/>
            <w:gridSpan w:val="4"/>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注：抗压强度指28d强度值，3h抗压强度只作为配合比设计指标。</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b/>
          <w:szCs w:val="21"/>
        </w:rPr>
      </w:pPr>
      <w:r>
        <w:rPr>
          <w:rFonts w:hint="eastAsia" w:ascii="黑体" w:hAnsi="黑体" w:eastAsia="黑体" w:cs="黑体"/>
          <w:bCs/>
          <w:szCs w:val="21"/>
        </w:rPr>
        <w:t>5.2.3</w:t>
      </w:r>
      <w:r>
        <w:rPr>
          <w:rFonts w:eastAsia="黑体"/>
          <w:bCs/>
          <w:szCs w:val="21"/>
        </w:rPr>
        <w:t xml:space="preserve"> </w:t>
      </w:r>
      <w:r>
        <w:rPr>
          <w:szCs w:val="21"/>
        </w:rPr>
        <w:t>管道回填料初凝时间不得小于2h，不得大于3h。</w:t>
      </w:r>
    </w:p>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rPr>
      </w:pPr>
      <w:r>
        <w:rPr>
          <w:rFonts w:hint="eastAsia" w:ascii="黑体" w:hAnsi="黑体" w:eastAsia="黑体" w:cs="黑体"/>
          <w:bCs/>
          <w:szCs w:val="21"/>
        </w:rPr>
        <w:t>5.2.4</w:t>
      </w:r>
      <w:r>
        <w:rPr>
          <w:rFonts w:eastAsia="黑体"/>
          <w:bCs/>
          <w:szCs w:val="21"/>
        </w:rPr>
        <w:t xml:space="preserve"> </w:t>
      </w:r>
      <w:r>
        <w:rPr>
          <w:szCs w:val="21"/>
        </w:rPr>
        <w:t>管道回填料可用于填充管道有效支撑角范围内的腋角部分和面层以下的部分。</w:t>
      </w:r>
    </w:p>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rPr>
      </w:pPr>
      <w:r>
        <w:rPr>
          <w:rFonts w:hint="eastAsia" w:ascii="黑体" w:hAnsi="黑体" w:eastAsia="黑体" w:cs="黑体"/>
          <w:bCs/>
          <w:szCs w:val="21"/>
        </w:rPr>
        <w:t>5.2.5</w:t>
      </w:r>
      <w:r>
        <w:rPr>
          <w:rFonts w:eastAsia="黑体"/>
          <w:bCs/>
          <w:szCs w:val="21"/>
        </w:rPr>
        <w:t xml:space="preserve"> </w:t>
      </w:r>
      <w:r>
        <w:rPr>
          <w:szCs w:val="21"/>
        </w:rPr>
        <w:t xml:space="preserve">道路基层回填料的原材料技术要求应符合下列规定： </w:t>
      </w:r>
    </w:p>
    <w:p>
      <w:pPr>
        <w:pStyle w:val="60"/>
        <w:numPr>
          <w:ilvl w:val="0"/>
          <w:numId w:val="20"/>
        </w:numPr>
        <w:rPr>
          <w:rFonts w:hint="eastAsia" w:ascii="宋体" w:hAnsi="宋体" w:eastAsia="宋体" w:cs="宋体"/>
          <w:szCs w:val="21"/>
        </w:rPr>
      </w:pPr>
      <w:r>
        <w:rPr>
          <w:rFonts w:hint="eastAsia" w:ascii="宋体" w:hAnsi="宋体" w:eastAsia="宋体" w:cs="宋体"/>
          <w:szCs w:val="21"/>
        </w:rPr>
        <w:t>水泥应符合本规程5.2.1第1条的规定。</w:t>
      </w:r>
    </w:p>
    <w:p>
      <w:pPr>
        <w:pStyle w:val="60"/>
        <w:numPr>
          <w:ilvl w:val="0"/>
          <w:numId w:val="20"/>
        </w:numPr>
        <w:rPr>
          <w:rFonts w:hint="eastAsia" w:ascii="宋体" w:hAnsi="宋体" w:eastAsia="宋体" w:cs="宋体"/>
          <w:szCs w:val="21"/>
        </w:rPr>
      </w:pPr>
      <w:r>
        <w:rPr>
          <w:rFonts w:hint="eastAsia" w:ascii="宋体" w:hAnsi="宋体" w:eastAsia="宋体" w:cs="宋体"/>
          <w:szCs w:val="21"/>
        </w:rPr>
        <w:t>水应符合本规程5.2.1第2条的规定。</w:t>
      </w:r>
    </w:p>
    <w:p>
      <w:pPr>
        <w:pStyle w:val="60"/>
        <w:numPr>
          <w:ilvl w:val="0"/>
          <w:numId w:val="20"/>
        </w:numPr>
        <w:rPr>
          <w:rFonts w:hint="eastAsia" w:ascii="宋体" w:hAnsi="宋体" w:eastAsia="宋体" w:cs="宋体"/>
          <w:szCs w:val="21"/>
        </w:rPr>
      </w:pPr>
      <w:r>
        <w:rPr>
          <w:rFonts w:hint="eastAsia" w:ascii="宋体" w:hAnsi="宋体" w:eastAsia="宋体" w:cs="宋体"/>
          <w:szCs w:val="21"/>
        </w:rPr>
        <w:t>粒料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szCs w:val="21"/>
        </w:rPr>
      </w:pPr>
      <w:r>
        <w:rPr>
          <w:rFonts w:hint="eastAsia" w:ascii="宋体" w:hAnsi="宋体" w:eastAsia="宋体" w:cs="宋体"/>
          <w:bCs/>
          <w:szCs w:val="21"/>
        </w:rPr>
        <w:t>1）</w:t>
      </w:r>
      <w:r>
        <w:rPr>
          <w:rFonts w:hint="eastAsia" w:ascii="宋体" w:hAnsi="宋体" w:eastAsia="宋体" w:cs="宋体"/>
          <w:szCs w:val="21"/>
        </w:rPr>
        <w:t>用于回填道路基层时，粒料最大粒径不宜超过37.5mm；</w:t>
      </w:r>
      <w:r>
        <w:rPr>
          <w:rFonts w:hint="eastAsia" w:ascii="宋体" w:hAnsi="宋体" w:eastAsia="宋体" w:cs="宋体"/>
          <w:b/>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bCs/>
          <w:szCs w:val="21"/>
        </w:rPr>
        <w:t>2）</w:t>
      </w:r>
      <w:r>
        <w:rPr>
          <w:rFonts w:hint="eastAsia" w:ascii="宋体" w:hAnsi="宋体" w:eastAsia="宋体" w:cs="宋体"/>
          <w:szCs w:val="21"/>
        </w:rPr>
        <w:t xml:space="preserve">用于回填道路底基层时，粒料最大粒径：对城市快速路、主干路不应超过37.5mm；对次干路及以下道路不应超过53mm；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bCs/>
          <w:szCs w:val="21"/>
        </w:rPr>
        <w:t>3）</w:t>
      </w:r>
      <w:r>
        <w:rPr>
          <w:rFonts w:hint="eastAsia" w:ascii="宋体" w:hAnsi="宋体" w:eastAsia="宋体" w:cs="宋体"/>
          <w:szCs w:val="21"/>
        </w:rPr>
        <w:t>用于回填道路底基层以下部位时，粒料最大粒径不宜超过53mm。</w:t>
      </w:r>
    </w:p>
    <w:p>
      <w:pPr>
        <w:pStyle w:val="60"/>
        <w:numPr>
          <w:ilvl w:val="0"/>
          <w:numId w:val="20"/>
        </w:numPr>
        <w:rPr>
          <w:rFonts w:hint="eastAsia" w:ascii="宋体" w:hAnsi="宋体" w:eastAsia="宋体" w:cs="宋体"/>
          <w:b/>
          <w:szCs w:val="21"/>
        </w:rPr>
      </w:pPr>
      <w:r>
        <w:rPr>
          <w:rFonts w:hint="eastAsia" w:ascii="宋体" w:hAnsi="宋体" w:eastAsia="宋体" w:cs="宋体"/>
          <w:b w:val="0"/>
          <w:bCs w:val="0"/>
          <w:szCs w:val="21"/>
        </w:rPr>
        <w:t>回填料用固化剂应符合本规程表1中的规定。</w:t>
      </w:r>
      <w:r>
        <w:rPr>
          <w:rFonts w:hint="eastAsia" w:ascii="宋体" w:hAnsi="宋体" w:eastAsia="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rPr>
      </w:pPr>
      <w:r>
        <w:rPr>
          <w:rFonts w:hint="eastAsia" w:ascii="黑体" w:hAnsi="黑体" w:eastAsia="黑体" w:cs="黑体"/>
          <w:bCs/>
          <w:szCs w:val="21"/>
        </w:rPr>
        <w:t>5.2.6</w:t>
      </w:r>
      <w:r>
        <w:rPr>
          <w:rFonts w:eastAsia="黑体"/>
          <w:bCs/>
          <w:szCs w:val="21"/>
        </w:rPr>
        <w:t xml:space="preserve"> </w:t>
      </w:r>
      <w:r>
        <w:rPr>
          <w:szCs w:val="21"/>
        </w:rPr>
        <w:t>道路基层回填料的各项指标应符合表3中的规定。</w:t>
      </w:r>
    </w:p>
    <w:p>
      <w:pPr>
        <w:pStyle w:val="138"/>
        <w:keepNext w:val="0"/>
        <w:keepLines w:val="0"/>
        <w:pageBreakBefore w:val="0"/>
        <w:widowControl/>
        <w:kinsoku/>
        <w:wordWrap/>
        <w:overflowPunct/>
        <w:topLinePunct w:val="0"/>
        <w:autoSpaceDE/>
        <w:autoSpaceDN/>
        <w:bidi w:val="0"/>
        <w:adjustRightInd/>
        <w:snapToGrid/>
        <w:spacing w:line="240" w:lineRule="auto"/>
        <w:textAlignment w:val="auto"/>
        <w:rPr>
          <w:szCs w:val="21"/>
        </w:rPr>
      </w:pPr>
      <w:r>
        <w:rPr>
          <w:szCs w:val="21"/>
        </w:rPr>
        <w:t>道路基层回填料技术要求</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567"/>
        <w:gridCol w:w="1276"/>
        <w:gridCol w:w="2551"/>
        <w:gridCol w:w="1418"/>
        <w:gridCol w:w="12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项目</w:t>
            </w:r>
          </w:p>
        </w:tc>
        <w:tc>
          <w:tcPr>
            <w:tcW w:w="5812" w:type="dxa"/>
            <w:gridSpan w:val="4"/>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技术要求</w:t>
            </w:r>
          </w:p>
        </w:tc>
        <w:tc>
          <w:tcPr>
            <w:tcW w:w="1258"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养护条件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384" w:type="dxa"/>
            <w:vMerge w:val="restar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道路基层回填料无侧限抗压强度</w:t>
            </w:r>
          </w:p>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MPa</w:t>
            </w:r>
          </w:p>
        </w:tc>
        <w:tc>
          <w:tcPr>
            <w:tcW w:w="567"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3h</w:t>
            </w:r>
          </w:p>
        </w:tc>
        <w:tc>
          <w:tcPr>
            <w:tcW w:w="5245" w:type="dxa"/>
            <w:gridSpan w:val="3"/>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1.0～1.5</w:t>
            </w:r>
          </w:p>
        </w:tc>
        <w:tc>
          <w:tcPr>
            <w:tcW w:w="1258"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加热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Merge w:val="continue"/>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c>
          <w:tcPr>
            <w:tcW w:w="567" w:type="dxa"/>
            <w:vMerge w:val="restar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7d</w:t>
            </w:r>
          </w:p>
        </w:tc>
        <w:tc>
          <w:tcPr>
            <w:tcW w:w="1276" w:type="dxa"/>
            <w:vMerge w:val="restar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基层</w:t>
            </w:r>
          </w:p>
        </w:tc>
        <w:tc>
          <w:tcPr>
            <w:tcW w:w="2551"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快速路、主干路</w:t>
            </w:r>
          </w:p>
        </w:tc>
        <w:tc>
          <w:tcPr>
            <w:tcW w:w="1418"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3.0～4.0</w:t>
            </w:r>
          </w:p>
        </w:tc>
        <w:tc>
          <w:tcPr>
            <w:tcW w:w="1258"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常温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Merge w:val="continue"/>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c>
          <w:tcPr>
            <w:tcW w:w="567" w:type="dxa"/>
            <w:vMerge w:val="continue"/>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c>
          <w:tcPr>
            <w:tcW w:w="1276" w:type="dxa"/>
            <w:vMerge w:val="continue"/>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c>
          <w:tcPr>
            <w:tcW w:w="2551"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次干路及以下道路</w:t>
            </w:r>
          </w:p>
        </w:tc>
        <w:tc>
          <w:tcPr>
            <w:tcW w:w="1418"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2.5～3.0</w:t>
            </w:r>
          </w:p>
        </w:tc>
        <w:tc>
          <w:tcPr>
            <w:tcW w:w="1258"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常温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Merge w:val="continue"/>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c>
          <w:tcPr>
            <w:tcW w:w="567" w:type="dxa"/>
            <w:vMerge w:val="continue"/>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c>
          <w:tcPr>
            <w:tcW w:w="1276" w:type="dxa"/>
            <w:vMerge w:val="restart"/>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底基层及以下部分</w:t>
            </w:r>
          </w:p>
        </w:tc>
        <w:tc>
          <w:tcPr>
            <w:tcW w:w="2551"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快速路、主干路</w:t>
            </w:r>
          </w:p>
        </w:tc>
        <w:tc>
          <w:tcPr>
            <w:tcW w:w="1418"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1.5～2.5</w:t>
            </w:r>
          </w:p>
        </w:tc>
        <w:tc>
          <w:tcPr>
            <w:tcW w:w="1258"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常温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Merge w:val="continue"/>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c>
          <w:tcPr>
            <w:tcW w:w="567" w:type="dxa"/>
            <w:vMerge w:val="continue"/>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c>
          <w:tcPr>
            <w:tcW w:w="1276" w:type="dxa"/>
            <w:vMerge w:val="continue"/>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p>
        </w:tc>
        <w:tc>
          <w:tcPr>
            <w:tcW w:w="2551"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次干路及以下道路</w:t>
            </w:r>
          </w:p>
        </w:tc>
        <w:tc>
          <w:tcPr>
            <w:tcW w:w="1418"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1.2～2.0</w:t>
            </w:r>
          </w:p>
        </w:tc>
        <w:tc>
          <w:tcPr>
            <w:tcW w:w="1258" w:type="dxa"/>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常温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54" w:type="dxa"/>
            <w:gridSpan w:val="6"/>
            <w:noWrap w:val="0"/>
            <w:vAlign w:val="center"/>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szCs w:val="21"/>
              </w:rPr>
              <w:t>注：抗压强度指7d强度值，3h抗压强度只作为配合比设计指标。</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rPr>
      </w:pPr>
      <w:r>
        <w:rPr>
          <w:rFonts w:hint="eastAsia" w:ascii="黑体" w:hAnsi="黑体" w:eastAsia="黑体" w:cs="黑体"/>
          <w:bCs/>
          <w:szCs w:val="21"/>
        </w:rPr>
        <w:t>5.2.7</w:t>
      </w:r>
      <w:r>
        <w:rPr>
          <w:rFonts w:eastAsia="黑体"/>
          <w:bCs/>
          <w:szCs w:val="21"/>
        </w:rPr>
        <w:t xml:space="preserve"> </w:t>
      </w:r>
      <w:r>
        <w:rPr>
          <w:szCs w:val="21"/>
        </w:rPr>
        <w:t>道路基层回填料初凝时间不得大于3h，回填料初凝前应完成摊铺和压实。</w:t>
      </w:r>
    </w:p>
    <w:p>
      <w:pPr>
        <w:keepNext w:val="0"/>
        <w:keepLines w:val="0"/>
        <w:pageBreakBefore w:val="0"/>
        <w:widowControl w:val="0"/>
        <w:kinsoku/>
        <w:wordWrap/>
        <w:overflowPunct/>
        <w:topLinePunct w:val="0"/>
        <w:autoSpaceDE/>
        <w:autoSpaceDN/>
        <w:bidi w:val="0"/>
        <w:adjustRightInd/>
        <w:snapToGrid/>
        <w:spacing w:line="240" w:lineRule="auto"/>
        <w:textAlignment w:val="auto"/>
        <w:rPr>
          <w:b/>
          <w:szCs w:val="21"/>
        </w:rPr>
      </w:pPr>
      <w:r>
        <w:rPr>
          <w:rFonts w:hint="eastAsia" w:ascii="黑体" w:hAnsi="黑体" w:eastAsia="黑体" w:cs="黑体"/>
          <w:bCs/>
          <w:szCs w:val="21"/>
        </w:rPr>
        <w:t>5.2.8</w:t>
      </w:r>
      <w:r>
        <w:rPr>
          <w:rFonts w:eastAsia="黑体"/>
          <w:bCs/>
          <w:szCs w:val="21"/>
        </w:rPr>
        <w:t xml:space="preserve"> </w:t>
      </w:r>
      <w:r>
        <w:rPr>
          <w:szCs w:val="21"/>
        </w:rPr>
        <w:t>道路基层回填料可用于基层、底基层及以下部位的回填施工。</w:t>
      </w:r>
    </w:p>
    <w:p>
      <w:pPr>
        <w:pStyle w:val="54"/>
        <w:spacing w:before="156" w:after="156"/>
        <w:ind w:left="2"/>
        <w:rPr>
          <w:rFonts w:eastAsia="黑体"/>
          <w:bCs/>
          <w:szCs w:val="21"/>
        </w:rPr>
      </w:pPr>
      <w:r>
        <w:rPr>
          <w:rFonts w:eastAsia="黑体"/>
          <w:bCs/>
          <w:szCs w:val="21"/>
        </w:rPr>
        <w:t>沥青混合料</w:t>
      </w:r>
      <w:bookmarkEnd w:id="75"/>
      <w:bookmarkEnd w:id="76"/>
      <w:bookmarkEnd w:id="77"/>
      <w:bookmarkEnd w:id="78"/>
      <w:bookmarkEnd w:id="79"/>
      <w:bookmarkEnd w:id="80"/>
      <w:bookmarkEnd w:id="81"/>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5.3.1</w:t>
      </w:r>
      <w:r>
        <w:rPr>
          <w:rFonts w:hint="eastAsia" w:ascii="宋体" w:hAnsi="宋体" w:eastAsia="宋体" w:cs="宋体"/>
          <w:szCs w:val="21"/>
        </w:rPr>
        <w:t xml:space="preserve"> 新沥青混合料的原材料应符合《城镇道路工程施工与质量验收规范》（CJJ 1）的要求，并应符合下列规定：</w:t>
      </w:r>
    </w:p>
    <w:p>
      <w:pPr>
        <w:pStyle w:val="60"/>
        <w:numPr>
          <w:ilvl w:val="0"/>
          <w:numId w:val="21"/>
        </w:numPr>
        <w:rPr>
          <w:rFonts w:hint="eastAsia" w:ascii="宋体" w:hAnsi="宋体" w:eastAsia="宋体" w:cs="宋体"/>
          <w:szCs w:val="21"/>
        </w:rPr>
      </w:pPr>
      <w:r>
        <w:rPr>
          <w:rFonts w:hint="eastAsia" w:ascii="宋体" w:hAnsi="宋体" w:eastAsia="宋体" w:cs="宋体"/>
          <w:szCs w:val="21"/>
        </w:rPr>
        <w:t>城镇道路不宜使用煤沥青；</w:t>
      </w:r>
    </w:p>
    <w:p>
      <w:pPr>
        <w:pStyle w:val="60"/>
        <w:numPr>
          <w:ilvl w:val="0"/>
          <w:numId w:val="21"/>
        </w:numPr>
        <w:rPr>
          <w:rFonts w:hint="eastAsia" w:ascii="宋体" w:hAnsi="宋体" w:eastAsia="宋体" w:cs="宋体"/>
          <w:szCs w:val="21"/>
        </w:rPr>
      </w:pPr>
      <w:r>
        <w:rPr>
          <w:rFonts w:hint="eastAsia" w:ascii="宋体" w:hAnsi="宋体" w:eastAsia="宋体" w:cs="宋体"/>
          <w:szCs w:val="21"/>
        </w:rPr>
        <w:t>乳化沥青用于透层、粘层、封层时，应优先选用沥青含量为50%的快裂慢凝阳离子型乳化沥青。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5.3.2</w:t>
      </w:r>
      <w:r>
        <w:rPr>
          <w:rFonts w:hint="eastAsia" w:ascii="宋体" w:hAnsi="宋体" w:eastAsia="宋体" w:cs="宋体"/>
          <w:bCs/>
          <w:szCs w:val="21"/>
        </w:rPr>
        <w:t xml:space="preserve"> </w:t>
      </w:r>
      <w:r>
        <w:rPr>
          <w:rFonts w:hint="eastAsia" w:ascii="宋体" w:hAnsi="宋体" w:eastAsia="宋体" w:cs="宋体"/>
          <w:szCs w:val="21"/>
        </w:rPr>
        <w:t>新沥青混合料配合比设计应符合《公路沥青路面施工技术规范》（JTG F40）的要求，并应符合下列规定：</w:t>
      </w:r>
    </w:p>
    <w:p>
      <w:pPr>
        <w:pStyle w:val="60"/>
        <w:numPr>
          <w:ilvl w:val="0"/>
          <w:numId w:val="22"/>
        </w:numPr>
        <w:rPr>
          <w:rFonts w:hint="eastAsia" w:ascii="宋体" w:hAnsi="宋体" w:eastAsia="宋体" w:cs="宋体"/>
          <w:szCs w:val="21"/>
        </w:rPr>
      </w:pPr>
      <w:r>
        <w:rPr>
          <w:rFonts w:hint="eastAsia" w:ascii="宋体" w:hAnsi="宋体" w:eastAsia="宋体" w:cs="宋体"/>
          <w:szCs w:val="21"/>
        </w:rPr>
        <w:t>应根据气候条件、道路等级、路面结构等情况，通过试验，确定适宜的沥青混合料技术指标；</w:t>
      </w:r>
    </w:p>
    <w:p>
      <w:pPr>
        <w:pStyle w:val="60"/>
        <w:numPr>
          <w:ilvl w:val="0"/>
          <w:numId w:val="22"/>
        </w:numPr>
        <w:rPr>
          <w:rFonts w:hint="eastAsia" w:ascii="宋体" w:hAnsi="宋体" w:eastAsia="宋体" w:cs="宋体"/>
          <w:szCs w:val="21"/>
        </w:rPr>
      </w:pPr>
      <w:r>
        <w:rPr>
          <w:rFonts w:hint="eastAsia" w:ascii="宋体" w:hAnsi="宋体" w:eastAsia="宋体" w:cs="宋体"/>
          <w:szCs w:val="21"/>
        </w:rPr>
        <w:t>应结合当地自然条件，充分利用当地资源，选择合格的材料。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5.3.3</w:t>
      </w:r>
      <w:r>
        <w:rPr>
          <w:rFonts w:hint="eastAsia" w:ascii="宋体" w:hAnsi="宋体" w:eastAsia="宋体" w:cs="宋体"/>
          <w:bCs/>
          <w:szCs w:val="21"/>
        </w:rPr>
        <w:t xml:space="preserve"> </w:t>
      </w:r>
      <w:r>
        <w:rPr>
          <w:rFonts w:hint="eastAsia" w:ascii="宋体" w:hAnsi="宋体" w:eastAsia="宋体" w:cs="宋体"/>
          <w:szCs w:val="21"/>
        </w:rPr>
        <w:t>用于路面面层恢复的原路面回收沥青混合料，应符合下列规定：</w:t>
      </w:r>
    </w:p>
    <w:p>
      <w:pPr>
        <w:pStyle w:val="60"/>
        <w:numPr>
          <w:ilvl w:val="0"/>
          <w:numId w:val="23"/>
        </w:numPr>
        <w:rPr>
          <w:rFonts w:hint="eastAsia" w:ascii="宋体" w:hAnsi="宋体" w:eastAsia="宋体" w:cs="宋体"/>
          <w:szCs w:val="21"/>
        </w:rPr>
      </w:pPr>
      <w:r>
        <w:rPr>
          <w:rFonts w:hint="eastAsia" w:ascii="宋体" w:hAnsi="宋体" w:eastAsia="宋体" w:cs="宋体"/>
          <w:szCs w:val="21"/>
        </w:rPr>
        <w:t>不同层位、不同级配的沥青混合料应分别回收、分开堆放，不得混杂。未分层回收、混杂在一起的沥青混合料再生后严禁用作表面层。回收过程应减少材料变异，可选择机械开挖回收的方式。</w:t>
      </w:r>
    </w:p>
    <w:p>
      <w:pPr>
        <w:pStyle w:val="60"/>
        <w:numPr>
          <w:ilvl w:val="0"/>
          <w:numId w:val="23"/>
        </w:numPr>
        <w:rPr>
          <w:rFonts w:hint="eastAsia" w:ascii="宋体" w:hAnsi="宋体" w:eastAsia="宋体" w:cs="宋体"/>
          <w:szCs w:val="21"/>
        </w:rPr>
      </w:pPr>
      <w:r>
        <w:rPr>
          <w:rFonts w:hint="eastAsia" w:ascii="宋体" w:hAnsi="宋体" w:eastAsia="宋体" w:cs="宋体"/>
          <w:szCs w:val="21"/>
        </w:rPr>
        <w:t>原路面沥青混合料在回收和存放时，不得混入基层旧料、水泥混凝土旧料、杂物、土壤等杂质。</w:t>
      </w:r>
    </w:p>
    <w:p>
      <w:pPr>
        <w:pStyle w:val="60"/>
        <w:numPr>
          <w:ilvl w:val="0"/>
          <w:numId w:val="23"/>
        </w:numPr>
        <w:rPr>
          <w:rFonts w:hint="eastAsia" w:ascii="宋体" w:hAnsi="宋体" w:eastAsia="宋体" w:cs="宋体"/>
          <w:szCs w:val="21"/>
        </w:rPr>
      </w:pPr>
      <w:r>
        <w:rPr>
          <w:rFonts w:hint="eastAsia" w:ascii="宋体" w:hAnsi="宋体" w:eastAsia="宋体" w:cs="宋体"/>
          <w:szCs w:val="21"/>
        </w:rPr>
        <w:t>回收沥青混合料的力学性能和使用性能应通过试验进行检测、评价。</w:t>
      </w:r>
    </w:p>
    <w:p>
      <w:pPr>
        <w:pStyle w:val="60"/>
        <w:numPr>
          <w:ilvl w:val="0"/>
          <w:numId w:val="23"/>
        </w:numPr>
        <w:rPr>
          <w:rFonts w:hint="eastAsia" w:ascii="宋体" w:hAnsi="宋体" w:eastAsia="宋体" w:cs="宋体"/>
          <w:szCs w:val="21"/>
        </w:rPr>
      </w:pPr>
      <w:r>
        <w:rPr>
          <w:rFonts w:hint="eastAsia" w:ascii="宋体" w:hAnsi="宋体" w:eastAsia="宋体" w:cs="宋体"/>
          <w:szCs w:val="21"/>
        </w:rPr>
        <w:t>回收沥青混合料的力学性能和使用性能满足恢复面层过程中所服务层位的要求时，应充分利用。</w:t>
      </w:r>
    </w:p>
    <w:p>
      <w:pPr>
        <w:pStyle w:val="60"/>
        <w:numPr>
          <w:ilvl w:val="0"/>
          <w:numId w:val="23"/>
        </w:numPr>
        <w:rPr>
          <w:rFonts w:hint="eastAsia" w:ascii="宋体" w:hAnsi="宋体" w:eastAsia="宋体" w:cs="宋体"/>
          <w:szCs w:val="21"/>
        </w:rPr>
      </w:pPr>
      <w:r>
        <w:rPr>
          <w:rFonts w:hint="eastAsia" w:ascii="宋体" w:hAnsi="宋体" w:eastAsia="宋体" w:cs="宋体"/>
          <w:szCs w:val="21"/>
        </w:rPr>
        <w:t>再生利用的回收沥青混合料不宜作为路面上面层使用，其所服务的层位应符合设计要求。</w:t>
      </w:r>
    </w:p>
    <w:p>
      <w:pPr>
        <w:pStyle w:val="60"/>
        <w:numPr>
          <w:ilvl w:val="0"/>
          <w:numId w:val="23"/>
        </w:numPr>
        <w:rPr>
          <w:rFonts w:hint="eastAsia" w:ascii="宋体" w:hAnsi="宋体" w:eastAsia="宋体" w:cs="宋体"/>
          <w:szCs w:val="21"/>
        </w:rPr>
      </w:pPr>
      <w:r>
        <w:rPr>
          <w:rFonts w:hint="eastAsia" w:ascii="宋体" w:hAnsi="宋体" w:eastAsia="宋体" w:cs="宋体"/>
          <w:szCs w:val="21"/>
        </w:rPr>
        <w:t>回收沥青混合料再生利用过程中，应减轻沥青二次老化和混合料级配离析。</w:t>
      </w:r>
    </w:p>
    <w:p>
      <w:pPr>
        <w:pStyle w:val="57"/>
        <w:keepNext w:val="0"/>
        <w:keepLines w:val="0"/>
        <w:pageBreakBefore w:val="0"/>
        <w:widowControl/>
        <w:kinsoku/>
        <w:wordWrap/>
        <w:overflowPunct/>
        <w:topLinePunct w:val="0"/>
        <w:autoSpaceDE/>
        <w:autoSpaceDN/>
        <w:bidi w:val="0"/>
        <w:adjustRightInd/>
        <w:snapToGrid/>
        <w:spacing w:line="240" w:lineRule="auto"/>
        <w:ind w:left="0"/>
        <w:textAlignment w:val="auto"/>
        <w:rPr>
          <w:rFonts w:ascii="黑体" w:hAnsi="黑体" w:eastAsia="黑体" w:cs="黑体"/>
        </w:rPr>
      </w:pPr>
      <w:bookmarkStart w:id="82" w:name="_Toc17218"/>
      <w:bookmarkStart w:id="83" w:name="_Toc527332838"/>
      <w:bookmarkStart w:id="84" w:name="_Toc527332915"/>
      <w:bookmarkStart w:id="85" w:name="_Toc527332370"/>
      <w:bookmarkStart w:id="86" w:name="_Toc527332784"/>
      <w:bookmarkStart w:id="87" w:name="_Toc527332715"/>
      <w:bookmarkStart w:id="88" w:name="_Toc527332644"/>
      <w:r>
        <w:rPr>
          <w:rFonts w:ascii="黑体" w:hAnsi="黑体" w:eastAsia="黑体" w:cs="黑体"/>
        </w:rPr>
        <w:t>开挖回填施工</w:t>
      </w:r>
      <w:bookmarkEnd w:id="82"/>
      <w:bookmarkEnd w:id="83"/>
      <w:bookmarkEnd w:id="84"/>
      <w:bookmarkEnd w:id="85"/>
      <w:bookmarkEnd w:id="86"/>
      <w:bookmarkEnd w:id="87"/>
      <w:bookmarkEnd w:id="88"/>
    </w:p>
    <w:p>
      <w:pPr>
        <w:pStyle w:val="54"/>
        <w:spacing w:before="156" w:after="156"/>
        <w:ind w:left="2"/>
        <w:rPr>
          <w:rFonts w:eastAsia="黑体"/>
          <w:bCs/>
          <w:szCs w:val="21"/>
        </w:rPr>
      </w:pPr>
      <w:bookmarkStart w:id="89" w:name="_Toc527332916"/>
      <w:bookmarkStart w:id="90" w:name="_Toc527332839"/>
      <w:bookmarkStart w:id="91" w:name="_Toc527332785"/>
      <w:bookmarkStart w:id="92" w:name="_Toc527332716"/>
      <w:bookmarkStart w:id="93" w:name="_Toc6135"/>
      <w:r>
        <w:rPr>
          <w:rFonts w:eastAsia="黑体"/>
          <w:bCs/>
          <w:szCs w:val="21"/>
        </w:rPr>
        <w:t>施工准备</w:t>
      </w:r>
      <w:bookmarkEnd w:id="89"/>
      <w:bookmarkEnd w:id="90"/>
      <w:bookmarkEnd w:id="91"/>
      <w:bookmarkEnd w:id="92"/>
      <w:bookmarkEnd w:id="93"/>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6.1.1</w:t>
      </w:r>
      <w:r>
        <w:rPr>
          <w:rFonts w:hint="eastAsia" w:ascii="宋体" w:hAnsi="宋体" w:eastAsia="宋体" w:cs="宋体"/>
          <w:b/>
          <w:szCs w:val="21"/>
        </w:rPr>
        <w:t xml:space="preserve"> </w:t>
      </w:r>
      <w:r>
        <w:rPr>
          <w:rFonts w:hint="eastAsia" w:ascii="宋体" w:hAnsi="宋体" w:eastAsia="宋体" w:cs="宋体"/>
          <w:szCs w:val="21"/>
        </w:rPr>
        <w:t>施工前，应根据建设单位提供的资料，组织有关人员对施工现场进行全面的调查。应熟悉现场地形、地貌、环境条件，掌握水、电、劳动力、设备等资源供应条件，并核实施工影响范围内的管线、构筑物、河湖、绿化、灯杆、文物古迹等情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6.1.2</w:t>
      </w:r>
      <w:r>
        <w:rPr>
          <w:rFonts w:hint="eastAsia" w:ascii="宋体" w:hAnsi="宋体" w:eastAsia="宋体" w:cs="宋体"/>
          <w:bCs/>
          <w:szCs w:val="21"/>
        </w:rPr>
        <w:t xml:space="preserve"> </w:t>
      </w:r>
      <w:r>
        <w:rPr>
          <w:rFonts w:hint="eastAsia" w:ascii="宋体" w:hAnsi="宋体" w:eastAsia="宋体" w:cs="宋体"/>
          <w:szCs w:val="21"/>
        </w:rPr>
        <w:t>施工作业范围内有障碍物时，施工前，应向建设单位、设计单位提出加固或移除措施方案。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6.1.3</w:t>
      </w:r>
      <w:r>
        <w:rPr>
          <w:rFonts w:hint="eastAsia" w:ascii="宋体" w:hAnsi="宋体" w:eastAsia="宋体" w:cs="宋体"/>
          <w:bCs/>
          <w:szCs w:val="21"/>
        </w:rPr>
        <w:t xml:space="preserve"> </w:t>
      </w:r>
      <w:r>
        <w:rPr>
          <w:rFonts w:hint="eastAsia" w:ascii="宋体" w:hAnsi="宋体" w:eastAsia="宋体" w:cs="宋体"/>
          <w:szCs w:val="21"/>
        </w:rPr>
        <w:t>施工前，应将施工所需水电、电信线路接至指定地点，开通施工场地与公共道路的通道，完成水准点与坐标控制点的交验，协调处理好施工场地周围地下管线和邻近建筑物、构筑物(含文物保护建筑)、古树名木的保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6.1.4</w:t>
      </w:r>
      <w:r>
        <w:rPr>
          <w:rFonts w:hint="eastAsia" w:ascii="宋体" w:hAnsi="宋体" w:eastAsia="宋体" w:cs="宋体"/>
          <w:bCs/>
          <w:szCs w:val="21"/>
        </w:rPr>
        <w:t xml:space="preserve"> </w:t>
      </w:r>
      <w:r>
        <w:rPr>
          <w:rFonts w:hint="eastAsia" w:ascii="宋体" w:hAnsi="宋体" w:eastAsia="宋体" w:cs="宋体"/>
          <w:szCs w:val="21"/>
        </w:rPr>
        <w:t>施工前，应编制施工组织设计、交通安全预案等开工资料，报监理批准。应准备好施工机具，并办理施工所需证件、批件。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szCs w:val="21"/>
        </w:rPr>
      </w:pPr>
      <w:r>
        <w:rPr>
          <w:rFonts w:hint="eastAsia" w:ascii="黑体" w:hAnsi="黑体" w:eastAsia="黑体" w:cs="黑体"/>
          <w:bCs/>
          <w:szCs w:val="21"/>
        </w:rPr>
        <w:t>6.1.5</w:t>
      </w:r>
      <w:r>
        <w:rPr>
          <w:rFonts w:hint="eastAsia" w:ascii="宋体" w:hAnsi="宋体" w:eastAsia="宋体" w:cs="宋体"/>
          <w:bCs/>
          <w:szCs w:val="21"/>
        </w:rPr>
        <w:t xml:space="preserve"> </w:t>
      </w:r>
      <w:r>
        <w:rPr>
          <w:rFonts w:hint="eastAsia" w:ascii="宋体" w:hAnsi="宋体" w:eastAsia="宋体" w:cs="宋体"/>
          <w:color w:val="000000"/>
          <w:szCs w:val="21"/>
        </w:rPr>
        <w:t>施工所用原材料，应取样检验，经检验合格后方可使用。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szCs w:val="21"/>
        </w:rPr>
      </w:pPr>
      <w:r>
        <w:rPr>
          <w:rFonts w:hint="eastAsia" w:ascii="黑体" w:hAnsi="黑体" w:eastAsia="黑体" w:cs="黑体"/>
          <w:bCs/>
          <w:szCs w:val="21"/>
        </w:rPr>
        <w:t>6.1.6</w:t>
      </w:r>
      <w:r>
        <w:rPr>
          <w:rFonts w:hint="eastAsia" w:ascii="宋体" w:hAnsi="宋体" w:eastAsia="宋体" w:cs="宋体"/>
          <w:bCs/>
          <w:szCs w:val="21"/>
        </w:rPr>
        <w:t xml:space="preserve"> </w:t>
      </w:r>
      <w:r>
        <w:rPr>
          <w:rFonts w:hint="eastAsia" w:ascii="宋体" w:hAnsi="宋体" w:eastAsia="宋体" w:cs="宋体"/>
          <w:szCs w:val="21"/>
        </w:rPr>
        <w:t>施工前，</w:t>
      </w:r>
      <w:r>
        <w:rPr>
          <w:rFonts w:hint="eastAsia" w:ascii="宋体" w:hAnsi="宋体" w:eastAsia="宋体" w:cs="宋体"/>
          <w:color w:val="000000"/>
          <w:szCs w:val="21"/>
        </w:rPr>
        <w:t>应按5.2.2和5.2.6的要求，完成不收缩回填料的配合比设计，且其配合比应符合设计要求。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6.1.7</w:t>
      </w:r>
      <w:r>
        <w:rPr>
          <w:rFonts w:hint="eastAsia" w:ascii="宋体" w:hAnsi="宋体" w:eastAsia="宋体" w:cs="宋体"/>
          <w:bCs/>
          <w:szCs w:val="21"/>
        </w:rPr>
        <w:t xml:space="preserve"> </w:t>
      </w:r>
      <w:r>
        <w:rPr>
          <w:rFonts w:hint="eastAsia" w:ascii="宋体" w:hAnsi="宋体" w:eastAsia="宋体" w:cs="宋体"/>
          <w:szCs w:val="21"/>
        </w:rPr>
        <w:t>回填前，沟槽、管道及其附属构筑物必须验收合格。</w:t>
      </w:r>
    </w:p>
    <w:p>
      <w:pPr>
        <w:pStyle w:val="54"/>
        <w:spacing w:before="156" w:after="156"/>
        <w:ind w:left="2"/>
        <w:rPr>
          <w:rFonts w:eastAsia="黑体"/>
          <w:bCs/>
          <w:szCs w:val="21"/>
        </w:rPr>
      </w:pPr>
      <w:bookmarkStart w:id="94" w:name="_Toc527332917"/>
      <w:bookmarkStart w:id="95" w:name="_Toc527332840"/>
      <w:bookmarkStart w:id="96" w:name="_Toc527332717"/>
      <w:bookmarkStart w:id="97" w:name="_Toc527332786"/>
      <w:bookmarkStart w:id="98" w:name="_Toc5931"/>
      <w:r>
        <w:rPr>
          <w:rFonts w:eastAsia="黑体"/>
          <w:bCs/>
          <w:szCs w:val="21"/>
        </w:rPr>
        <w:t>施工组织设计</w:t>
      </w:r>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6.2.1</w:t>
      </w:r>
      <w:r>
        <w:rPr>
          <w:rFonts w:hint="eastAsia" w:ascii="宋体" w:hAnsi="宋体" w:eastAsia="宋体" w:cs="宋体"/>
          <w:bCs/>
          <w:szCs w:val="21"/>
        </w:rPr>
        <w:t xml:space="preserve"> </w:t>
      </w:r>
      <w:r>
        <w:rPr>
          <w:rFonts w:hint="eastAsia" w:ascii="宋体" w:hAnsi="宋体" w:eastAsia="宋体" w:cs="宋体"/>
          <w:szCs w:val="21"/>
        </w:rPr>
        <w:t>城镇道路路面沟槽、基坑的开挖、回填、恢复快速施工工艺流程应符合图2的规定。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6.2.2</w:t>
      </w:r>
      <w:r>
        <w:rPr>
          <w:rFonts w:hint="eastAsia" w:ascii="宋体" w:hAnsi="宋体" w:eastAsia="宋体" w:cs="宋体"/>
          <w:bCs/>
          <w:szCs w:val="21"/>
        </w:rPr>
        <w:t xml:space="preserve"> </w:t>
      </w:r>
      <w:r>
        <w:rPr>
          <w:rFonts w:hint="eastAsia" w:ascii="宋体" w:hAnsi="宋体" w:eastAsia="宋体" w:cs="宋体"/>
          <w:szCs w:val="21"/>
        </w:rPr>
        <w:t>路面开挖前，应根据施工作业范围布设安全施工标志标牌，确保过往车辆、行人、施工人员、机械设备安全。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6.2.3</w:t>
      </w:r>
      <w:r>
        <w:rPr>
          <w:rFonts w:hint="eastAsia" w:ascii="宋体" w:hAnsi="宋体" w:eastAsia="宋体" w:cs="宋体"/>
          <w:b/>
          <w:szCs w:val="21"/>
        </w:rPr>
        <w:t xml:space="preserve"> </w:t>
      </w:r>
      <w:r>
        <w:rPr>
          <w:rFonts w:hint="eastAsia" w:ascii="宋体" w:hAnsi="宋体" w:eastAsia="宋体" w:cs="宋体"/>
          <w:szCs w:val="21"/>
        </w:rPr>
        <w:t>道路开挖及旧料回收应符合下列规定：</w:t>
      </w:r>
    </w:p>
    <w:p>
      <w:pPr>
        <w:pStyle w:val="60"/>
        <w:numPr>
          <w:ilvl w:val="0"/>
          <w:numId w:val="24"/>
        </w:numPr>
        <w:rPr>
          <w:rFonts w:hint="eastAsia" w:ascii="宋体" w:hAnsi="宋体" w:eastAsia="宋体" w:cs="宋体"/>
          <w:szCs w:val="21"/>
        </w:rPr>
      </w:pPr>
      <w:r>
        <w:rPr>
          <w:rFonts w:hint="eastAsia" w:ascii="宋体" w:hAnsi="宋体" w:eastAsia="宋体" w:cs="宋体"/>
          <w:szCs w:val="21"/>
        </w:rPr>
        <w:t>应按设计要求切割、破碎开挖范围内的路面。</w:t>
      </w:r>
    </w:p>
    <w:p>
      <w:pPr>
        <w:ind w:firstLine="482" w:firstLineChars="200"/>
        <w:rPr>
          <w:szCs w:val="21"/>
        </w:rPr>
      </w:pPr>
      <w:r>
        <w:rPr>
          <w:b/>
          <w:sz w:val="24"/>
        </w:rPr>
        <mc:AlternateContent>
          <mc:Choice Requires="wps">
            <w:drawing>
              <wp:anchor distT="0" distB="0" distL="114300" distR="114300" simplePos="0" relativeHeight="251666432" behindDoc="0" locked="0" layoutInCell="1" allowOverlap="1">
                <wp:simplePos x="0" y="0"/>
                <wp:positionH relativeFrom="column">
                  <wp:posOffset>1371600</wp:posOffset>
                </wp:positionH>
                <wp:positionV relativeFrom="paragraph">
                  <wp:posOffset>91440</wp:posOffset>
                </wp:positionV>
                <wp:extent cx="2400300" cy="297180"/>
                <wp:effectExtent l="4445" t="4445" r="18415" b="18415"/>
                <wp:wrapNone/>
                <wp:docPr id="16" name="文本框 16"/>
                <wp:cNvGraphicFramePr/>
                <a:graphic xmlns:a="http://schemas.openxmlformats.org/drawingml/2006/main">
                  <a:graphicData uri="http://schemas.microsoft.com/office/word/2010/wordprocessingShape">
                    <wps:wsp>
                      <wps:cNvSpPr txBox="1"/>
                      <wps:spPr>
                        <a:xfrm>
                          <a:off x="0" y="0"/>
                          <a:ext cx="24003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color w:val="FF0000"/>
                                <w:szCs w:val="21"/>
                              </w:rPr>
                            </w:pPr>
                            <w:r>
                              <w:rPr>
                                <w:rFonts w:hint="eastAsia"/>
                                <w:szCs w:val="21"/>
                              </w:rPr>
                              <w:t>破碎、分层回收沥青路面材料</w:t>
                            </w:r>
                          </w:p>
                        </w:txbxContent>
                      </wps:txbx>
                      <wps:bodyPr upright="1"/>
                    </wps:wsp>
                  </a:graphicData>
                </a:graphic>
              </wp:anchor>
            </w:drawing>
          </mc:Choice>
          <mc:Fallback>
            <w:pict>
              <v:shape id="_x0000_s1026" o:spid="_x0000_s1026" o:spt="202" type="#_x0000_t202" style="position:absolute;left:0pt;margin-left:108pt;margin-top:7.2pt;height:23.4pt;width:189pt;z-index:251666432;mso-width-relative:page;mso-height-relative:page;" fillcolor="#FFFFFF" filled="t" stroked="t" coordsize="21600,21600" o:gfxdata="UEsDBAoAAAAAAIdO4kAAAAAAAAAAAAAAAAAEAAAAZHJzL1BLAwQUAAAACACHTuJAvsYMwtgAAAAJ&#10;AQAADwAAAGRycy9kb3ducmV2LnhtbE2PwU7DMBBE70j8g7VIXBB1EkJoQ5wekEBwg4Lg6sbbJMJe&#10;B9tNy9+znOC4M6PZN8366KyYMcTRk4J8kYFA6rwZqVfw9np/uQQRkyajrSdU8I0R1u3pSaNr4w/0&#10;gvMm9YJLKNZawZDSVEsZuwGdjgs/IbG388HpxGfopQn6wOXOyiLLKun0SPxh0BPeDdh9bvZOwbJ8&#10;nD/i09Xze1ft7Cpd3MwPX0Gp87M8uwWR8Jj+wvCLz+jQMtPW78lEYRUUecVbEhtlCYID16uSha2C&#10;Ki9Ato38v6D9AVBLAwQUAAAACACHTuJAbkX/Hg0CAAA4BAAADgAAAGRycy9lMm9Eb2MueG1srVNL&#10;jhMxEN0jcQfLe9KdwAwzrXRGghA2CJAGDuC43d2W/JPtpDsXgBuwYsOec+UcPDuZzAcWWdALd7nq&#10;+bnqVXl+M2pFtsIHaU1Np5OSEmG4baTpavr1y+rFFSUhMtMwZY2o6U4EerN4/mw+uErMbG9VIzwB&#10;iQnV4Grax+iqogi8F5qFiXXCINhar1nE1ndF49kAdq2KWVleFoP1jfOWixDgXR6C9MjozyG0bSu5&#10;WFq+0cLEA6sXikWUFHrpAl3kbNtW8PipbYOIRNUUlca84hLY67QWizmrOs9cL/kxBXZOCk9q0kwa&#10;XHqiWrLIyMbLv6i05N4G28YJt7o4FJIVQRXT8ok2tz1zItcCqYM7iR7+Hy3/uP3siWwwCZeUGKbR&#10;8f2P7/ufv/e/vhH4INDgQgXcrQMyjm/sCPCdP8CZ6h5br9MfFRHEIe/uJK8YI+Fwzl6V5csSIY7Y&#10;7Pr19CrrX9yfdj7E98JqkoyaerQvq8q2H0JEJoDeQdJlwSrZrKRSeeO79VvlyZah1av8pSRx5BFM&#10;GTLU9PpidoE8GOa3xdzA1A4aBNPl+x6dCA+Jy/z9izgltmShPySQGRKMVVpG4bPVC9a8Mw2JOweZ&#10;DZ4XTclo0VCiBF5jsjIyMqnOQaI6ZVBkatGhFcmK43oETTLXttmhbRvnZddD0ty4DMdAZXWOw58m&#10;9uE+k94/+M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sYMwtgAAAAJAQAADwAAAAAAAAABACAA&#10;AAAiAAAAZHJzL2Rvd25yZXYueG1sUEsBAhQAFAAAAAgAh07iQG5F/x4NAgAAOAQAAA4AAAAAAAAA&#10;AQAgAAAAJwEAAGRycy9lMm9Eb2MueG1sUEsFBgAAAAAGAAYAWQEAAKYFAAAAAA==&#10;">
                <v:fill on="t" focussize="0,0"/>
                <v:stroke color="#000000" joinstyle="miter"/>
                <v:imagedata o:title=""/>
                <o:lock v:ext="edit" aspectratio="f"/>
                <v:textbox>
                  <w:txbxContent>
                    <w:p>
                      <w:pPr>
                        <w:jc w:val="center"/>
                        <w:rPr>
                          <w:rFonts w:hint="eastAsia"/>
                          <w:color w:val="FF0000"/>
                          <w:szCs w:val="21"/>
                        </w:rPr>
                      </w:pPr>
                      <w:r>
                        <w:rPr>
                          <w:rFonts w:hint="eastAsia"/>
                          <w:szCs w:val="21"/>
                        </w:rPr>
                        <w:t>破碎、分层回收沥青路面材料</w:t>
                      </w:r>
                    </w:p>
                  </w:txbxContent>
                </v:textbox>
              </v:shape>
            </w:pict>
          </mc:Fallback>
        </mc:AlternateContent>
      </w:r>
    </w:p>
    <w:p>
      <w:pPr>
        <w:ind w:right="34"/>
        <w:rPr>
          <w:sz w:val="24"/>
        </w:rPr>
      </w:pPr>
    </w:p>
    <w:p>
      <w:pPr>
        <w:tabs>
          <w:tab w:val="left" w:pos="3360"/>
        </w:tabs>
        <w:spacing w:line="360" w:lineRule="auto"/>
        <w:ind w:right="480"/>
        <w:rPr>
          <w:sz w:val="24"/>
        </w:rPr>
      </w:pPr>
      <w:r>
        <w:rPr>
          <w:sz w:val="24"/>
        </w:rPr>
        <mc:AlternateContent>
          <mc:Choice Requires="wps">
            <w:drawing>
              <wp:anchor distT="0" distB="0" distL="114300" distR="114300" simplePos="0" relativeHeight="251696128" behindDoc="0" locked="0" layoutInCell="1" allowOverlap="1">
                <wp:simplePos x="0" y="0"/>
                <wp:positionH relativeFrom="column">
                  <wp:posOffset>2605405</wp:posOffset>
                </wp:positionH>
                <wp:positionV relativeFrom="paragraph">
                  <wp:posOffset>76200</wp:posOffset>
                </wp:positionV>
                <wp:extent cx="1166495" cy="29718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166495" cy="297180"/>
                        </a:xfrm>
                        <a:prstGeom prst="rect">
                          <a:avLst/>
                        </a:prstGeom>
                        <a:noFill/>
                        <a:ln>
                          <a:noFill/>
                        </a:ln>
                      </wps:spPr>
                      <wps:txbx>
                        <w:txbxContent>
                          <w:p>
                            <w:pPr>
                              <w:jc w:val="center"/>
                              <w:rPr>
                                <w:rFonts w:hint="eastAsia"/>
                                <w:szCs w:val="21"/>
                              </w:rPr>
                            </w:pPr>
                            <w:r>
                              <w:rPr>
                                <w:rFonts w:hint="eastAsia"/>
                                <w:szCs w:val="21"/>
                              </w:rPr>
                              <w:t>基层开挖</w:t>
                            </w:r>
                          </w:p>
                        </w:txbxContent>
                      </wps:txbx>
                      <wps:bodyPr upright="1"/>
                    </wps:wsp>
                  </a:graphicData>
                </a:graphic>
              </wp:anchor>
            </w:drawing>
          </mc:Choice>
          <mc:Fallback>
            <w:pict>
              <v:shape id="_x0000_s1026" o:spid="_x0000_s1026" o:spt="202" type="#_x0000_t202" style="position:absolute;left:0pt;margin-left:205.15pt;margin-top:6pt;height:23.4pt;width:91.85pt;z-index:251696128;mso-width-relative:page;mso-height-relative:page;" filled="f" stroked="f" coordsize="21600,21600" o:gfxdata="UEsDBAoAAAAAAIdO4kAAAAAAAAAAAAAAAAAEAAAAZHJzL1BLAwQUAAAACACHTuJAzXuUl9YAAAAJ&#10;AQAADwAAAGRycy9kb3ducmV2LnhtbE2PwU7DMBBE70j9B2uRuFE7Ja3SNE4PRVxBtAWpNzfeJhHx&#10;OordJvw9ywlus5rR7JtiO7lO3HAIrScNyVyBQKq8banWcDy8PGYgQjRkTecJNXxjgG05uytMbv1I&#10;73jbx1pwCYXcaGhi7HMpQ9WgM2HueyT2Ln5wJvI51NIOZuRy18mFUivpTEv8oTE97hqsvvZXp+Hj&#10;9XL6TNVb/eyW/egnJcmtpdYP94nagIg4xb8w/OIzOpTMdPZXskF0GtJEPXGUjQVv4sBynbI4s8gy&#10;kGUh/y8ofwBQSwMEFAAAAAgAh07iQOxlCwauAQAATgMAAA4AAABkcnMvZTJvRG9jLnhtbK1TS27b&#10;MBDdF+gdCO5r2kbjOoLlAIWRbIq2QJoD0BRpERA5BIe25Au0N+iqm+57Lp+jQ9pxfpsssqHImcc3&#10;895Qi6vBdWynI1rwNZ+Mxpxpr6CxflPzux/XH+acYZK+kR14XfO9Rn61fP9u0YdKT6GFrtGREYnH&#10;qg81b1MKlRCoWu0kjiBoT0kD0clEx7gRTZQ9sbtOTMfjmeghNiGC0ogUXR2T/MQYX0MIxlilV6C2&#10;Tvt0ZI26k4kkYWsD8mXp1hit0jdjUCfW1ZyUprJSEdqv8yqWC1ltogytVacW5GtaeKbJSeup6Jlq&#10;JZNk22hfUDmrIiCYNFLgxFFIcYRUTMbPvLltZdBFC1mN4Ww6vh2t+rr7Hpltak5j99LRwA+/fx3+&#10;/Dv8/cnm2Z4+YEWo20C4NHyGgR7NfRwpmFUPJrr8JT2M8mTu/myuHhJT+dJkNvt4ecGZotz08tNk&#10;XtwXD7dDxHSjwbG8qXmk4RVP5e4LJuqEoPeQXMzDte26MsDOPwkQMEdEbv3YYt6lYT2c9Kyh2ZOc&#10;bYh201KpIqjAyeZS6PQk8hwfnwvpw2+w/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Ne5SX1gAA&#10;AAkBAAAPAAAAAAAAAAEAIAAAACIAAABkcnMvZG93bnJldi54bWxQSwECFAAUAAAACACHTuJA7GUL&#10;Bq4BAABOAwAADgAAAAAAAAABACAAAAAlAQAAZHJzL2Uyb0RvYy54bWxQSwUGAAAAAAYABgBZAQAA&#10;RQUAAAAA&#10;">
                <v:fill on="f" focussize="0,0"/>
                <v:stroke on="f"/>
                <v:imagedata o:title=""/>
                <o:lock v:ext="edit" aspectratio="f"/>
                <v:textbox>
                  <w:txbxContent>
                    <w:p>
                      <w:pPr>
                        <w:jc w:val="center"/>
                        <w:rPr>
                          <w:rFonts w:hint="eastAsia"/>
                          <w:szCs w:val="21"/>
                        </w:rPr>
                      </w:pPr>
                      <w:r>
                        <w:rPr>
                          <w:rFonts w:hint="eastAsia"/>
                          <w:szCs w:val="21"/>
                        </w:rPr>
                        <w:t>基层开挖</w:t>
                      </w:r>
                    </w:p>
                  </w:txbxContent>
                </v:textbox>
              </v:shape>
            </w:pict>
          </mc:Fallback>
        </mc:AlternateContent>
      </w:r>
      <w:r>
        <w:rPr>
          <w:sz w:val="24"/>
        </w:rPr>
        <mc:AlternateContent>
          <mc:Choice Requires="wps">
            <w:drawing>
              <wp:anchor distT="0" distB="0" distL="114300" distR="114300" simplePos="0" relativeHeight="251695104" behindDoc="0" locked="0" layoutInCell="1" allowOverlap="1">
                <wp:simplePos x="0" y="0"/>
                <wp:positionH relativeFrom="column">
                  <wp:posOffset>1325880</wp:posOffset>
                </wp:positionH>
                <wp:positionV relativeFrom="paragraph">
                  <wp:posOffset>76200</wp:posOffset>
                </wp:positionV>
                <wp:extent cx="1166495" cy="29718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166495" cy="297180"/>
                        </a:xfrm>
                        <a:prstGeom prst="rect">
                          <a:avLst/>
                        </a:prstGeom>
                        <a:noFill/>
                        <a:ln>
                          <a:noFill/>
                        </a:ln>
                      </wps:spPr>
                      <wps:txbx>
                        <w:txbxContent>
                          <w:p>
                            <w:pPr>
                              <w:jc w:val="center"/>
                              <w:rPr>
                                <w:rFonts w:hint="eastAsia"/>
                                <w:szCs w:val="21"/>
                              </w:rPr>
                            </w:pPr>
                            <w:r>
                              <w:rPr>
                                <w:rFonts w:hint="eastAsia"/>
                                <w:szCs w:val="21"/>
                              </w:rPr>
                              <w:t>管道开挖</w:t>
                            </w:r>
                          </w:p>
                        </w:txbxContent>
                      </wps:txbx>
                      <wps:bodyPr upright="1"/>
                    </wps:wsp>
                  </a:graphicData>
                </a:graphic>
              </wp:anchor>
            </w:drawing>
          </mc:Choice>
          <mc:Fallback>
            <w:pict>
              <v:shape id="_x0000_s1026" o:spid="_x0000_s1026" o:spt="202" type="#_x0000_t202" style="position:absolute;left:0pt;margin-left:104.4pt;margin-top:6pt;height:23.4pt;width:91.85pt;z-index:251695104;mso-width-relative:page;mso-height-relative:page;" filled="f" stroked="f" coordsize="21600,21600" o:gfxdata="UEsDBAoAAAAAAIdO4kAAAAAAAAAAAAAAAAAEAAAAZHJzL1BLAwQUAAAACACHTuJAazWnL9UAAAAJ&#10;AQAADwAAAGRycy9kb3ducmV2LnhtbE2Py07DMBBF90j8gzVI7KjdQFCbxukCxBZEeUjspvE0iRqP&#10;o9htwt8zrGA5Old3zi23s+/VmcbYBbawXBhQxHVwHTcW3t+eblagYkJ22AcmC98UYVtdXpRYuDDx&#10;K513qVFSwrFAC21KQ6F1rFvyGBdhIBZ2CKPHJOfYaDfiJOW+15kx99pjx/KhxYEeWqqPu5O38PF8&#10;+Pq8My/No8+HKcxGs19ra6+vlmYDKtGc/sLwqy/qUInTPpzYRdVbyMxK1JOATDZJ4Had5aD2FnIB&#10;uir1/wXVD1BLAwQUAAAACACHTuJAZnLp068BAABQAwAADgAAAGRycy9lMm9Eb2MueG1srVNLbtsw&#10;EN0X6B0I7mvaRuPGguUAhZFsirZAmgPQFGURIDkEh7bkC7Q36Kqb7nsun6ND2nF+myyyociZxzfz&#10;3lCLq8FZttMRDfiaT0ZjzrRX0Bi/qfndj+sPl5xhkr6RFryu+V4jv1q+f7foQ6Wn0IFtdGRE4rHq&#10;Q827lEIlBKpOO4kjCNpTsoXoZKJj3Igmyp7YnRXT8XgmeohNiKA0IkVXxyQ/McbXEELbGqVXoLZO&#10;+3RkjdrKRJKwMwH5snTbtlqlb22LOjFbc1KaykpFaL/Oq1guZLWJMnRGnVqQr2nhmSYnjaeiZ6qV&#10;TJJto3lB5YyKgNCmkQInjkKKI6RiMn7mzW0ngy5ayGoMZ9Px7WjV1933yExDL2HOmZeOJn74/evw&#10;59/h709GMTKoD1gR7jYQMg2fYSDwfRwpmHUPbXT5S4oY5cne/dlePSSm8qXJbPZxfsGZotx0/mly&#10;WfwXD7dDxHSjwbG8qXmk8RVX5e4LJuqEoPeQXMzDtbG2jND6JwEC5ojIrR9bzLs0rIeTnjU0e5Kz&#10;DdFsOipVBBU4GV0KnR5FnuTjcyF9+BGW/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rNacv1QAA&#10;AAkBAAAPAAAAAAAAAAEAIAAAACIAAABkcnMvZG93bnJldi54bWxQSwECFAAUAAAACACHTuJAZnLp&#10;068BAABQAwAADgAAAAAAAAABACAAAAAkAQAAZHJzL2Uyb0RvYy54bWxQSwUGAAAAAAYABgBZAQAA&#10;RQUAAAAA&#10;">
                <v:fill on="f" focussize="0,0"/>
                <v:stroke on="f"/>
                <v:imagedata o:title=""/>
                <o:lock v:ext="edit" aspectratio="f"/>
                <v:textbox>
                  <w:txbxContent>
                    <w:p>
                      <w:pPr>
                        <w:jc w:val="center"/>
                        <w:rPr>
                          <w:rFonts w:hint="eastAsia"/>
                          <w:szCs w:val="21"/>
                        </w:rPr>
                      </w:pPr>
                      <w:r>
                        <w:rPr>
                          <w:rFonts w:hint="eastAsia"/>
                          <w:szCs w:val="21"/>
                        </w:rPr>
                        <w:t>管道开挖</w:t>
                      </w:r>
                    </w:p>
                  </w:txbxContent>
                </v:textbox>
              </v:shape>
            </w:pict>
          </mc:Fallback>
        </mc:AlternateContent>
      </w:r>
      <w:r>
        <w:rPr>
          <w:sz w:val="24"/>
        </w:rPr>
        <mc:AlternateContent>
          <mc:Choice Requires="wps">
            <w:drawing>
              <wp:anchor distT="0" distB="0" distL="114300" distR="114300" simplePos="0" relativeHeight="251685888" behindDoc="0" locked="0" layoutInCell="1" allowOverlap="1">
                <wp:simplePos x="0" y="0"/>
                <wp:positionH relativeFrom="column">
                  <wp:posOffset>2530475</wp:posOffset>
                </wp:positionH>
                <wp:positionV relativeFrom="paragraph">
                  <wp:posOffset>7620</wp:posOffset>
                </wp:positionV>
                <wp:extent cx="0" cy="369570"/>
                <wp:effectExtent l="4445" t="0" r="10795" b="11430"/>
                <wp:wrapNone/>
                <wp:docPr id="11" name="直接连接符 11"/>
                <wp:cNvGraphicFramePr/>
                <a:graphic xmlns:a="http://schemas.openxmlformats.org/drawingml/2006/main">
                  <a:graphicData uri="http://schemas.microsoft.com/office/word/2010/wordprocessingShape">
                    <wps:wsp>
                      <wps:cNvCnPr/>
                      <wps:spPr>
                        <a:xfrm>
                          <a:off x="0" y="0"/>
                          <a:ext cx="0" cy="3695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9.25pt;margin-top:0.6pt;height:29.1pt;width:0pt;z-index:251685888;mso-width-relative:page;mso-height-relative:page;" filled="f" stroked="t" coordsize="21600,21600" o:gfxdata="UEsDBAoAAAAAAIdO4kAAAAAAAAAAAAAAAAAEAAAAZHJzL1BLAwQUAAAACACHTuJAe14+g9UAAAAI&#10;AQAADwAAAGRycy9kb3ducmV2LnhtbE2Py07DMBBF90j8gzVIbCpqN6WoDXG6ALJjQwGxncZDEhGP&#10;09h9wNcziAUsr87VnTPF+uR7daAxdoEtzKYGFHEdXMeNhZfn6moJKiZkh31gsvBJEdbl+VmBuQtH&#10;fqLDJjVKRjjmaKFNaci1jnVLHuM0DMTC3sPoMUkcG+1GPMq473VmzI322LFcaHGgu5bqj83eW4jV&#10;K+2qr0k9MW/zJlC2u398QGsvL2bmFlSiU/orw4++qEMpTtuwZxdVb2G+Wi6kKiADJfw3by0sVteg&#10;y0L/f6D8BlBLAwQUAAAACACHTuJA1lqR+fUBAADlAwAADgAAAGRycy9lMm9Eb2MueG1srVO9jhMx&#10;EO6ReAfLPdkkKAe3yuaKC0eD4CTgASa2d9eS/+RxsslL8AJIdFBR0vM2HI/B2BtycDQp2MI7Ho+/&#10;me+b8fJqbw3bqYjau4bPJlPOlBNeatc1/P27myfPOcMEToLxTjX8oJBfrR4/Wg6hVnPfeyNVZATi&#10;sB5Cw/uUQl1VKHplASc+KEeHrY8WEm1jV8kIA6FbU82n04tq8FGG6IVCJO96PORHxHgOoG9bLdTa&#10;i61VLo2oURlIRAl7HZCvSrVtq0R607aoEjMNJ6aprJSE7E1eq9US6i5C6LU4lgDnlPCAkwXtKOkJ&#10;ag0J2Dbqf6CsFtGjb9NEeFuNRIoixGI2faDN2x6CKlxIagwn0fH/wYrXu9vItKRJmHHmwFLH7z5+&#10;+/Hh88/vn2i9+/qF0QnJNASsKfra3cbjDsNtzJz3bbT5T2zYvkh7OEmr9omJ0SnI+/TicvGsqF7d&#10;3wsR00vlLctGw412mTTUsHuFiXJR6O+Q7DaODQ2/XMwXnAmgCWyp82TaQCzQdeUueqPljTYm38DY&#10;ba5NZDvIU1C+zIhw/wrLSdaA/RhXjsb56BXIF06ydAgkj6NnwXMJVknOjKJXlC0ChDqBNudEUmrj&#10;qIIs6ihjtjZeHqgb2xB115MSRfcSQ90v9R4nNY/Xn/uCdP86V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14+g9UAAAAIAQAADwAAAAAAAAABACAAAAAiAAAAZHJzL2Rvd25yZXYueG1sUEsBAhQA&#10;FAAAAAgAh07iQNZakfn1AQAA5QMAAA4AAAAAAAAAAQAgAAAAJAEAAGRycy9lMm9Eb2MueG1sUEsF&#10;BgAAAAAGAAYAWQEAAIsFAAAAAA==&#10;">
                <v:fill on="f" focussize="0,0"/>
                <v:stroke color="#000000" joinstyle="round"/>
                <v:imagedata o:title=""/>
                <o:lock v:ext="edit" aspectratio="f"/>
              </v:line>
            </w:pict>
          </mc:Fallback>
        </mc:AlternateContent>
      </w:r>
      <w:r>
        <w:rPr>
          <w:sz w:val="24"/>
        </w:rPr>
        <w:tab/>
      </w:r>
    </w:p>
    <w:p>
      <w:pPr>
        <w:spacing w:line="360" w:lineRule="auto"/>
        <w:ind w:right="480"/>
        <w:rPr>
          <w:sz w:val="24"/>
        </w:rPr>
      </w:pPr>
      <w:r>
        <w:rPr>
          <w:sz w:val="24"/>
        </w:rPr>
        <mc:AlternateContent>
          <mc:Choice Requires="wps">
            <w:drawing>
              <wp:anchor distT="0" distB="0" distL="114300" distR="114300" simplePos="0" relativeHeight="251684864" behindDoc="0" locked="0" layoutInCell="1" allowOverlap="1">
                <wp:simplePos x="0" y="0"/>
                <wp:positionH relativeFrom="column">
                  <wp:posOffset>1325880</wp:posOffset>
                </wp:positionH>
                <wp:positionV relativeFrom="paragraph">
                  <wp:posOffset>80010</wp:posOffset>
                </wp:positionV>
                <wp:extent cx="2514600" cy="0"/>
                <wp:effectExtent l="0" t="0" r="0" b="0"/>
                <wp:wrapNone/>
                <wp:docPr id="23" name="直接连接符 23"/>
                <wp:cNvGraphicFramePr/>
                <a:graphic xmlns:a="http://schemas.openxmlformats.org/drawingml/2006/main">
                  <a:graphicData uri="http://schemas.microsoft.com/office/word/2010/wordprocessingShape">
                    <wps:wsp>
                      <wps:cNvCnPr/>
                      <wps:spPr>
                        <a:xfrm>
                          <a:off x="0" y="0"/>
                          <a:ext cx="2514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4.4pt;margin-top:6.3pt;height:0pt;width:198pt;z-index:251684864;mso-width-relative:page;mso-height-relative:page;" filled="f" stroked="t" coordsize="21600,21600" o:gfxdata="UEsDBAoAAAAAAIdO4kAAAAAAAAAAAAAAAAAEAAAAZHJzL1BLAwQUAAAACACHTuJA4aANFdUAAAAJ&#10;AQAADwAAAGRycy9kb3ducmV2LnhtbE2PzU7DMBCE70i8g7VIXCpqN6CoSuP0AOTGhQLiuo23SUS8&#10;TmP3B56eRRzguDOj2W/K9dkP6khT7ANbWMwNKOImuJ5bC68v9c0SVEzIDofAZOGTIqyry4sSCxdO&#10;/EzHTWqVlHAs0EKX0lhoHZuOPMZ5GInF24XJY5JzarWb8CTlftCZMbn22LN86HCk+46aj83BW4j1&#10;G+3rr1kzM++3baBs//D0iNZeXy3MClSic/oLww++oEMlTNtwYBfVYCEzS0FPYmQ5KAnk5k6E7a+g&#10;q1L/X1B9A1BLAwQUAAAACACHTuJA+3pLPPYBAADmAwAADgAAAGRycy9lMm9Eb2MueG1srVO9jhMx&#10;EO6ReAfLPdkkkBOssrniwtEgOAl4gInt3bXkP3mcbPISvAASHVSU9LwNx2Mw9uZycDQp2MI79oy/&#10;me+b8fJybw3bqYjau4bPJlPOlBNeatc1/MP76yfPOcMEToLxTjX8oJBfrh4/Wg6hVnPfeyNVZATi&#10;sB5Cw/uUQl1VKHplASc+KEfO1kcLibaxq2SEgdCtqebT6UU1+ChD9EIh0ul6dPIjYjwH0LetFmrt&#10;xdYql0bUqAwkooS9DshXpdq2VSK9bVtUiZmGE9NUVkpC9iav1WoJdRch9FocS4BzSnjAyYJ2lPQE&#10;tYYEbBv1P1BWi+jRt2kivK1GIkURYjGbPtDmXQ9BFS4kNYaT6Pj/YMWb3U1kWjZ8/pQzB5Y6fvvp&#10;+8+PX379+Ezr7bevjDwk0xCwpugrdxOPOww3MXPet9HmP7Fh+yLt4SSt2icm6HC+mD27mJLq4s5X&#10;3V8MEdMr5S3LRsONdpk11LB7jYmSUehdSD42jg0Nf7GYLwgOaARbaj2ZNhANdF25i95oea2NyTcw&#10;dpsrE9kO8hiUL1Mi3L/CcpI1YD/GFdc4IL0C+dJJlg6B9HH0LnguwSrJmVH0jLJFgFAn0OacSEpt&#10;HFWQVR11zNbGywO1Yxui7npSYlaqzB5qf6n3OKp5vv7cF6T757n6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GgDRXVAAAACQEAAA8AAAAAAAAAAQAgAAAAIgAAAGRycy9kb3ducmV2LnhtbFBLAQIU&#10;ABQAAAAIAIdO4kD7eks89gEAAOYDAAAOAAAAAAAAAAEAIAAAACQBAABkcnMvZTJvRG9jLnhtbFBL&#10;BQYAAAAABgAGAFkBAACMBQ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9504" behindDoc="0" locked="0" layoutInCell="1" allowOverlap="1">
                <wp:simplePos x="0" y="0"/>
                <wp:positionH relativeFrom="column">
                  <wp:posOffset>3840480</wp:posOffset>
                </wp:positionH>
                <wp:positionV relativeFrom="paragraph">
                  <wp:posOffset>76200</wp:posOffset>
                </wp:positionV>
                <wp:extent cx="0" cy="297180"/>
                <wp:effectExtent l="38100" t="0" r="38100" b="7620"/>
                <wp:wrapNone/>
                <wp:docPr id="26" name="直接连接符 2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2.4pt;margin-top:6pt;height:23.4pt;width:0pt;z-index:251669504;mso-width-relative:page;mso-height-relative:page;" filled="f" stroked="t" coordsize="21600,21600" o:gfxdata="UEsDBAoAAAAAAIdO4kAAAAAAAAAAAAAAAAAEAAAAZHJzL1BLAwQUAAAACACHTuJAPi0a9dcAAAAJ&#10;AQAADwAAAGRycy9kb3ducmV2LnhtbE2PwU7DMBBE70j8g7VI3KidCiorxOkBqVxaQG0RgpubLElE&#10;vI5spw1/zyIO5bgzo9k3xXJyvThiiJ0nA9lMgUCqfN1RY+B1v7rRIGKyVNveExr4xgjL8vKisHnt&#10;T7TF4y41gkso5tZAm9KQSxmrFp2NMz8gsffpg7OJz9DIOtgTl7tezpVaSGc74g+tHfChxeprNzoD&#10;281qrd/W41SFj8fsef+yeXqP2pjrq0zdg0g4pXMYfvEZHUpmOviR6ih6Awt1y+iJjTlv4sCfcDBw&#10;pzXIspD/F5Q/UEsDBBQAAAAIAIdO4kC4ic61/QEAAOkDAAAOAAAAZHJzL2Uyb0RvYy54bWytU81u&#10;EzEQviPxDpbvZJNILe0qmx4aygVBJeABJrZ315L/5HGyyUvwAkjc4MSRO29D+xiMvSGBIqQe2IN3&#10;PDP+Zr7P48XVzhq2VRG1dw2fTaacKSe81K5r+Pt3N88uOMMEToLxTjV8r5BfLZ8+WQyhVnPfeyNV&#10;ZATisB5Cw/uUQl1VKHplASc+KEfB1kcLibaxq2SEgdCtqebT6Xk1+ChD9EIhknc1BvkBMT4G0Let&#10;FmrlxcYql0bUqAwkooS9DsiXpdu2VSK9aVtUiZmGE9NUVipC9jqv1XIBdRch9FocWoDHtPCAkwXt&#10;qOgRagUJ2Cbqv6CsFtGjb9NEeFuNRIoixGI2faDN2x6CKlxIagxH0fH/wYrX29vItGz4/JwzB5Zu&#10;/O7jtx8fPt9//0Tr3dcvjCIk0xCwpuxrdxsPOwy3MXPetdHmP7FhuyLt/iit2iUmRqcg7/zy+eyi&#10;qF6dzoWI6aXylmWj4Ua7TBpq2L7CRLUo9VdKdhvHhoZfns3POBNAE9jSzZNpA7FA15Wz6I2WN9qY&#10;fAJjt742kW0hT0H5MiPC/SMtF1kB9mNeCY3z0SuQL5xkaR9IHkfPgucWrJKcGUWvKFsECHUCbU6Z&#10;KWpwnflHNpU3jrrIwo5SZmvt5Z5uZBOi7npSY1Y6zRGagNLzYVrziP2+L0inF7r8C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4tGvXXAAAACQEAAA8AAAAAAAAAAQAgAAAAIgAAAGRycy9kb3ducmV2&#10;LnhtbFBLAQIUABQAAAAIAIdO4kC4ic61/QEAAOkDAAAOAAAAAAAAAAEAIAAAACYBAABkcnMvZTJv&#10;RG9jLnhtbFBLBQYAAAAABgAGAFkBAACVBQAAAAA=&#10;">
                <v:fill on="f" focussize="0,0"/>
                <v:stroke color="#000000" joinstyle="round" endarrow="block"/>
                <v:imagedata o:title=""/>
                <o:lock v:ext="edit" aspectratio="f"/>
              </v:line>
            </w:pict>
          </mc:Fallback>
        </mc:AlternateContent>
      </w:r>
      <w:r>
        <w:rPr>
          <w:sz w:val="24"/>
        </w:rPr>
        <mc:AlternateContent>
          <mc:Choice Requires="wps">
            <w:drawing>
              <wp:anchor distT="0" distB="0" distL="114300" distR="114300" simplePos="0" relativeHeight="251682816" behindDoc="0" locked="0" layoutInCell="1" allowOverlap="1">
                <wp:simplePos x="0" y="0"/>
                <wp:positionH relativeFrom="column">
                  <wp:posOffset>1325880</wp:posOffset>
                </wp:positionH>
                <wp:positionV relativeFrom="paragraph">
                  <wp:posOffset>80010</wp:posOffset>
                </wp:positionV>
                <wp:extent cx="0" cy="293370"/>
                <wp:effectExtent l="38100" t="0" r="38100" b="11430"/>
                <wp:wrapNone/>
                <wp:docPr id="15" name="直接连接符 15"/>
                <wp:cNvGraphicFramePr/>
                <a:graphic xmlns:a="http://schemas.openxmlformats.org/drawingml/2006/main">
                  <a:graphicData uri="http://schemas.microsoft.com/office/word/2010/wordprocessingShape">
                    <wps:wsp>
                      <wps:cNvCnPr/>
                      <wps:spPr>
                        <a:xfrm>
                          <a:off x="0" y="0"/>
                          <a:ext cx="0" cy="2933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4pt;margin-top:6.3pt;height:23.1pt;width:0pt;z-index:251682816;mso-width-relative:page;mso-height-relative:page;" filled="f" stroked="t" coordsize="21600,21600" o:gfxdata="UEsDBAoAAAAAAIdO4kAAAAAAAAAAAAAAAAAEAAAAZHJzL1BLAwQUAAAACACHTuJA/5uZR9YAAAAJ&#10;AQAADwAAAGRycy9kb3ducmV2LnhtbE2PwU7DMAyG70i8Q2QkbixpJaaqNN0BaVw2QNsQglvWmLai&#10;caok3crbY8QBjvb36/fnajW7QZwwxN6ThmyhQCA13vbUang5rG8KEDEZsmbwhBq+MMKqvryoTGn9&#10;mXZ42qdWcAnF0mjoUhpLKWPToTNx4UckZh8+OJN4DK20wZy53A0yV2opnemJL3RmxPsOm8/95DTs&#10;tutN8bqZ5ia8P2RPh+ft41sstL6+ytQdiIRz+gvDjz6rQ81ORz+RjWLQkKuC1RODfAmCA7+Lo4Zb&#10;BrKu5P8P6m9QSwMEFAAAAAgAh07iQI+nhMj8AQAA6QMAAA4AAABkcnMvZTJvRG9jLnhtbK1TzW4T&#10;MRC+I/EOlu9kk1QFusqmh4ZyQVAJeICJ7d215D95nGzyErwAEjc4ceTO27Q8BmNvSKAIqQf24B3P&#10;jL+Z7/N4cbmzhm1VRO1dw2eTKWfKCS+16xr+/t31k+ecYQInwXinGr5XyC+Xjx8thlCrue+9kSoy&#10;AnFYD6HhfUqhrioUvbKAEx+Uo2Dro4VE29hVMsJA6NZU8+n0aTX4KEP0QiGSdzUG+QExPgTQt60W&#10;auXFxiqXRtSoDCSihL0OyJel27ZVIr1pW1SJmYYT01RWKkL2Oq/VcgF1FyH0WhxagIe0cI+TBe2o&#10;6BFqBQnYJuq/oKwW0aNv00R4W41EiiLEYja9p83bHoIqXEhqDEfR8f/Bitfbm8i0pEk458yBpRu/&#10;+/jt9sPnH98/0Xr39QujCMk0BKwp+8rdxMMOw03MnHdttPlPbNiuSLs/Sqt2iYnRKcg7vzg7e1ZU&#10;r07nQsT0UnnLstFwo10mDTVsX2GiWpT6KyW7jWNDwy/O59SwAJrAlm6eTBuIBbqunEVvtLzWxuQT&#10;GLv1lYlsC3kKypcZEe4fabnICrAf80ponI9egXzhJEv7QPI4ehY8t2CV5MwoekXZIkCoE2hzykxR&#10;g+vMP7KpvHHURRZ2lDJbay/3dCObEHXXkxqz0mmO0ASUng/Tmkfs931BOr3Q5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m5lH1gAAAAkBAAAPAAAAAAAAAAEAIAAAACIAAABkcnMvZG93bnJldi54&#10;bWxQSwECFAAUAAAACACHTuJAj6eEyPwBAADpAwAADgAAAAAAAAABACAAAAAlAQAAZHJzL2Uyb0Rv&#10;Yy54bWxQSwUGAAAAAAYABgBZAQAAkwUAAAAA&#10;">
                <v:fill on="f" focussize="0,0"/>
                <v:stroke color="#000000" joinstyle="round" endarrow="block"/>
                <v:imagedata o:title=""/>
                <o:lock v:ext="edit" aspectratio="f"/>
              </v:line>
            </w:pict>
          </mc:Fallback>
        </mc:AlternateContent>
      </w:r>
    </w:p>
    <w:p>
      <w:pPr>
        <w:spacing w:line="360" w:lineRule="auto"/>
        <w:ind w:right="480"/>
        <w:rPr>
          <w:sz w:val="24"/>
        </w:rPr>
      </w:pPr>
      <w:r>
        <w:rPr>
          <w:sz w:val="24"/>
        </w:rPr>
        <mc:AlternateContent>
          <mc:Choice Requires="wps">
            <w:drawing>
              <wp:anchor distT="0" distB="0" distL="114300" distR="114300" simplePos="0" relativeHeight="251689984" behindDoc="0" locked="0" layoutInCell="1" allowOverlap="1">
                <wp:simplePos x="0" y="0"/>
                <wp:positionH relativeFrom="column">
                  <wp:posOffset>2720975</wp:posOffset>
                </wp:positionH>
                <wp:positionV relativeFrom="paragraph">
                  <wp:posOffset>76200</wp:posOffset>
                </wp:positionV>
                <wp:extent cx="2438400" cy="297180"/>
                <wp:effectExtent l="4445" t="4445" r="10795" b="18415"/>
                <wp:wrapNone/>
                <wp:docPr id="12" name="文本框 12"/>
                <wp:cNvGraphicFramePr/>
                <a:graphic xmlns:a="http://schemas.openxmlformats.org/drawingml/2006/main">
                  <a:graphicData uri="http://schemas.microsoft.com/office/word/2010/wordprocessingShape">
                    <wps:wsp>
                      <wps:cNvSpPr txBox="1"/>
                      <wps:spPr>
                        <a:xfrm>
                          <a:off x="0" y="0"/>
                          <a:ext cx="24384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回收基层材料，处理路基</w:t>
                            </w:r>
                          </w:p>
                        </w:txbxContent>
                      </wps:txbx>
                      <wps:bodyPr upright="1"/>
                    </wps:wsp>
                  </a:graphicData>
                </a:graphic>
              </wp:anchor>
            </w:drawing>
          </mc:Choice>
          <mc:Fallback>
            <w:pict>
              <v:shape id="_x0000_s1026" o:spid="_x0000_s1026" o:spt="202" type="#_x0000_t202" style="position:absolute;left:0pt;margin-left:214.25pt;margin-top:6pt;height:23.4pt;width:192pt;z-index:251689984;mso-width-relative:page;mso-height-relative:page;" fillcolor="#FFFFFF" filled="t" stroked="t" coordsize="21600,21600" o:gfxdata="UEsDBAoAAAAAAIdO4kAAAAAAAAAAAAAAAAAEAAAAZHJzL1BLAwQUAAAACACHTuJAhrrULNgAAAAJ&#10;AQAADwAAAGRycy9kb3ducmV2LnhtbE2PzU7DMBCE70i8g7VIXBB1EvpjQpwekEBwg4LK1Y23SUS8&#10;DrablrdnOcFxZz7NzlTrkxvEhCH2njTkswwEUuNtT62G97eHawUiJkPWDJ5QwzdGWNfnZ5UprT/S&#10;K06b1AoOoVgaDV1KYyllbDp0Js78iMTe3gdnEp+hlTaYI4e7QRZZtpTO9MQfOjPifYfN5+bgNKj5&#10;0/QRn29ets1yP9ymq9X0+BW0vrzIszsQCU/pD4bf+lwdau608weyUQwa5oVaMMpGwZsYUHnBwk7D&#10;QimQdSX/L6h/AFBLAwQUAAAACACHTuJAKsjVJA4CAAA4BAAADgAAAGRycy9lMm9Eb2MueG1srVNL&#10;jhMxEN0jcQfLe9KdZgYyrXRGghA2CJAGDuC43d2W/JPtJJ0LwA1YsWHPuXIOnp1M5gOLWdALd7nq&#10;+bnqVXl+PWpFtsIHaU1Dp5OSEmG4baXpG/r1y+rFjJIQmWmZskY0dC8CvV48fzbfuVpUdrCqFZ6A&#10;xIR65xo6xOjqogh8EJqFiXXCINhZr1nE1vdF69kO7FoVVVm+KnbWt85bLkKAd3kM0hOjfwqh7TrJ&#10;xdLyjRYmHlm9UCyipDBIF+giZ9t1gsdPXRdEJKqhqDTmFZfAXqe1WMxZ3XvmBslPKbCnpPCoJs2k&#10;waVnqiWLjGy8/ItKS+5tsF2ccKuLYyFZEVQxLR9pczMwJ3ItkDq4s+jh/9Hyj9vPnsgWk1BRYphG&#10;xw8/vh9+/j78+kbgg0A7F2rgbhyQcXxjR4Bv/QHOVPfYeZ3+qIggDnn3Z3nFGAmHs7p4ObsoEeKI&#10;VVevp7Osf3F32vkQ3wurSTIa6tG+rCrbfggRmQB6C0mXBatku5JK5Y3v12+VJ1uGVq/yl5LEkQcw&#10;ZciuoVeX1SXyYJjfDnMDUztoEEyf73twItwnLvP3L+KU2JKF4ZhAZkgwVmsZhc/WIFj7zrQk7h1k&#10;NnheNCWjRUuJEniNycrIyKR6ChLVKYMiU4uOrUhWHNcjaJK5tu0ebds4L/sBkubGZTgGKqtzGv40&#10;sff3mfTuwS/+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a61CzYAAAACQEAAA8AAAAAAAAAAQAg&#10;AAAAIgAAAGRycy9kb3ducmV2LnhtbFBLAQIUABQAAAAIAIdO4kAqyNUkDgIAADgEAAAOAAAAAAAA&#10;AAEAIAAAACcBAABkcnMvZTJvRG9jLnhtbFBLBQYAAAAABgAGAFkBAACnBQAAAAA=&#10;">
                <v:fill on="t" focussize="0,0"/>
                <v:stroke color="#000000" joinstyle="miter"/>
                <v:imagedata o:title=""/>
                <o:lock v:ext="edit" aspectratio="f"/>
                <v:textbox>
                  <w:txbxContent>
                    <w:p>
                      <w:pPr>
                        <w:jc w:val="center"/>
                        <w:rPr>
                          <w:rFonts w:hint="eastAsia"/>
                          <w:szCs w:val="21"/>
                        </w:rPr>
                      </w:pPr>
                      <w:r>
                        <w:rPr>
                          <w:rFonts w:hint="eastAsia"/>
                          <w:szCs w:val="21"/>
                        </w:rPr>
                        <w:t>回收基层材料，处理路基</w:t>
                      </w:r>
                    </w:p>
                  </w:txbxContent>
                </v:textbox>
              </v:shape>
            </w:pict>
          </mc:Fallback>
        </mc:AlternateContent>
      </w:r>
      <w:r>
        <w:rPr>
          <w:b/>
          <w:sz w:val="24"/>
        </w:rPr>
        <mc:AlternateContent>
          <mc:Choice Requires="wps">
            <w:drawing>
              <wp:anchor distT="0" distB="0" distL="114300" distR="114300" simplePos="0" relativeHeight="251668480" behindDoc="0" locked="0" layoutInCell="1" allowOverlap="1">
                <wp:simplePos x="0" y="0"/>
                <wp:positionH relativeFrom="column">
                  <wp:posOffset>53975</wp:posOffset>
                </wp:positionH>
                <wp:positionV relativeFrom="paragraph">
                  <wp:posOffset>76200</wp:posOffset>
                </wp:positionV>
                <wp:extent cx="2400300" cy="297180"/>
                <wp:effectExtent l="4445" t="4445" r="18415" b="18415"/>
                <wp:wrapNone/>
                <wp:docPr id="24" name="文本框 24"/>
                <wp:cNvGraphicFramePr/>
                <a:graphic xmlns:a="http://schemas.openxmlformats.org/drawingml/2006/main">
                  <a:graphicData uri="http://schemas.microsoft.com/office/word/2010/wordprocessingShape">
                    <wps:wsp>
                      <wps:cNvSpPr txBox="1"/>
                      <wps:spPr>
                        <a:xfrm>
                          <a:off x="0" y="0"/>
                          <a:ext cx="24003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开挖、支护沟槽/基坑，回收旧料</w:t>
                            </w:r>
                          </w:p>
                        </w:txbxContent>
                      </wps:txbx>
                      <wps:bodyPr upright="1"/>
                    </wps:wsp>
                  </a:graphicData>
                </a:graphic>
              </wp:anchor>
            </w:drawing>
          </mc:Choice>
          <mc:Fallback>
            <w:pict>
              <v:shape id="_x0000_s1026" o:spid="_x0000_s1026" o:spt="202" type="#_x0000_t202" style="position:absolute;left:0pt;margin-left:4.25pt;margin-top:6pt;height:23.4pt;width:189pt;z-index:251668480;mso-width-relative:page;mso-height-relative:page;" fillcolor="#FFFFFF" filled="t" stroked="t" coordsize="21600,21600" o:gfxdata="UEsDBAoAAAAAAIdO4kAAAAAAAAAAAAAAAAAEAAAAZHJzL1BLAwQUAAAACACHTuJAV1YOdtUAAAAH&#10;AQAADwAAAGRycy9kb3ducmV2LnhtbE2PwU7DMBBE70j8g7VIXBB12tJgQpwekEBwg4Lg6sbbJMJe&#10;B9tNy9+znOC4M6PZN/X66J2YMKYhkIb5rACB1AY7UKfh7fX+UoFI2ZA1LhBq+MYE6+b0pDaVDQd6&#10;wWmTO8EllCqjoc95rKRMbY/epFkYkdjbhehN5jN20kZz4HLv5KIoSunNQPyhNyPe9dh+bvZeg7p6&#10;nD7S0/L5vS137iZfXE8PX1Hr87N5cQsi4zH/heEXn9GhYaZt2JNNwnHHioMsL3gR20tVsrDVsFIK&#10;ZFPL//zND1BLAwQUAAAACACHTuJA/HAfhA4CAAA4BAAADgAAAGRycy9lMm9Eb2MueG1srVPNjtMw&#10;EL4j8Q6W7zRp2IXdqOlKUMoFAdLCA7i2k1jynzxuk74AvAEnLtx5rj4HY6fb/YFDD+TgjGfGn+f7&#10;Zry4GY0mOxlAOdvQ+aykRFruhLJdQ79+Wb+4ogQis4JpZ2VD9xLozfL5s8Xga1m53mkhA0EQC/Xg&#10;G9rH6OuiAN5Lw2DmvLQYbF0wLOI2dIUIbEB0o4uqLF8VgwvCB8clAHpXU5AeEcM5gK5tFZcrx7dG&#10;2jihBqlZRErQKw90mattW8njp7YFGYluKDKNecVL0N6ktVguWN0F5nvFjyWwc0p4wskwZfHSE9SK&#10;RUa2Qf0FZRQPDlwbZ9yZYiKSFUEW8/KJNrc98zJzQanBn0SH/wfLP+4+B6JEQ6sLSiwz2PHDj++H&#10;n78Pv74R9KFAg4ca8249ZsbxjRtxbO78gM7Ee2yDSX9kRDCO8u5P8soxEo7O6qIsX5YY4hirrl/P&#10;r7L+xf1pHyC+l86QZDQ0YPuyqmz3ASJWgql3KekycFqJtdI6b0K3easD2TFs9Tp/qUg88ihNWzI0&#10;9PqyusQ6GM5vi3ODpvGoAdgu3/foBDwELvP3L+BU2IpBPxWQEVIaq42KMmSrl0y8s4LEvUeZLT4v&#10;mooxUlCiJb7GZOXMyJQ+JxPZaYskU4umViQrjpsRYZK5cWKPbdv6oLoeJc2Ny+k4UFmd4/CniX24&#10;z6D3D37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dWDnbVAAAABwEAAA8AAAAAAAAAAQAgAAAA&#10;IgAAAGRycy9kb3ducmV2LnhtbFBLAQIUABQAAAAIAIdO4kD8cB+EDgIAADgEAAAOAAAAAAAAAAEA&#10;IAAAACQBAABkcnMvZTJvRG9jLnhtbFBLBQYAAAAABgAGAFkBAACkBQAAAAA=&#10;">
                <v:fill on="t" focussize="0,0"/>
                <v:stroke color="#000000" joinstyle="miter"/>
                <v:imagedata o:title=""/>
                <o:lock v:ext="edit" aspectratio="f"/>
                <v:textbox>
                  <w:txbxContent>
                    <w:p>
                      <w:pPr>
                        <w:jc w:val="center"/>
                        <w:rPr>
                          <w:rFonts w:hint="eastAsia"/>
                          <w:szCs w:val="21"/>
                        </w:rPr>
                      </w:pPr>
                      <w:r>
                        <w:rPr>
                          <w:rFonts w:hint="eastAsia"/>
                          <w:szCs w:val="21"/>
                        </w:rPr>
                        <w:t>开挖、支护沟槽/基坑，回收旧料</w:t>
                      </w:r>
                    </w:p>
                  </w:txbxContent>
                </v:textbox>
              </v:shape>
            </w:pict>
          </mc:Fallback>
        </mc:AlternateContent>
      </w:r>
    </w:p>
    <w:p>
      <w:pPr>
        <w:spacing w:line="360" w:lineRule="auto"/>
        <w:ind w:right="480"/>
        <w:rPr>
          <w:sz w:val="24"/>
        </w:rPr>
      </w:pPr>
      <w:r>
        <w:rPr>
          <w:sz w:val="24"/>
        </w:rPr>
        <mc:AlternateContent>
          <mc:Choice Requires="wps">
            <w:drawing>
              <wp:anchor distT="0" distB="0" distL="114300" distR="114300" simplePos="0" relativeHeight="251691008" behindDoc="0" locked="0" layoutInCell="1" allowOverlap="1">
                <wp:simplePos x="0" y="0"/>
                <wp:positionH relativeFrom="column">
                  <wp:posOffset>3840480</wp:posOffset>
                </wp:positionH>
                <wp:positionV relativeFrom="paragraph">
                  <wp:posOffset>76200</wp:posOffset>
                </wp:positionV>
                <wp:extent cx="0" cy="297180"/>
                <wp:effectExtent l="38100" t="0" r="38100" b="7620"/>
                <wp:wrapNone/>
                <wp:docPr id="2" name="直接连接符 2"/>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2.4pt;margin-top:6pt;height:23.4pt;width:0pt;z-index:251691008;mso-width-relative:page;mso-height-relative:page;" filled="f" stroked="t" coordsize="21600,21600" o:gfxdata="UEsDBAoAAAAAAIdO4kAAAAAAAAAAAAAAAAAEAAAAZHJzL1BLAwQUAAAACACHTuJAPi0a9dcAAAAJ&#10;AQAADwAAAGRycy9kb3ducmV2LnhtbE2PwU7DMBBE70j8g7VI3KidCiorxOkBqVxaQG0RgpubLElE&#10;vI5spw1/zyIO5bgzo9k3xXJyvThiiJ0nA9lMgUCqfN1RY+B1v7rRIGKyVNveExr4xgjL8vKisHnt&#10;T7TF4y41gkso5tZAm9KQSxmrFp2NMz8gsffpg7OJz9DIOtgTl7tezpVaSGc74g+tHfChxeprNzoD&#10;281qrd/W41SFj8fsef+yeXqP2pjrq0zdg0g4pXMYfvEZHUpmOviR6ih6Awt1y+iJjTlv4sCfcDBw&#10;pzXIspD/F5Q/UEsDBBQAAAAIAIdO4kAc/zMA+wEAAOcDAAAOAAAAZHJzL2Uyb0RvYy54bWytU0uO&#10;EzEQ3SNxB8t70kmkgZlWOrOYMGwQRAIOULHd3Zb8k8tJJ5fgAkjsYMWSPbdhOAZld0hgENIs6IW7&#10;XC6/qveqvLjeW8N2KqL2ruGzyZQz5YSX2nUNf/f29sklZ5jASTDeqYYfFPLr5eNHiyHUau57b6SK&#10;jEAc1kNoeJ9SqKsKRa8s4MQH5eiw9dFCom3sKhlhIHRrqvl0+rQafJQheqEQybsaD/kRMT4E0Let&#10;FmrlxdYql0bUqAwkooS9DsiXpdq2VSK9bltUiZmGE9NUVkpC9iav1XIBdRch9FocS4CHlHCPkwXt&#10;KOkJagUJ2Dbqv6CsFtGjb9NEeFuNRIoixGI2vafNmx6CKlxIagwn0fH/wYpXu3VkWjZ8zpkDSw2/&#10;+/D1+/tPP759pPXuy2c2zyINAWuKvXHreNxhWMfMeN9Gm//Ehe2LsIeTsGqfmBidgrzzq2ezy6J5&#10;db4XIqYXyluWjYYb7TJlqGH3EhPlotBfIdltHBsafnUxv+BMAM1fS30n0wbigK4rd9EbLW+1MfkG&#10;xm5zYyLbQZ6B8mVGhPtHWE6yAuzHuHI0TkevQD53kqVDIHUcPQqeS7BKcmYUvaFsESDUCbQ5R6ao&#10;wXXmH9GU3jiqIgs7SpmtjZcH6sc2RN31pMasVJpPqP+l5uOs5gH7fV+Qzu9z+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LRr11wAAAAkBAAAPAAAAAAAAAAEAIAAAACIAAABkcnMvZG93bnJldi54&#10;bWxQSwECFAAUAAAACACHTuJAHP8zAPsBAADnAwAADgAAAAAAAAABACAAAAAmAQAAZHJzL2Uyb0Rv&#10;Yy54bWxQSwUGAAAAAAYABgBZAQAAkwUAAAAA&#10;">
                <v:fill on="f" focussize="0,0"/>
                <v:stroke color="#000000" joinstyle="round" endarrow="block"/>
                <v:imagedata o:title=""/>
                <o:lock v:ext="edit" aspectratio="f"/>
              </v:lin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1325880</wp:posOffset>
                </wp:positionH>
                <wp:positionV relativeFrom="paragraph">
                  <wp:posOffset>76200</wp:posOffset>
                </wp:positionV>
                <wp:extent cx="0" cy="293370"/>
                <wp:effectExtent l="38100" t="0" r="38100" b="11430"/>
                <wp:wrapNone/>
                <wp:docPr id="13" name="直接连接符 13"/>
                <wp:cNvGraphicFramePr/>
                <a:graphic xmlns:a="http://schemas.openxmlformats.org/drawingml/2006/main">
                  <a:graphicData uri="http://schemas.microsoft.com/office/word/2010/wordprocessingShape">
                    <wps:wsp>
                      <wps:cNvCnPr/>
                      <wps:spPr>
                        <a:xfrm>
                          <a:off x="0" y="0"/>
                          <a:ext cx="0" cy="2933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4pt;margin-top:6pt;height:23.1pt;width:0pt;z-index:251667456;mso-width-relative:page;mso-height-relative:page;" filled="f" stroked="t" coordsize="21600,21600" o:gfxdata="UEsDBAoAAAAAAIdO4kAAAAAAAAAAAAAAAAAEAAAAZHJzL1BLAwQUAAAACACHTuJAd3dM89cAAAAJ&#10;AQAADwAAAGRycy9kb3ducmV2LnhtbE2PwU7DMBBE70j8g7VI3KidSCArxOkBqVxaQG0RgpsbL0lE&#10;vI5ipw1/zyIO9Lgzo9k35XL2vTjiGLtABrKFAoFUB9dRY+B1v7rRIGKy5GwfCA18Y4RldXlR2sKF&#10;E23xuEuN4BKKhTXQpjQUUsa6RW/jIgxI7H2G0dvE59hIN9oTl/te5krdSW874g+tHfChxfprN3kD&#10;281qrd/W01yPH4/Z8/5l8/QetTHXV5m6B5FwTv9h+MVndKiY6RAmclH0BnKlGT2xkfMmDvwJBwO3&#10;OgdZlfJ8QfUDUEsDBBQAAAAIAIdO4kDiMgfg/AEAAOkDAAAOAAAAZHJzL2Uyb0RvYy54bWytU0uO&#10;EzEQ3SNxB8t70vlogGmlM4sJwwZBJOAAFdvdbck/uZzfJbgAEjtYsWTPbWY4BmV3SGAQ0izohbtc&#10;VX5V77k8v9pbw7Yqovau4ZPRmDPlhJfadQ1//+7myXPOMIGTYLxTDT8o5FeLx4/mu1Crqe+9kSoy&#10;AnFY70LD+5RCXVUoemUBRz4oR8HWRwuJtrGrZIQdoVtTTcfjp9XORxmiFwqRvMshyI+I8SGAvm21&#10;UEsvNla5NKBGZSARJex1QL4o3batEulN26JKzDScmKayUhGy13mtFnOouwih1+LYAjykhXucLGhH&#10;RU9QS0jANlH/BWW1iB59m0bC22ogUhQhFpPxPW3e9hBU4UJSYziJjv8PVrzeriLTkiZhxpkDSzd+&#10;9/Hb7YfPP75/ovXu6xdGEZJpF7Cm7Gu3iscdhlXMnPdttPlPbNi+SHs4Sav2iYnBKcg7vZzNnhXV&#10;q/O5EDG9VN6ybDTcaJdJQw3bV5ioFqX+Sslu49iu4ZcX0wvOBNAEtnTzZNpALNB15Sx6o+WNNiaf&#10;wNitr01kW8hTUL7MiHD/SMtFloD9kFdCw3z0CuQLJ1k6BJLH0bPguQWrJGdG0SvKFgFCnUCbc2aK&#10;Glxn/pFN5Y2jLrKwg5TZWnt5oBvZhKi7ntSYlE5zhCag9Hyc1jxiv+8L0vmFLn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d3dM89cAAAAJAQAADwAAAAAAAAABACAAAAAiAAAAZHJzL2Rvd25yZXYu&#10;eG1sUEsBAhQAFAAAAAgAh07iQOIyB+D8AQAA6QMAAA4AAAAAAAAAAQAgAAAAJgEAAGRycy9lMm9E&#10;b2MueG1sUEsFBgAAAAAGAAYAWQEAAJQFAAAAAA==&#10;">
                <v:fill on="f" focussize="0,0"/>
                <v:stroke color="#000000" joinstyle="round" endarrow="block"/>
                <v:imagedata o:title=""/>
                <o:lock v:ext="edit" aspectratio="f"/>
              </v:line>
            </w:pict>
          </mc:Fallback>
        </mc:AlternateContent>
      </w:r>
    </w:p>
    <w:p>
      <w:pPr>
        <w:spacing w:line="360" w:lineRule="auto"/>
        <w:ind w:right="480"/>
        <w:rPr>
          <w:sz w:val="24"/>
        </w:rPr>
      </w:pPr>
      <w:r>
        <w:rPr>
          <w:sz w:val="24"/>
        </w:rPr>
        <mc:AlternateContent>
          <mc:Choice Requires="wps">
            <w:drawing>
              <wp:anchor distT="0" distB="0" distL="114300" distR="114300" simplePos="0" relativeHeight="251688960" behindDoc="0" locked="0" layoutInCell="1" allowOverlap="1">
                <wp:simplePos x="0" y="0"/>
                <wp:positionH relativeFrom="column">
                  <wp:posOffset>2720975</wp:posOffset>
                </wp:positionH>
                <wp:positionV relativeFrom="paragraph">
                  <wp:posOffset>72390</wp:posOffset>
                </wp:positionV>
                <wp:extent cx="2438400" cy="297180"/>
                <wp:effectExtent l="4445" t="4445" r="10795" b="18415"/>
                <wp:wrapNone/>
                <wp:docPr id="14" name="文本框 14"/>
                <wp:cNvGraphicFramePr/>
                <a:graphic xmlns:a="http://schemas.openxmlformats.org/drawingml/2006/main">
                  <a:graphicData uri="http://schemas.microsoft.com/office/word/2010/wordprocessingShape">
                    <wps:wsp>
                      <wps:cNvSpPr txBox="1"/>
                      <wps:spPr>
                        <a:xfrm>
                          <a:off x="0" y="0"/>
                          <a:ext cx="24384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按设计配合比生产不收缩回填料</w:t>
                            </w:r>
                          </w:p>
                        </w:txbxContent>
                      </wps:txbx>
                      <wps:bodyPr upright="1"/>
                    </wps:wsp>
                  </a:graphicData>
                </a:graphic>
              </wp:anchor>
            </w:drawing>
          </mc:Choice>
          <mc:Fallback>
            <w:pict>
              <v:shape id="_x0000_s1026" o:spid="_x0000_s1026" o:spt="202" type="#_x0000_t202" style="position:absolute;left:0pt;margin-left:214.25pt;margin-top:5.7pt;height:23.4pt;width:192pt;z-index:251688960;mso-width-relative:page;mso-height-relative:page;" fillcolor="#FFFFFF" filled="t" stroked="t" coordsize="21600,21600" o:gfxdata="UEsDBAoAAAAAAIdO4kAAAAAAAAAAAAAAAAAEAAAAZHJzL1BLAwQUAAAACACHTuJABcbwM9cAAAAJ&#10;AQAADwAAAGRycy9kb3ducmV2LnhtbE2PwU7DMAyG70i8Q2QkLoilLd0IpekOSCC4wUBwzRqvrWic&#10;kmTdeHvMCY72/+n353p9dKOYMcTBk4Z8kYFAar0dqNPw9np/qUDEZMia0RNq+MYI6+b0pDaV9Qd6&#10;wXmTOsElFCujoU9pqqSMbY/OxIWfkDjb+eBM4jF00gZz4HI3yiLLVtKZgfhCbya867H93OydBlU+&#10;zh/x6er5vV3txpt0cT0/fAWtz8/y7BZEwmP6g+FXn9WhYaet35ONYtRQFmrJKAd5CYIBlRe82GpY&#10;qgJkU8v/HzQ/UEsDBBQAAAAIAIdO4kCS/Fn3DQIAADgEAAAOAAAAZHJzL2Uyb0RvYy54bWytU0uO&#10;EzEQ3SNxB8t70p2QgUwrnZEghA0CpIEDOG53tyX/ZDtJ5wJwA1Zs2HOunINnJ5P5wCILeuEuVz0/&#10;V70qz28GrchW+CCtqel4VFIiDLeNNF1Nv35ZvZhREiIzDVPWiJruRaA3i+fP5jtXiYntrWqEJyAx&#10;odq5mvYxuqooAu+FZmFknTAIttZrFrH1XdF4tgO7VsWkLF8VO+sb5y0XIcC7PAbpidFfQmjbVnKx&#10;tHyjhYlHVi8Uiygp9NIFusjZtq3g8VPbBhGJqikqjXnFJbDXaS0Wc1Z1nrle8lMK7JIUntSkmTS4&#10;9Ey1ZJGRjZd/UWnJvQ22jSNudXEsJCuCKsblE21ue+ZErgVSB3cWPfw/Wv5x+9kT2WASppQYptHx&#10;w4/vh5+/D7++Efgg0M6FCrhbB2Qc3tgB4Dt/gDPVPbRepz8qIohD3v1ZXjFEwuGcTF/OpiVCHLHJ&#10;9evxLOtf3J92PsT3wmqSjJp6tC+ryrYfQkQmgN5B0mXBKtmspFJ547v1W+XJlqHVq/ylJHHkEUwZ&#10;sqvp9dXkCnkwzG+LuYGpHTQIpsv3PToRHhKX+fsXcUpsyUJ/TCAzJBirtIzCZ6sXrHlnGhL3DjIb&#10;PC+aktGioUQJvMZkZWRkUl2CRHXKoMjUomMrkhWH9QCaZK5ts0fbNs7LroekuXEZjoHK6pyGP03s&#10;w30mvX/wi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FxvAz1wAAAAkBAAAPAAAAAAAAAAEAIAAA&#10;ACIAAABkcnMvZG93bnJldi54bWxQSwECFAAUAAAACACHTuJAkvxZ9w0CAAA4BAAADgAAAAAAAAAB&#10;ACAAAAAmAQAAZHJzL2Uyb0RvYy54bWxQSwUGAAAAAAYABgBZAQAApQUAAAAA&#10;">
                <v:fill on="t" focussize="0,0"/>
                <v:stroke color="#000000" joinstyle="miter"/>
                <v:imagedata o:title=""/>
                <o:lock v:ext="edit" aspectratio="f"/>
                <v:textbox>
                  <w:txbxContent>
                    <w:p>
                      <w:pPr>
                        <w:jc w:val="center"/>
                        <w:rPr>
                          <w:szCs w:val="21"/>
                        </w:rPr>
                      </w:pPr>
                      <w:r>
                        <w:rPr>
                          <w:rFonts w:hint="eastAsia"/>
                          <w:szCs w:val="21"/>
                        </w:rPr>
                        <w:t>按设计配合比生产不收缩回填料</w:t>
                      </w:r>
                    </w:p>
                  </w:txbxContent>
                </v:textbox>
              </v:shape>
            </w:pict>
          </mc:Fallback>
        </mc:AlternateContent>
      </w:r>
      <w:r>
        <w:rPr>
          <w:b/>
          <w:sz w:val="24"/>
        </w:rPr>
        <mc:AlternateContent>
          <mc:Choice Requires="wps">
            <w:drawing>
              <wp:anchor distT="0" distB="0" distL="114300" distR="114300" simplePos="0" relativeHeight="251670528" behindDoc="0" locked="0" layoutInCell="1" allowOverlap="1">
                <wp:simplePos x="0" y="0"/>
                <wp:positionH relativeFrom="column">
                  <wp:posOffset>53975</wp:posOffset>
                </wp:positionH>
                <wp:positionV relativeFrom="paragraph">
                  <wp:posOffset>72390</wp:posOffset>
                </wp:positionV>
                <wp:extent cx="2400300" cy="297180"/>
                <wp:effectExtent l="4445" t="4445" r="18415" b="18415"/>
                <wp:wrapNone/>
                <wp:docPr id="17" name="文本框 17"/>
                <wp:cNvGraphicFramePr/>
                <a:graphic xmlns:a="http://schemas.openxmlformats.org/drawingml/2006/main">
                  <a:graphicData uri="http://schemas.microsoft.com/office/word/2010/wordprocessingShape">
                    <wps:wsp>
                      <wps:cNvSpPr txBox="1"/>
                      <wps:spPr>
                        <a:xfrm>
                          <a:off x="0" y="0"/>
                          <a:ext cx="24003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破碎基层以下超大粒径回收料</w:t>
                            </w:r>
                          </w:p>
                        </w:txbxContent>
                      </wps:txbx>
                      <wps:bodyPr upright="1"/>
                    </wps:wsp>
                  </a:graphicData>
                </a:graphic>
              </wp:anchor>
            </w:drawing>
          </mc:Choice>
          <mc:Fallback>
            <w:pict>
              <v:shape id="_x0000_s1026" o:spid="_x0000_s1026" o:spt="202" type="#_x0000_t202" style="position:absolute;left:0pt;margin-left:4.25pt;margin-top:5.7pt;height:23.4pt;width:189pt;z-index:251670528;mso-width-relative:page;mso-height-relative:page;" fillcolor="#FFFFFF" filled="t" stroked="t" coordsize="21600,21600" o:gfxdata="UEsDBAoAAAAAAIdO4kAAAAAAAAAAAAAAAAAEAAAAZHJzL1BLAwQUAAAACACHTuJA1CoqadUAAAAH&#10;AQAADwAAAGRycy9kb3ducmV2LnhtbE2Oy07DMBBF90j8gzVIbBB10kcIIU4XSCDYlYJg68bTJMIe&#10;B9tNy98zrGA5916dOfX65KyYMMTBk4J8loFAar0ZqFPw9vpwXYKISZPR1hMq+MYI6+b8rNaV8Ud6&#10;wWmbOsEQipVW0Kc0VlLGtken48yPSNztfXA68Rk6aYI+MtxZOc+yQjo9EH/o9Yj3Pbaf24NTUC6f&#10;po/4vNi8t8Xe3qarm+nxKyh1eZFndyASntLfGH71WR0adtr5A5koLDNWPOQ4X4LgelEWHOwUrMo5&#10;yKaW//2bH1BLAwQUAAAACACHTuJAZbFtjw0CAAA4BAAADgAAAGRycy9lMm9Eb2MueG1srVNLjhMx&#10;EN0jcQfLe9KdwDAzrXRGghA2CJAGDuC43d2W/JPtpDsXgBuwYsOec+UcPDuZzAcWWdALd7nq+bnq&#10;VXl+M2pFtsIHaU1Np5OSEmG4baTpavr1y+rFFSUhMtMwZY2o6U4EerN4/mw+uErMbG9VIzwBiQnV&#10;4Grax+iqogi8F5qFiXXCINhar1nE1ndF49kAdq2KWVm+LgbrG+ctFyHAuzwE6ZHRn0No21ZysbR8&#10;o4WJB1YvFIsoKfTSBbrI2bat4PFT2wYRiaopKo15xSWw12ktFnNWdZ65XvJjCuycFJ7UpJk0uPRE&#10;tWSRkY2Xf1Fpyb0Nto0TbnVxKCQrgiqm5RNtbnvmRK4FUgd3Ej38P1r+cfvZE9lgEi4pMUyj4/sf&#10;3/c/f+9/fSPwQaDBhQq4WwdkHN/YEeA7f4Az1T22Xqc/KiKIQ97dSV4xRsLhnL0qy5clQhyx2fXl&#10;9CrrX9yfdj7E98JqkoyaerQvq8q2H0JEJoDeQdJlwSrZrKRSeeO79VvlyZah1av8pSRx5BFMGTLU&#10;9PpidoE8GOa3xdzA1A4aBNPl+x6dCA+Jy/z9izgltmShPySQGRKMVVpG4bPVC9a8Mw2JOweZDZ4X&#10;Tclo0VCiBF5jsjIyMqnOQaI6ZVBkatGhFcmK43oETTLXttmhbRvnZddD0ty4DMdAZXWOw58m9uE+&#10;k94/+M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1CoqadUAAAAHAQAADwAAAAAAAAABACAAAAAi&#10;AAAAZHJzL2Rvd25yZXYueG1sUEsBAhQAFAAAAAgAh07iQGWxbY8NAgAAOAQAAA4AAAAAAAAAAQAg&#10;AAAAJAEAAGRycy9lMm9Eb2MueG1sUEsFBgAAAAAGAAYAWQEAAKMFAAAAAA==&#10;">
                <v:fill on="t" focussize="0,0"/>
                <v:stroke color="#000000" joinstyle="miter"/>
                <v:imagedata o:title=""/>
                <o:lock v:ext="edit" aspectratio="f"/>
                <v:textbox>
                  <w:txbxContent>
                    <w:p>
                      <w:pPr>
                        <w:jc w:val="center"/>
                        <w:rPr>
                          <w:rFonts w:hint="eastAsia"/>
                          <w:szCs w:val="21"/>
                        </w:rPr>
                      </w:pPr>
                      <w:r>
                        <w:rPr>
                          <w:rFonts w:hint="eastAsia"/>
                          <w:szCs w:val="21"/>
                        </w:rPr>
                        <w:t>破碎基层以下超大粒径回收料</w:t>
                      </w:r>
                    </w:p>
                  </w:txbxContent>
                </v:textbox>
              </v:shape>
            </w:pict>
          </mc:Fallback>
        </mc:AlternateContent>
      </w:r>
    </w:p>
    <w:p>
      <w:pPr>
        <w:spacing w:line="360" w:lineRule="auto"/>
        <w:ind w:right="480"/>
        <w:rPr>
          <w:sz w:val="24"/>
        </w:rPr>
      </w:pPr>
      <w:r>
        <w:rPr>
          <w:sz w:val="24"/>
        </w:rPr>
        <mc:AlternateContent>
          <mc:Choice Requires="wps">
            <w:drawing>
              <wp:anchor distT="0" distB="0" distL="114300" distR="114300" simplePos="0" relativeHeight="251693056" behindDoc="0" locked="0" layoutInCell="1" allowOverlap="1">
                <wp:simplePos x="0" y="0"/>
                <wp:positionH relativeFrom="column">
                  <wp:posOffset>3840480</wp:posOffset>
                </wp:positionH>
                <wp:positionV relativeFrom="paragraph">
                  <wp:posOffset>72390</wp:posOffset>
                </wp:positionV>
                <wp:extent cx="0" cy="297180"/>
                <wp:effectExtent l="38100" t="0" r="38100" b="7620"/>
                <wp:wrapNone/>
                <wp:docPr id="18" name="直接连接符 18"/>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2.4pt;margin-top:5.7pt;height:23.4pt;width:0pt;z-index:251693056;mso-width-relative:page;mso-height-relative:page;" filled="f" stroked="t" coordsize="21600,21600" o:gfxdata="UEsDBAoAAAAAAIdO4kAAAAAAAAAAAAAAAAAEAAAAZHJzL1BLAwQUAAAACACHTuJAvVE+6tgAAAAJ&#10;AQAADwAAAGRycy9kb3ducmV2LnhtbE2PwU7DMBBE70j8g7VI3KidqlRRiNMDUrm0gNoiBDc3XpKI&#10;eB3ZThv+nkUc4Dg7o5m35WpyvThhiJ0nDdlMgUCqve2o0fByWN/kIGIyZE3vCTV8YYRVdXlRmsL6&#10;M+3wtE+N4BKKhdHQpjQUUsa6RWfizA9I7H344ExiGRppgzlzuevlXKmldKYjXmjNgPct1p/70WnY&#10;bdeb/HUzTnV4f8ieDs/bx7eYa319lak7EAmn9BeGH3xGh4qZjn4kG0WvYakWjJ7YyBYgOPB7OGq4&#10;zecgq1L+/6D6BlBLAwQUAAAACACHTuJAgeAi5fwBAADpAwAADgAAAGRycy9lMm9Eb2MueG1srVNL&#10;jhMxEN0jcQfLe9JJpIGZVjqzmDBsEEQCDlCx3d2W/JPLSSeX4AJI7GDFkj23YTgGZXdIYBDSLOiF&#10;u1xVflXvuby43lvDdiqi9q7hs8mUM+WEl9p1DX/39vbJJWeYwEkw3qmGHxTy6+XjR4sh1Grue2+k&#10;ioxAHNZDaHifUqirCkWvLODEB+Uo2PpoIdE2dpWMMBC6NdV8On1aDT7KEL1QiORdjUF+RIwPAfRt&#10;q4VaebG1yqURNSoDiShhrwPyZem2bZVIr9sWVWKm4cQ0lZWKkL3Ja7VcQN1FCL0WxxbgIS3c42RB&#10;Oyp6glpBAraN+i8oq0X06Ns0Ed5WI5GiCLGYTe9p86aHoAoXkhrDSXT8f7Di1W4dmZY0CXTvDizd&#10;+N2Hr9/ff/rx7SOtd18+M4qQTEPAmrJv3DoedxjWMXPet9HmP7Fh+yLt4SSt2icmRqcg7/zq2eyy&#10;qF6dz4WI6YXylmWj4Ua7TBpq2L3ERLUo9VdKdhvHhoZfXcwvOBNAE9jSzZNpA7FA15Wz6I2Wt9qY&#10;fAJjt7kxke0gT0H5MiPC/SMtF1kB9mNeCY3z0SuQz51k6RBIHkfPgucWrJKcGUWvKFsECHUCbc6Z&#10;KWpwnflHNpU3jrrIwo5SZmvj5YFuZBui7npSY1Y6zRGagNLzcVrziP2+L0jnF7r8C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1RPurYAAAACQEAAA8AAAAAAAAAAQAgAAAAIgAAAGRycy9kb3ducmV2&#10;LnhtbFBLAQIUABQAAAAIAIdO4kCB4CLl/AEAAOkDAAAOAAAAAAAAAAEAIAAAACcBAABkcnMvZTJv&#10;RG9jLnhtbFBLBQYAAAAABgAGAFkBAACVBQAAAAA=&#10;">
                <v:fill on="f" focussize="0,0"/>
                <v:stroke color="#000000" joinstyle="round" endarrow="block"/>
                <v:imagedata o:title=""/>
                <o:lock v:ext="edit" aspectratio="f"/>
              </v:line>
            </w:pict>
          </mc:Fallback>
        </mc:AlternateContent>
      </w:r>
      <w:r>
        <w:rPr>
          <w:sz w:val="24"/>
        </w:rPr>
        <mc:AlternateContent>
          <mc:Choice Requires="wps">
            <w:drawing>
              <wp:anchor distT="0" distB="0" distL="114300" distR="114300" simplePos="0" relativeHeight="251686912" behindDoc="0" locked="0" layoutInCell="1" allowOverlap="1">
                <wp:simplePos x="0" y="0"/>
                <wp:positionH relativeFrom="column">
                  <wp:posOffset>1325880</wp:posOffset>
                </wp:positionH>
                <wp:positionV relativeFrom="paragraph">
                  <wp:posOffset>72390</wp:posOffset>
                </wp:positionV>
                <wp:extent cx="0" cy="297180"/>
                <wp:effectExtent l="38100" t="0" r="38100" b="7620"/>
                <wp:wrapNone/>
                <wp:docPr id="20" name="直接连接符 20"/>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4pt;margin-top:5.7pt;height:23.4pt;width:0pt;z-index:251686912;mso-width-relative:page;mso-height-relative:page;" filled="f" stroked="t" coordsize="21600,21600" o:gfxdata="UEsDBAoAAAAAAIdO4kAAAAAAAAAAAAAAAAAEAAAAZHJzL1BLAwQUAAAACACHTuJAgBB9kdcAAAAJ&#10;AQAADwAAAGRycy9kb3ducmV2LnhtbE2PwU7DMBBE70j8g7VI3KidCJAV4vSAVC4toLYIwc2NlyQi&#10;Xkex04a/ZxEHOM7OaOZtuZx9L444xi6QgWyhQCDVwXXUGHjZr640iJgsOdsHQgNfGGFZnZ+VtnDh&#10;RFs87lIjuIRiYQ20KQ2FlLFu0du4CAMSex9h9DaxHBvpRnvict/LXKlb6W1HvNDaAe9brD93kzew&#10;3azW+nU9zfX4/pA97Z83j29RG3N5kak7EAnn9BeGH3xGh4qZDmEiF0VvIFea0RMb2TUIDvweDgZu&#10;dA6yKuX/D6pvUEsDBBQAAAAIAIdO4kDVHE2d/AEAAOkDAAAOAAAAZHJzL2Uyb0RvYy54bWytU0uO&#10;EzEQ3SNxB8t70kmkgZlWOrOYMGwQRAIOULHd3Zb8k8tJJ5fgAkjsYMWSPbdhOAZld0hgENIs6IW7&#10;XFV+Ve+5vLjeW8N2KqL2ruGzyZQz5YSX2nUNf/f29sklZ5jASTDeqYYfFPLr5eNHiyHUau57b6SK&#10;jEAc1kNoeJ9SqKsKRa8s4MQH5SjY+mgh0TZ2lYwwELo11Xw6fVoNPsoQvVCI5F2NQX5EjA8B9G2r&#10;hVp5sbXKpRE1KgOJKGGvA/Jl6bZtlUiv2xZVYqbhxDSVlYqQvclrtVxA3UUIvRbHFuAhLdzjZEE7&#10;KnqCWkECto36LyirRfTo2zQR3lYjkaIIsZhN72nzpoegCheSGsNJdPx/sOLVbh2Zlg2fkyQOLN34&#10;3Yev399/+vHtI613Xz4zipBMQ8Casm/cOh53GNYxc9630eY/sWH7Iu3hJK3aJyZGpyDv/OrZ7LLA&#10;VedzIWJ6obxl2Wi40S6Thhp2LzFRLUr9lZLdxrGh4VcX8wvOBNAEtnTzZNpALNB15Sx6o+WtNiaf&#10;wNhtbkxkO8hTUL7MiHD/SMtFVoD9mFdC43z0CuRzJ1k6BJLH0bPguQWrJGdG0SvKFgFCnUCbc2aK&#10;Glxn/pFN5Y2jLrKwo5TZ2nh5oBvZhqi7ntSYlU5zhCag9Hyc1jxiv+8L0vmFLn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BB9kdcAAAAJAQAADwAAAAAAAAABACAAAAAiAAAAZHJzL2Rvd25yZXYu&#10;eG1sUEsBAhQAFAAAAAgAh07iQNUcTZ38AQAA6QMAAA4AAAAAAAAAAQAgAAAAJgEAAGRycy9lMm9E&#10;b2MueG1sUEsFBgAAAAAGAAYAWQEAAJQFAAAAAA==&#10;">
                <v:fill on="f" focussize="0,0"/>
                <v:stroke color="#000000" joinstyle="round" endarrow="block"/>
                <v:imagedata o:title=""/>
                <o:lock v:ext="edit" aspectratio="f"/>
              </v:line>
            </w:pict>
          </mc:Fallback>
        </mc:AlternateContent>
      </w:r>
    </w:p>
    <w:p>
      <w:pPr>
        <w:spacing w:line="360" w:lineRule="auto"/>
        <w:ind w:right="480"/>
        <w:rPr>
          <w:sz w:val="24"/>
        </w:rPr>
      </w:pPr>
      <w:r>
        <w:rPr>
          <w:sz w:val="24"/>
        </w:rPr>
        <mc:AlternateContent>
          <mc:Choice Requires="wps">
            <w:drawing>
              <wp:anchor distT="0" distB="0" distL="114300" distR="114300" simplePos="0" relativeHeight="251692032" behindDoc="0" locked="0" layoutInCell="1" allowOverlap="1">
                <wp:simplePos x="0" y="0"/>
                <wp:positionH relativeFrom="column">
                  <wp:posOffset>2720975</wp:posOffset>
                </wp:positionH>
                <wp:positionV relativeFrom="paragraph">
                  <wp:posOffset>72390</wp:posOffset>
                </wp:positionV>
                <wp:extent cx="2438400" cy="297180"/>
                <wp:effectExtent l="4445" t="4445" r="10795" b="18415"/>
                <wp:wrapNone/>
                <wp:docPr id="21" name="文本框 21"/>
                <wp:cNvGraphicFramePr/>
                <a:graphic xmlns:a="http://schemas.openxmlformats.org/drawingml/2006/main">
                  <a:graphicData uri="http://schemas.microsoft.com/office/word/2010/wordprocessingShape">
                    <wps:wsp>
                      <wps:cNvSpPr txBox="1"/>
                      <wps:spPr>
                        <a:xfrm>
                          <a:off x="0" y="0"/>
                          <a:ext cx="24384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分层摊铺碾压回填料至基层表面</w:t>
                            </w:r>
                          </w:p>
                        </w:txbxContent>
                      </wps:txbx>
                      <wps:bodyPr upright="1"/>
                    </wps:wsp>
                  </a:graphicData>
                </a:graphic>
              </wp:anchor>
            </w:drawing>
          </mc:Choice>
          <mc:Fallback>
            <w:pict>
              <v:shape id="_x0000_s1026" o:spid="_x0000_s1026" o:spt="202" type="#_x0000_t202" style="position:absolute;left:0pt;margin-left:214.25pt;margin-top:5.7pt;height:23.4pt;width:192pt;z-index:251692032;mso-width-relative:page;mso-height-relative:page;" fillcolor="#FFFFFF" filled="t" stroked="t" coordsize="21600,21600" o:gfxdata="UEsDBAoAAAAAAIdO4kAAAAAAAAAAAAAAAAAEAAAAZHJzL1BLAwQUAAAACACHTuJABcbwM9cAAAAJ&#10;AQAADwAAAGRycy9kb3ducmV2LnhtbE2PwU7DMAyG70i8Q2QkLoilLd0IpekOSCC4wUBwzRqvrWic&#10;kmTdeHvMCY72/+n353p9dKOYMcTBk4Z8kYFAar0dqNPw9np/qUDEZMia0RNq+MYI6+b0pDaV9Qd6&#10;wXmTOsElFCujoU9pqqSMbY/OxIWfkDjb+eBM4jF00gZz4HI3yiLLVtKZgfhCbya867H93OydBlU+&#10;zh/x6er5vV3txpt0cT0/fAWtz8/y7BZEwmP6g+FXn9WhYaet35ONYtRQFmrJKAd5CYIBlRe82GpY&#10;qgJkU8v/HzQ/UEsDBBQAAAAIAIdO4kCzCacvDgIAADgEAAAOAAAAZHJzL2Uyb0RvYy54bWytU82O&#10;0zAQviPxDpbvNGnYhW7UdCUo5YIAaeEBXNtJLPlPHrdJXwDegBMX7jxXn4Ox2+3+HnogB2c8M/48&#10;3zfj+fVoNNnKAMrZhk4nJSXScieU7Rr6/dvq1YwSiMwKpp2VDd1JoNeLly/mg69l5XqnhQwEQSzU&#10;g29oH6OviwJ4Lw2DifPSYrB1wbCI29AVIrAB0Y0uqrJ8UwwuCB8clwDoXR6C9IgYzgF0bau4XDq+&#10;MdLGA2qQmkWkBL3yQBe52raVPH5pW5CR6IYi05hXvATtdVqLxZzVXWC+V/xYAjunhEecDFMWLz1B&#10;LVlkZBPUEyijeHDg2jjhzhQHIlkRZDEtH2lz0zMvMxeUGvxJdPh/sPzz9msgSjS0mlJimcGO73/9&#10;3P/+u//zg6APBRo81Jh34zEzju/ciGNz6wd0Jt5jG0z6IyOCcZR3d5JXjpFwdFYXr2cXJYY4xqqr&#10;t9NZ1r+4O+0DxI/SGZKMhgZsX1aVbT9BxEow9TYlXQZOK7FSWudN6NbvdSBbhq1e5S8ViUcepGlL&#10;hoZeXVaXWAfD+W1xbtA0HjUA2+X7HpyA+8Bl/p4DToUtGfSHAjJCSmO1UVGGbPWSiQ9WkLjzKLPF&#10;50VTMUYKSrTE15isnBmZ0udkIjttkWRq0aEVyYrjekSYZK6d2GHbNj6orkdJc+NyOg5UVuc4/Gli&#10;7+8z6N2DX/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cbwM9cAAAAJAQAADwAAAAAAAAABACAA&#10;AAAiAAAAZHJzL2Rvd25yZXYueG1sUEsBAhQAFAAAAAgAh07iQLMJpy8OAgAAOAQAAA4AAAAAAAAA&#10;AQAgAAAAJgEAAGRycy9lMm9Eb2MueG1sUEsFBgAAAAAGAAYAWQEAAKYFAAAAAA==&#10;">
                <v:fill on="t" focussize="0,0"/>
                <v:stroke color="#000000" joinstyle="miter"/>
                <v:imagedata o:title=""/>
                <o:lock v:ext="edit" aspectratio="f"/>
                <v:textbox>
                  <w:txbxContent>
                    <w:p>
                      <w:pPr>
                        <w:jc w:val="center"/>
                        <w:rPr>
                          <w:szCs w:val="21"/>
                        </w:rPr>
                      </w:pPr>
                      <w:r>
                        <w:rPr>
                          <w:rFonts w:hint="eastAsia"/>
                          <w:szCs w:val="21"/>
                        </w:rPr>
                        <w:t>分层摊铺碾压回填料至基层表面</w:t>
                      </w:r>
                    </w:p>
                  </w:txbxContent>
                </v:textbox>
              </v:shape>
            </w:pict>
          </mc:Fallback>
        </mc:AlternateContent>
      </w:r>
      <w:r>
        <w:rPr>
          <w:b/>
          <w:sz w:val="24"/>
        </w:rPr>
        <mc:AlternateContent>
          <mc:Choice Requires="wps">
            <w:drawing>
              <wp:anchor distT="0" distB="0" distL="114300" distR="114300" simplePos="0" relativeHeight="251671552" behindDoc="0" locked="0" layoutInCell="1" allowOverlap="1">
                <wp:simplePos x="0" y="0"/>
                <wp:positionH relativeFrom="column">
                  <wp:posOffset>53975</wp:posOffset>
                </wp:positionH>
                <wp:positionV relativeFrom="paragraph">
                  <wp:posOffset>72390</wp:posOffset>
                </wp:positionV>
                <wp:extent cx="2400300" cy="297180"/>
                <wp:effectExtent l="4445" t="4445" r="18415" b="18415"/>
                <wp:wrapNone/>
                <wp:docPr id="22" name="文本框 22"/>
                <wp:cNvGraphicFramePr/>
                <a:graphic xmlns:a="http://schemas.openxmlformats.org/drawingml/2006/main">
                  <a:graphicData uri="http://schemas.microsoft.com/office/word/2010/wordprocessingShape">
                    <wps:wsp>
                      <wps:cNvSpPr txBox="1"/>
                      <wps:spPr>
                        <a:xfrm>
                          <a:off x="0" y="0"/>
                          <a:ext cx="24003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按设计配合比生产不收缩回填料</w:t>
                            </w:r>
                          </w:p>
                        </w:txbxContent>
                      </wps:txbx>
                      <wps:bodyPr upright="1"/>
                    </wps:wsp>
                  </a:graphicData>
                </a:graphic>
              </wp:anchor>
            </w:drawing>
          </mc:Choice>
          <mc:Fallback>
            <w:pict>
              <v:shape id="_x0000_s1026" o:spid="_x0000_s1026" o:spt="202" type="#_x0000_t202" style="position:absolute;left:0pt;margin-left:4.25pt;margin-top:5.7pt;height:23.4pt;width:189pt;z-index:251671552;mso-width-relative:page;mso-height-relative:page;" fillcolor="#FFFFFF" filled="t" stroked="t" coordsize="21600,21600" o:gfxdata="UEsDBAoAAAAAAIdO4kAAAAAAAAAAAAAAAAAEAAAAZHJzL1BLAwQUAAAACACHTuJA1CoqadUAAAAH&#10;AQAADwAAAGRycy9kb3ducmV2LnhtbE2Oy07DMBBF90j8gzVIbBB10kcIIU4XSCDYlYJg68bTJMIe&#10;B9tNy98zrGA5916dOfX65KyYMMTBk4J8loFAar0ZqFPw9vpwXYKISZPR1hMq+MYI6+b8rNaV8Ud6&#10;wWmbOsEQipVW0Kc0VlLGtken48yPSNztfXA68Rk6aYI+MtxZOc+yQjo9EH/o9Yj3Pbaf24NTUC6f&#10;po/4vNi8t8Xe3qarm+nxKyh1eZFndyASntLfGH71WR0adtr5A5koLDNWPOQ4X4LgelEWHOwUrMo5&#10;yKaW//2bH1BLAwQUAAAACACHTuJARESTVw4CAAA4BAAADgAAAGRycy9lMm9Eb2MueG1srVPNjtMw&#10;EL4j8Q6W7zRpYGE3aroSlHJBgLTwAK7tJJb8J4/bpC8Ab8CJC3eeq8+xY6fb/YFDD+TgjGfGn+f7&#10;Zry4Ho0mOxlAOdvQ+aykRFruhLJdQ799Xb+4pAQis4JpZ2VD9xLo9fL5s8Xga1m53mkhA0EQC/Xg&#10;G9rH6OuiAN5Lw2DmvLQYbF0wLOI2dIUIbEB0o4uqLF8XgwvCB8clAHpXU5AeEcM5gK5tFZcrx7dG&#10;2jihBqlZRErQKw90mattW8nj57YFGYluKDKNecVL0N6ktVguWN0F5nvFjyWwc0p4wskwZfHSE9SK&#10;RUa2Qf0FZRQPDlwbZ9yZYiKSFUEW8/KJNjc98zJzQanBn0SH/wfLP+2+BKJEQ6uKEssMdvzw88fh&#10;15/D7+8EfSjQ4KHGvBuPmXF860Ycmzs/oDPxHttg0h8ZEYyjvPuTvHKMhKOzelWWL0sMcYxVV2/m&#10;l1n/4v60DxA/SGdIMhoasH1ZVbb7CBErwdS7lHQZOK3EWmmdN6HbvNOB7Bi2ep2/VCQeeZSmLRka&#10;enVRXWAdDOe3xblB03jUAGyX73t0Ah4Cl/n7F3AqbMWgnwrICCmN1UZFGbLVSybeW0Hi3qPMFp8X&#10;TcUYKSjREl9jsnJmZEqfk4nstEWSqUVTK5IVx82IMMncOLHHtm19UF2PkubG5XQcqKzOcfjTxD7c&#10;Z9D7B7+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QqKmnVAAAABwEAAA8AAAAAAAAAAQAgAAAA&#10;IgAAAGRycy9kb3ducmV2LnhtbFBLAQIUABQAAAAIAIdO4kBERJNXDgIAADgEAAAOAAAAAAAAAAEA&#10;IAAAACQBAABkcnMvZTJvRG9jLnhtbFBLBQYAAAAABgAGAFkBAACkBQAAAAA=&#10;">
                <v:fill on="t" focussize="0,0"/>
                <v:stroke color="#000000" joinstyle="miter"/>
                <v:imagedata o:title=""/>
                <o:lock v:ext="edit" aspectratio="f"/>
                <v:textbox>
                  <w:txbxContent>
                    <w:p>
                      <w:pPr>
                        <w:jc w:val="center"/>
                        <w:rPr>
                          <w:szCs w:val="21"/>
                        </w:rPr>
                      </w:pPr>
                      <w:r>
                        <w:rPr>
                          <w:rFonts w:hint="eastAsia"/>
                          <w:szCs w:val="21"/>
                        </w:rPr>
                        <w:t>按设计配合比生产不收缩回填料</w:t>
                      </w:r>
                    </w:p>
                  </w:txbxContent>
                </v:textbox>
              </v:shape>
            </w:pict>
          </mc:Fallback>
        </mc:AlternateContent>
      </w:r>
    </w:p>
    <w:p>
      <w:pPr>
        <w:spacing w:line="360" w:lineRule="auto"/>
        <w:ind w:right="480"/>
        <w:rPr>
          <w:sz w:val="24"/>
        </w:rPr>
      </w:pPr>
      <w:r>
        <w:rPr>
          <w:sz w:val="24"/>
        </w:rPr>
        <mc:AlternateContent>
          <mc:Choice Requires="wps">
            <w:drawing>
              <wp:anchor distT="0" distB="0" distL="114300" distR="114300" simplePos="0" relativeHeight="251697152" behindDoc="0" locked="0" layoutInCell="1" allowOverlap="1">
                <wp:simplePos x="0" y="0"/>
                <wp:positionH relativeFrom="column">
                  <wp:posOffset>3886200</wp:posOffset>
                </wp:positionH>
                <wp:positionV relativeFrom="paragraph">
                  <wp:posOffset>72390</wp:posOffset>
                </wp:positionV>
                <wp:extent cx="0" cy="2221230"/>
                <wp:effectExtent l="4445" t="0" r="10795" b="3810"/>
                <wp:wrapNone/>
                <wp:docPr id="25" name="直接连接符 25"/>
                <wp:cNvGraphicFramePr/>
                <a:graphic xmlns:a="http://schemas.openxmlformats.org/drawingml/2006/main">
                  <a:graphicData uri="http://schemas.microsoft.com/office/word/2010/wordprocessingShape">
                    <wps:wsp>
                      <wps:cNvCnPr/>
                      <wps:spPr>
                        <a:xfrm>
                          <a:off x="0" y="0"/>
                          <a:ext cx="0" cy="222123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06pt;margin-top:5.7pt;height:174.9pt;width:0pt;z-index:251697152;mso-width-relative:page;mso-height-relative:page;" filled="f" stroked="t" coordsize="21600,21600" o:gfxdata="UEsDBAoAAAAAAIdO4kAAAAAAAAAAAAAAAAAEAAAAZHJzL1BLAwQUAAAACACHTuJAer2sZdYAAAAK&#10;AQAADwAAAGRycy9kb3ducmV2LnhtbE2PT0/DMAzF70h8h8hIXKYtaYcm1DXdAeiNCwPE1WtMW9E4&#10;XZP9gU+PEQe42X5Pz79Xbs5+UEeaYh/YQrYwoIib4HpuLbw81/NbUDEhOxwCk4VPirCpLi9KLFw4&#10;8RMdt6lVEsKxQAtdSmOhdWw68hgXYSQW7T1MHpOsU6vdhCcJ94POjVlpjz3Lhw5Huuuo+dgevIVY&#10;v9K+/po1M/O2bAPl+/vHB7T2+ioza1CJzunPDD/4gg6VMO3CgV1Ug4VVlkuXJEJ2A0oMv4edhaVM&#10;oKtS/69QfQNQSwMEFAAAAAgAh07iQNLqioX0AQAA5gMAAA4AAABkcnMvZTJvRG9jLnhtbK1TzY7T&#10;MBC+I/EOlu80bdAiiJruYctyQbAS8ABT20ks+U8et2lfghdA4gYnjtx5G3Yfg7FTurBceiAHZzwz&#10;/ma+z+Pl5d4atlMRtXctX8zmnCknvNSub/mH99dPnnOGCZwE451q+UEhv1w9frQcQ6NqP3gjVWQE&#10;4rAZQ8uHlEJTVSgGZQFnPihHwc5HC4m2sa9khJHQranq+fxZNfooQ/RCIZJ3PQX5ETGeA+i7Tgu1&#10;9mJrlUsTalQGElHCQQfkq9Jt1ymR3nYdqsRMy4lpKisVIXuT12q1hKaPEAYtji3AOS084GRBOyp6&#10;glpDAraN+h8oq0X06Ls0E95WE5GiCLFYzB9o826AoAoXkhrDSXT8f7Dize4mMi1bXl9w5sDSjd9+&#10;+v7z45e7H59pvf32lVGEZBoDNpR95W7icYfhJmbO+y7a/Cc2bF+kPZykVfvExOQU5K3relE/LbJX&#10;9wdDxPRKecuy0XKjXWYNDexeY6JilPo7JbuNY2PLX1zkjgXQCHZ09WTaQDTQ9eUseqPltTYmn8DY&#10;b65MZDvIY1C+TIlw/0rLRdaAw5RXQtOADArkSydZOgTSx9G74LkFqyRnRtEzyhYBQpNAm3MyqbRx&#10;1EFWddIxWxsvD3Qd2xB1P5ASi9JljtD1l36Po5rn6899Qbp/nq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r2sZdYAAAAKAQAADwAAAAAAAAABACAAAAAiAAAAZHJzL2Rvd25yZXYueG1sUEsBAhQA&#10;FAAAAAgAh07iQNLqioX0AQAA5gMAAA4AAAAAAAAAAQAgAAAAJQEAAGRycy9lMm9Eb2MueG1sUEsF&#10;BgAAAAAGAAYAWQEAAIsFA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87936" behindDoc="0" locked="0" layoutInCell="1" allowOverlap="1">
                <wp:simplePos x="0" y="0"/>
                <wp:positionH relativeFrom="column">
                  <wp:posOffset>1325880</wp:posOffset>
                </wp:positionH>
                <wp:positionV relativeFrom="paragraph">
                  <wp:posOffset>72390</wp:posOffset>
                </wp:positionV>
                <wp:extent cx="0" cy="297180"/>
                <wp:effectExtent l="38100" t="0" r="38100" b="7620"/>
                <wp:wrapNone/>
                <wp:docPr id="33" name="直接连接符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4pt;margin-top:5.7pt;height:23.4pt;width:0pt;z-index:251687936;mso-width-relative:page;mso-height-relative:page;" filled="f" stroked="t" coordsize="21600,21600" o:gfxdata="UEsDBAoAAAAAAIdO4kAAAAAAAAAAAAAAAAAEAAAAZHJzL1BLAwQUAAAACACHTuJAgBB9kdcAAAAJ&#10;AQAADwAAAGRycy9kb3ducmV2LnhtbE2PwU7DMBBE70j8g7VI3KidCJAV4vSAVC4toLYIwc2NlyQi&#10;Xkex04a/ZxEHOM7OaOZtuZx9L444xi6QgWyhQCDVwXXUGHjZr640iJgsOdsHQgNfGGFZnZ+VtnDh&#10;RFs87lIjuIRiYQ20KQ2FlLFu0du4CAMSex9h9DaxHBvpRnvict/LXKlb6W1HvNDaAe9brD93kzew&#10;3azW+nU9zfX4/pA97Z83j29RG3N5kak7EAnn9BeGH3xGh4qZDmEiF0VvIFea0RMb2TUIDvweDgZu&#10;dA6yKuX/D6pvUEsDBBQAAAAIAIdO4kCr7zhs/QEAAOkDAAAOAAAAZHJzL2Uyb0RvYy54bWytU81u&#10;EzEQviPxDpbvZJNUhXaVTQ8N5YKgEvAAE9u7a8l/8jjZ5CV4ASRucOLInbehPAZjb0igCKkH9uAd&#10;z4y/me/zeHG1s4ZtVUTtXcNnkylnygkvtesa/u7tzZMLzjCBk2C8Uw3fK+RXy8ePFkOo1dz33kgV&#10;GYE4rIfQ8D6lUFcVil5ZwIkPylGw9dFCom3sKhlhIHRrqvl0+rQafJQheqEQybsag/yAGB8C6NtW&#10;C7XyYmOVSyNqVAYSUcJeB+TL0m3bKpFety2qxEzDiWkqKxUhe53XarmAuosQei0OLcBDWrjHyYJ2&#10;VPQItYIEbBP1X1BWi+jRt2kivK1GIkURYjGb3tPmTQ9BFS4kNYaj6Pj/YMWr7W1kWjb87IwzB5Zu&#10;/O7D1+/vP/349pHWuy+fGUVIpiFgTdnX7jYedhhuY+a8a6PNf2LDdkXa/VFatUtMjE5B3vnls9lF&#10;Ub06nQsR0wvlLctGw412mTTUsH2JiWpR6q+U7DaODQ2/PJ+fcyaAJrClmyfTBmKBritn0Rstb7Qx&#10;+QTGbn1tIttCnoLyZUaE+0daLrIC7Me8Ehrno1cgnzvJ0j6QPI6eBc8tWCU5M4peUbYIEOoE2pwy&#10;U9TgOvOPbCpvHHWRhR2lzNbayz3dyCZE3fWkxqx0miM0AaXnw7TmEft9X5BOL3T5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AQfZHXAAAACQEAAA8AAAAAAAAAAQAgAAAAIgAAAGRycy9kb3ducmV2&#10;LnhtbFBLAQIUABQAAAAIAIdO4kCr7zhs/QEAAOkDAAAOAAAAAAAAAAEAIAAAACYBAABkcnMvZTJv&#10;RG9jLnhtbFBLBQYAAAAABgAGAFkBAACVBQAAAAA=&#10;">
                <v:fill on="f" focussize="0,0"/>
                <v:stroke color="#000000" joinstyle="round" endarrow="block"/>
                <v:imagedata o:title=""/>
                <o:lock v:ext="edit" aspectratio="f"/>
              </v:line>
            </w:pict>
          </mc:Fallback>
        </mc:AlternateContent>
      </w:r>
    </w:p>
    <w:p>
      <w:pPr>
        <w:spacing w:line="360" w:lineRule="auto"/>
        <w:ind w:right="480"/>
        <w:rPr>
          <w:sz w:val="24"/>
        </w:rPr>
      </w:pPr>
      <w:r>
        <w:rPr>
          <w:sz w:val="24"/>
        </w:rPr>
        <mc:AlternateContent>
          <mc:Choice Requires="wps">
            <w:drawing>
              <wp:anchor distT="0" distB="0" distL="114300" distR="114300" simplePos="0" relativeHeight="251681792" behindDoc="0" locked="0" layoutInCell="1" allowOverlap="1">
                <wp:simplePos x="0" y="0"/>
                <wp:positionH relativeFrom="column">
                  <wp:posOffset>15875</wp:posOffset>
                </wp:positionH>
                <wp:positionV relativeFrom="paragraph">
                  <wp:posOffset>72390</wp:posOffset>
                </wp:positionV>
                <wp:extent cx="2438400" cy="297180"/>
                <wp:effectExtent l="4445" t="4445" r="10795" b="18415"/>
                <wp:wrapNone/>
                <wp:docPr id="34" name="文本框 34"/>
                <wp:cNvGraphicFramePr/>
                <a:graphic xmlns:a="http://schemas.openxmlformats.org/drawingml/2006/main">
                  <a:graphicData uri="http://schemas.microsoft.com/office/word/2010/wordprocessingShape">
                    <wps:wsp>
                      <wps:cNvSpPr txBox="1"/>
                      <wps:spPr>
                        <a:xfrm>
                          <a:off x="0" y="0"/>
                          <a:ext cx="24384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处理地基，安装管道及附属构筑物</w:t>
                            </w:r>
                          </w:p>
                        </w:txbxContent>
                      </wps:txbx>
                      <wps:bodyPr upright="1"/>
                    </wps:wsp>
                  </a:graphicData>
                </a:graphic>
              </wp:anchor>
            </w:drawing>
          </mc:Choice>
          <mc:Fallback>
            <w:pict>
              <v:shape id="_x0000_s1026" o:spid="_x0000_s1026" o:spt="202" type="#_x0000_t202" style="position:absolute;left:0pt;margin-left:1.25pt;margin-top:5.7pt;height:23.4pt;width:192pt;z-index:251681792;mso-width-relative:page;mso-height-relative:page;" fillcolor="#FFFFFF" filled="t" stroked="t" coordsize="21600,21600" o:gfxdata="UEsDBAoAAAAAAIdO4kAAAAAAAAAAAAAAAAAEAAAAZHJzL1BLAwQUAAAACACHTuJAqi2R6dYAAAAH&#10;AQAADwAAAGRycy9kb3ducmV2LnhtbE2OzU7DMBCE70i8g7VIXBB1krYhhDg9IIHgVkpVrm6yTSLs&#10;dbDdtLw9ywmO86OZr1qdrRET+jA4UpDOEhBIjWsH6hRs359uCxAhamq1cYQKvjHAqr68qHTZuhO9&#10;4bSJneARCqVW0Mc4llKGpkerw8yNSJwdnLc6svSdbL0+8bg1MkuSXFo9ED/0esTHHpvPzdEqKBYv&#10;00d4na93TX4w9/Hmbnr+8kpdX6XJA4iI5/hXhl98RoeamfbuSG0QRkG25CLb6QIEx/MiZ2OvYFlk&#10;IOtK/uevfwBQSwMEFAAAAAgAh07iQCtsrgIQAgAAOAQAAA4AAABkcnMvZTJvRG9jLnhtbK1TS44T&#10;MRDdI3EHy3vSnUwGMq10RoIQNgiQBg7g2O5uS/7J5aQ7F4AbsGLDnnPlHFN2MpkPs8hieuEuV5Wf&#10;670qz68Ho8lWBlDO1nQ8KimRljuhbFvTH99Xb2aUQGRWMO2srOlOAr1evH41730lJ65zWshAEMRC&#10;1fuadjH6qiiAd9IwGDkvLQYbFwyLuA1tIQLrEd3oYlKWb4veBeGD4xIAvctDkB4RwzmArmkUl0vH&#10;N0baeEANUrOIlKBTHugiV9s0ksevTQMyEl1TZBrzipegvU5rsZizqg3Md4ofS2DnlPCEk2HK4qUn&#10;qCWLjGyC+g/KKB4cuCaOuDPFgUhWBFmMyyfa3HTMy8wFpQZ/Eh1eDpZ/2X4LRImaXkwpscxgx/e/&#10;f+3//Nv//UnQhwL1HirMu/GYGYf3bsCxufMDOhPvoQkm/ZERwTjKuzvJK4dIODon04vZtMQQx9jk&#10;6t14lvUv7k/7APGTdIYko6YB25dVZdvPELESTL1LSZeB00qslNZ5E9r1Bx3IlmGrV/lLReKRR2na&#10;kr6mV5eTS6yD4fw2ODdoGo8agG3zfY9OwEPgMn/PAafClgy6QwEZIaWxyqgoQ7Y6ycRHK0jceZTZ&#10;4vOiqRgjBSVa4mtMVs6MTOlzMpGdtkgytejQimTFYT0gTDLXTuywbRsfVNuhpLlxOR0HKqtzHP40&#10;sQ/3GfT+wS9u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otkenWAAAABwEAAA8AAAAAAAAAAQAg&#10;AAAAIgAAAGRycy9kb3ducmV2LnhtbFBLAQIUABQAAAAIAIdO4kArbK4CEAIAADgEAAAOAAAAAAAA&#10;AAEAIAAAACUBAABkcnMvZTJvRG9jLnhtbFBLBQYAAAAABgAGAFkBAACnBQAAAAA=&#10;">
                <v:fill on="t" focussize="0,0"/>
                <v:stroke color="#000000" joinstyle="miter"/>
                <v:imagedata o:title=""/>
                <o:lock v:ext="edit" aspectratio="f"/>
                <v:textbox>
                  <w:txbxContent>
                    <w:p>
                      <w:pPr>
                        <w:jc w:val="center"/>
                        <w:rPr>
                          <w:rFonts w:hint="eastAsia"/>
                          <w:szCs w:val="21"/>
                        </w:rPr>
                      </w:pPr>
                      <w:r>
                        <w:rPr>
                          <w:rFonts w:hint="eastAsia"/>
                          <w:szCs w:val="21"/>
                        </w:rPr>
                        <w:t>处理地基，安装管道及附属构筑物</w:t>
                      </w:r>
                    </w:p>
                  </w:txbxContent>
                </v:textbox>
              </v:shape>
            </w:pict>
          </mc:Fallback>
        </mc:AlternateContent>
      </w:r>
    </w:p>
    <w:p>
      <w:pPr>
        <w:spacing w:line="360" w:lineRule="auto"/>
        <w:ind w:right="480"/>
        <w:rPr>
          <w:sz w:val="24"/>
        </w:rPr>
      </w:pPr>
      <w:r>
        <w:rPr>
          <w:sz w:val="24"/>
        </w:rPr>
        <mc:AlternateContent>
          <mc:Choice Requires="wps">
            <w:drawing>
              <wp:anchor distT="0" distB="0" distL="114300" distR="114300" simplePos="0" relativeHeight="251679744" behindDoc="0" locked="0" layoutInCell="1" allowOverlap="1">
                <wp:simplePos x="0" y="0"/>
                <wp:positionH relativeFrom="column">
                  <wp:posOffset>1325880</wp:posOffset>
                </wp:positionH>
                <wp:positionV relativeFrom="paragraph">
                  <wp:posOffset>72390</wp:posOffset>
                </wp:positionV>
                <wp:extent cx="0" cy="297180"/>
                <wp:effectExtent l="38100" t="0" r="38100" b="7620"/>
                <wp:wrapNone/>
                <wp:docPr id="28" name="直接连接符 28"/>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4pt;margin-top:5.7pt;height:23.4pt;width:0pt;z-index:251679744;mso-width-relative:page;mso-height-relative:page;" filled="f" stroked="t" coordsize="21600,21600" o:gfxdata="UEsDBAoAAAAAAIdO4kAAAAAAAAAAAAAAAAAEAAAAZHJzL1BLAwQUAAAACACHTuJAgBB9kdcAAAAJ&#10;AQAADwAAAGRycy9kb3ducmV2LnhtbE2PwU7DMBBE70j8g7VI3KidCJAV4vSAVC4toLYIwc2NlyQi&#10;Xkex04a/ZxEHOM7OaOZtuZx9L444xi6QgWyhQCDVwXXUGHjZr640iJgsOdsHQgNfGGFZnZ+VtnDh&#10;RFs87lIjuIRiYQ20KQ2FlLFu0du4CAMSex9h9DaxHBvpRnvict/LXKlb6W1HvNDaAe9brD93kzew&#10;3azW+nU9zfX4/pA97Z83j29RG3N5kak7EAnn9BeGH3xGh4qZDmEiF0VvIFea0RMb2TUIDvweDgZu&#10;dA6yKuX/D6pvUEsDBBQAAAAIAIdO4kC5L7f8/AEAAOkDAAAOAAAAZHJzL2Uyb0RvYy54bWytU0uO&#10;EzEQ3SNxB8t70kmkgZlWOrOYMGwQRAIOULHd3Zb8k8tJJ5fgAkjsYMWSPbdhOAZld0hgENIs6IW7&#10;XFV+Ve+5vLjeW8N2KqL2ruGzyZQz5YSX2nUNf/f29sklZ5jASTDeqYYfFPLr5eNHiyHUau57b6SK&#10;jEAc1kNoeJ9SqKsKRa8s4MQH5SjY+mgh0TZ2lYwwELo11Xw6fVoNPsoQvVCI5F2NQX5EjA8B9G2r&#10;hVp5sbXKpRE1KgOJKGGvA/Jl6bZtlUiv2xZVYqbhxDSVlYqQvclrtVxA3UUIvRbHFuAhLdzjZEE7&#10;KnqCWkECto36LyirRfTo2zQR3lYjkaIIsZhN72nzpoegCheSGsNJdPx/sOLVbh2Zlg2f0707sHTj&#10;dx++fn//6ce3j7TeffnMKEIyDQFryr5x63jcYVjHzHnfRpv/xIbti7SHk7Rqn5gYnYK886tns8ui&#10;enU+FyKmF8pblo2GG+0yaahh9xIT1aLUXynZbRwbGn51Mb/gTABNYEs3T6YNxAJdV86iN1reamPy&#10;CYzd5sZEtoM8BeXLjAj3j7RcZAXYj3klNM5Hr0A+d5KlQyB5HD0LnluwSnJmFL2ibBEg1Am0OWem&#10;qMF15h/ZVN446iILO0qZrY2XB7qRbYi660mNWek0R2gCSs/Hac0j9vu+IJ1f6PI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BB9kdcAAAAJAQAADwAAAAAAAAABACAAAAAiAAAAZHJzL2Rvd25yZXYu&#10;eG1sUEsBAhQAFAAAAAgAh07iQLkvt/z8AQAA6QMAAA4AAAAAAAAAAQAgAAAAJgEAAGRycy9lMm9E&#10;b2MueG1sUEsFBgAAAAAGAAYAWQEAAJQFAAAAAA==&#10;">
                <v:fill on="f" focussize="0,0"/>
                <v:stroke color="#000000" joinstyle="round" endarrow="block"/>
                <v:imagedata o:title=""/>
                <o:lock v:ext="edit" aspectratio="f"/>
              </v:line>
            </w:pict>
          </mc:Fallback>
        </mc:AlternateContent>
      </w:r>
    </w:p>
    <w:p>
      <w:pPr>
        <w:spacing w:line="360" w:lineRule="auto"/>
        <w:ind w:right="480"/>
        <w:rPr>
          <w:sz w:val="24"/>
        </w:rPr>
      </w:pPr>
      <w:r>
        <w:rPr>
          <w:sz w:val="24"/>
        </w:rPr>
        <mc:AlternateContent>
          <mc:Choice Requires="wps">
            <w:drawing>
              <wp:anchor distT="0" distB="0" distL="114300" distR="114300" simplePos="0" relativeHeight="251683840" behindDoc="0" locked="0" layoutInCell="1" allowOverlap="1">
                <wp:simplePos x="0" y="0"/>
                <wp:positionH relativeFrom="column">
                  <wp:posOffset>15875</wp:posOffset>
                </wp:positionH>
                <wp:positionV relativeFrom="paragraph">
                  <wp:posOffset>72390</wp:posOffset>
                </wp:positionV>
                <wp:extent cx="2476500" cy="297180"/>
                <wp:effectExtent l="4445" t="4445" r="18415" b="18415"/>
                <wp:wrapNone/>
                <wp:docPr id="31" name="文本框 31"/>
                <wp:cNvGraphicFramePr/>
                <a:graphic xmlns:a="http://schemas.openxmlformats.org/drawingml/2006/main">
                  <a:graphicData uri="http://schemas.microsoft.com/office/word/2010/wordprocessingShape">
                    <wps:wsp>
                      <wps:cNvSpPr txBox="1"/>
                      <wps:spPr>
                        <a:xfrm>
                          <a:off x="0" y="0"/>
                          <a:ext cx="24765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进行管道严密性试验</w:t>
                            </w:r>
                          </w:p>
                        </w:txbxContent>
                      </wps:txbx>
                      <wps:bodyPr upright="1"/>
                    </wps:wsp>
                  </a:graphicData>
                </a:graphic>
              </wp:anchor>
            </w:drawing>
          </mc:Choice>
          <mc:Fallback>
            <w:pict>
              <v:shape id="_x0000_s1026" o:spid="_x0000_s1026" o:spt="202" type="#_x0000_t202" style="position:absolute;left:0pt;margin-left:1.25pt;margin-top:5.7pt;height:23.4pt;width:195pt;z-index:251683840;mso-width-relative:page;mso-height-relative:page;" fillcolor="#FFFFFF" filled="t" stroked="t" coordsize="21600,21600" o:gfxdata="UEsDBAoAAAAAAIdO4kAAAAAAAAAAAAAAAAAEAAAAZHJzL1BLAwQUAAAACACHTuJA+gBBjNUAAAAH&#10;AQAADwAAAGRycy9kb3ducmV2LnhtbE2Oy07DMBBF90j8gzVIbBB1kj5IQ5wukECwK6UqWzeeJhH2&#10;OMRuWv6e6QqW96F7T7k6OytGHELnSUE6SUAg1d501CjYfjzf5yBC1GS09YQKfjDAqrq+KnVh/Ine&#10;cdzERvAIhUIraGPsCylD3aLTYeJ7JM4OfnA6shwaaQZ94nFnZZYkC+l0R/zQ6h6fWqy/NkenIJ+9&#10;jp/hbbre1YuDXca7h/Hle1Dq9iZNHkFEPMe/MlzwGR0qZtr7I5kgrIJszkW20xkIjqfLi7FXMM8z&#10;kFUp//NXv1BLAwQUAAAACACHTuJA3Q6QLA8CAAA4BAAADgAAAGRycy9lMm9Eb2MueG1srVNLjhMx&#10;EN0jcQfLe9KdQObTSmckCGGDAGngAI7t7rbkn1xOunMBuAErNuw5V84xZXcm84FFFvTCXa4qP9d7&#10;VV7cDEaTnQygnK3pdFJSIi13Qtm2pt++rl9dUQKRWcG0s7Kmewn0ZvnyxaL3lZy5zmkhA0EQC1Xv&#10;a9rF6KuiAN5Jw2DivLQYbFwwLOI2tIUIrEd0o4tZWV4UvQvCB8clAHpXY5AeEcM5gK5pFJcrx7dG&#10;2jiiBqlZRErQKQ90mattGsnj56YBGYmuKTKNecVL0N6ktVguWNUG5jvFjyWwc0p4xskwZfHSE9SK&#10;RUa2Qf0FZRQPDlwTJ9yZYiSSFUEW0/KZNrcd8zJzQanBn0SH/wfLP+2+BKJETV9PKbHMYMcPP38c&#10;fv05/P5O0IcC9R4qzLv1mBmHt27Asbn3AzoT76EJJv2REcE4yrs/ySuHSDg6Z28uL+YlhjjGZteX&#10;06usf/Fw2geIH6QzJBk1Ddi+rCrbfYSIlWDqfUq6DJxWYq20zpvQbt7pQHYMW73OXyoSjzxJ05b0&#10;Nb2ez+ZYB8P5bXBu0DQeNQDb5vuenIDHwGX+/gWcClsx6MYCMkJKY5VRUYZsdZKJ91aQuPcos8Xn&#10;RVMxRgpKtMTXmKycGZnS52QiO22RZGrR2IpkxWEzIEwyN07ssW1bH1TboaS5cTkdByqrcxz+NLGP&#10;9xn04cEv7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6AEGM1QAAAAcBAAAPAAAAAAAAAAEAIAAA&#10;ACIAAABkcnMvZG93bnJldi54bWxQSwECFAAUAAAACACHTuJA3Q6QLA8CAAA4BAAADgAAAAAAAAAB&#10;ACAAAAAkAQAAZHJzL2Uyb0RvYy54bWxQSwUGAAAAAAYABgBZAQAApQUAAAAA&#10;">
                <v:fill on="t" focussize="0,0"/>
                <v:stroke color="#000000" joinstyle="miter"/>
                <v:imagedata o:title=""/>
                <o:lock v:ext="edit" aspectratio="f"/>
                <v:textbox>
                  <w:txbxContent>
                    <w:p>
                      <w:pPr>
                        <w:jc w:val="center"/>
                        <w:rPr>
                          <w:rFonts w:hint="eastAsia"/>
                          <w:szCs w:val="21"/>
                        </w:rPr>
                      </w:pPr>
                      <w:r>
                        <w:rPr>
                          <w:rFonts w:hint="eastAsia"/>
                          <w:szCs w:val="21"/>
                        </w:rPr>
                        <w:t>进行管道严密性试验</w:t>
                      </w:r>
                    </w:p>
                  </w:txbxContent>
                </v:textbox>
              </v:shape>
            </w:pict>
          </mc:Fallback>
        </mc:AlternateContent>
      </w:r>
    </w:p>
    <w:p>
      <w:pPr>
        <w:spacing w:line="360" w:lineRule="auto"/>
        <w:ind w:right="32"/>
        <w:rPr>
          <w:sz w:val="24"/>
        </w:rPr>
      </w:pPr>
      <w:r>
        <w:rPr>
          <w:sz w:val="24"/>
        </w:rPr>
        <mc:AlternateContent>
          <mc:Choice Requires="wps">
            <w:drawing>
              <wp:anchor distT="0" distB="0" distL="114300" distR="114300" simplePos="0" relativeHeight="251680768" behindDoc="0" locked="0" layoutInCell="1" allowOverlap="1">
                <wp:simplePos x="0" y="0"/>
                <wp:positionH relativeFrom="column">
                  <wp:posOffset>1325880</wp:posOffset>
                </wp:positionH>
                <wp:positionV relativeFrom="paragraph">
                  <wp:posOffset>72390</wp:posOffset>
                </wp:positionV>
                <wp:extent cx="0" cy="297180"/>
                <wp:effectExtent l="38100" t="0" r="38100" b="7620"/>
                <wp:wrapNone/>
                <wp:docPr id="29" name="直接连接符 29"/>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4.4pt;margin-top:5.7pt;height:23.4pt;width:0pt;z-index:251680768;mso-width-relative:page;mso-height-relative:page;" filled="f" stroked="t" coordsize="21600,21600" o:gfxdata="UEsDBAoAAAAAAIdO4kAAAAAAAAAAAAAAAAAEAAAAZHJzL1BLAwQUAAAACACHTuJAgBB9kdcAAAAJ&#10;AQAADwAAAGRycy9kb3ducmV2LnhtbE2PwU7DMBBE70j8g7VI3KidCJAV4vSAVC4toLYIwc2NlyQi&#10;Xkex04a/ZxEHOM7OaOZtuZx9L444xi6QgWyhQCDVwXXUGHjZr640iJgsOdsHQgNfGGFZnZ+VtnDh&#10;RFs87lIjuIRiYQ20KQ2FlLFu0du4CAMSex9h9DaxHBvpRnvict/LXKlb6W1HvNDaAe9brD93kzew&#10;3azW+nU9zfX4/pA97Z83j29RG3N5kak7EAnn9BeGH3xGh4qZDmEiF0VvIFea0RMb2TUIDvweDgZu&#10;dA6yKuX/D6pvUEsDBBQAAAAIAIdO4kD06jAd/AEAAOkDAAAOAAAAZHJzL2Uyb0RvYy54bWytU0uO&#10;EzEQ3SNxB8t70kmkgZlWOrOYMGwQRAIOULHd3Zb8k8tJJ5fgAkjsYMWSPbdhOAZld0hgENIs6IW7&#10;XFV+Ve+5vLjeW8N2KqL2ruGzyZQz5YSX2nUNf/f29sklZ5jASTDeqYYfFPLr5eNHiyHUau57b6SK&#10;jEAc1kNoeJ9SqKsKRa8s4MQH5SjY+mgh0TZ2lYwwELo11Xw6fVoNPsoQvVCI5F2NQX5EjA8B9G2r&#10;hVp5sbXKpRE1KgOJKGGvA/Jl6bZtlUiv2xZVYqbhxDSVlYqQvclrtVxA3UUIvRbHFuAhLdzjZEE7&#10;KnqCWkECto36LyirRfTo2zQR3lYjkaIIsZhN72nzpoegCheSGsNJdPx/sOLVbh2Zlg2fX3HmwNKN&#10;3334+v39px/fPtJ69+UzowjJNASsKfvGreNxh2EdM+d9G23+Exu2L9IeTtKqfWJidAryzq+ezS6L&#10;6tX5XIiYXihvWTYabrTLpKGG3UtMVItSf6Vkt3FsaPjVxfyCMwE0gS3dPJk2EAt0XTmL3mh5q43J&#10;JzB2mxsT2Q7yFJQvMyLcP9JykRVgP+aV0DgfvQL53EmWDoHkcfQseG7BKsmZUfSKskWAUCfQ5pyZ&#10;ogbXmX9kU3njqIss7ChltjZeHuhGtiHqric1ZqXTHKEJKD0fpzWP2O/7gnR+oc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BB9kdcAAAAJAQAADwAAAAAAAAABACAAAAAiAAAAZHJzL2Rvd25yZXYu&#10;eG1sUEsBAhQAFAAAAAgAh07iQPTqMB38AQAA6QMAAA4AAAAAAAAAAQAgAAAAJgEAAGRycy9lMm9E&#10;b2MueG1sUEsFBgAAAAAGAAYAWQEAAJQFAAAAAA==&#10;">
                <v:fill on="f" focussize="0,0"/>
                <v:stroke color="#000000" joinstyle="round" endarrow="block"/>
                <v:imagedata o:title=""/>
                <o:lock v:ext="edit" aspectratio="f"/>
              </v:line>
            </w:pict>
          </mc:Fallback>
        </mc:AlternateContent>
      </w:r>
    </w:p>
    <w:p>
      <w:pPr>
        <w:spacing w:line="360" w:lineRule="auto"/>
        <w:ind w:right="32"/>
        <w:rPr>
          <w:sz w:val="24"/>
        </w:rPr>
      </w:pPr>
      <w:r>
        <w:rPr>
          <w:sz w:val="24"/>
        </w:rPr>
        <mc:AlternateContent>
          <mc:Choice Requires="wps">
            <w:drawing>
              <wp:anchor distT="0" distB="0" distL="114300" distR="114300" simplePos="0" relativeHeight="251672576" behindDoc="0" locked="0" layoutInCell="1" allowOverlap="1">
                <wp:simplePos x="0" y="0"/>
                <wp:positionH relativeFrom="column">
                  <wp:posOffset>53975</wp:posOffset>
                </wp:positionH>
                <wp:positionV relativeFrom="paragraph">
                  <wp:posOffset>72390</wp:posOffset>
                </wp:positionV>
                <wp:extent cx="2476500" cy="297180"/>
                <wp:effectExtent l="4445" t="4445" r="18415" b="18415"/>
                <wp:wrapNone/>
                <wp:docPr id="38" name="文本框 38"/>
                <wp:cNvGraphicFramePr/>
                <a:graphic xmlns:a="http://schemas.openxmlformats.org/drawingml/2006/main">
                  <a:graphicData uri="http://schemas.microsoft.com/office/word/2010/wordprocessingShape">
                    <wps:wsp>
                      <wps:cNvSpPr txBox="1"/>
                      <wps:spPr>
                        <a:xfrm>
                          <a:off x="0" y="0"/>
                          <a:ext cx="24765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分层回填沟槽、基坑至基层表面</w:t>
                            </w:r>
                          </w:p>
                        </w:txbxContent>
                      </wps:txbx>
                      <wps:bodyPr upright="1"/>
                    </wps:wsp>
                  </a:graphicData>
                </a:graphic>
              </wp:anchor>
            </w:drawing>
          </mc:Choice>
          <mc:Fallback>
            <w:pict>
              <v:shape id="_x0000_s1026" o:spid="_x0000_s1026" o:spt="202" type="#_x0000_t202" style="position:absolute;left:0pt;margin-left:4.25pt;margin-top:5.7pt;height:23.4pt;width:195pt;z-index:251672576;mso-width-relative:page;mso-height-relative:page;" fillcolor="#FFFFFF" filled="t" stroked="t" coordsize="21600,21600" o:gfxdata="UEsDBAoAAAAAAIdO4kAAAAAAAAAAAAAAAAAEAAAAZHJzL1BLAwQUAAAACACHTuJAVhU+AtUAAAAH&#10;AQAADwAAAGRycy9kb3ducmV2LnhtbE2Oy07DMBBF90j8gzVIbBB10hdpiNMFEgh2pSDYuvE0ibDH&#10;wXbT8vdMV7Cce6/OnGp9claMGGLvSUE+yUAgNd701Cp4f3u8LUDEpMlo6wkV/GCEdX15UenS+CO9&#10;4rhNrWAIxVIr6FIaSilj06HTceIHJO72Pjid+AytNEEfGe6snGbZUjrdE3/o9IAPHTZf24NTUMyf&#10;x8/4Mtt8NMu9XaWbu/HpOyh1fZVn9yASntLfGM76rA41O+38gUwUlhkLHnKcz0FwPVudg52CRTEF&#10;WVfyv3/9C1BLAwQUAAAACACHTuJACE+z6g4CAAA4BAAADgAAAGRycy9lMm9Eb2MueG1srVNLjhMx&#10;EN0jcQfLe9KdQObTSmckCGGDAGngAI7b3W3JP9lO0rkA3IAVG/acK+eYZyeT+cAiC3rhLleVn+u9&#10;Ks9uBq3IRvggranpeFRSIgy3jTRdTb99Xb66oiREZhqmrBE13YlAb+YvX8y2rhIT21vVCE8AYkK1&#10;dTXtY3RVUQTeC83CyDphEGyt1yxi67ui8WwLdK2KSVleFFvrG+ctFyHAuzgE6RHRnwNo21ZysbB8&#10;rYWJB1QvFIugFHrpAp3nattW8Pi5bYOIRNUUTGNecQnsVVqL+YxVnWeul/xYAjunhGecNJMGl56g&#10;FiwysvbyLygtubfBtnHErS4ORLIiYDEun2lz2zMnMhdIHdxJ9PD/YPmnzRdPZFPT1+i7YRod3//8&#10;sf/1Z//7O4EPAm1dqJB365AZh7d2wNjc+wOciffQep3+YEQQh7y7k7xiiITDOXlzeTEtEeKITa4v&#10;x1dZ/+LhtPMhfhBWk2TU1KN9WVW2+RgiKkHqfUq6LFglm6VUKm98t3qnPNkwtHqZv1QkjjxJU4Zs&#10;a3o9nUxRB8P8tpgbmNpBg2C6fN+TE+ExcJm/fwGnwhYs9IcCMkJKY5WWUfhs9YI1701D4s5BZoPn&#10;RVMxWjSUKIHXmKycGZlU52SCnTIgmVp0aEWy4rAaAJPMlW12aNvaedn1kDQ3LqdjoLI6x+FPE/t4&#10;n0EfHvz8D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YVPgLVAAAABwEAAA8AAAAAAAAAAQAgAAAA&#10;IgAAAGRycy9kb3ducmV2LnhtbFBLAQIUABQAAAAIAIdO4kAIT7PqDgIAADgEAAAOAAAAAAAAAAEA&#10;IAAAACQBAABkcnMvZTJvRG9jLnhtbFBLBQYAAAAABgAGAFkBAACkBQAAAAA=&#10;">
                <v:fill on="t" focussize="0,0"/>
                <v:stroke color="#000000" joinstyle="miter"/>
                <v:imagedata o:title=""/>
                <o:lock v:ext="edit" aspectratio="f"/>
                <v:textbox>
                  <w:txbxContent>
                    <w:p>
                      <w:pPr>
                        <w:jc w:val="center"/>
                        <w:rPr>
                          <w:szCs w:val="21"/>
                        </w:rPr>
                      </w:pPr>
                      <w:r>
                        <w:rPr>
                          <w:rFonts w:hint="eastAsia"/>
                          <w:szCs w:val="21"/>
                        </w:rPr>
                        <w:t>分层回填沟槽、基坑至基层表面</w:t>
                      </w:r>
                    </w:p>
                  </w:txbxContent>
                </v:textbox>
              </v:shape>
            </w:pict>
          </mc:Fallback>
        </mc:AlternateContent>
      </w:r>
    </w:p>
    <w:p>
      <w:pPr>
        <w:spacing w:line="360" w:lineRule="auto"/>
        <w:ind w:right="32"/>
        <w:rPr>
          <w:sz w:val="24"/>
        </w:rPr>
      </w:pPr>
      <w:r>
        <w:rPr>
          <w:sz w:val="24"/>
        </w:rPr>
        <mc:AlternateContent>
          <mc:Choice Requires="wps">
            <w:drawing>
              <wp:anchor distT="0" distB="0" distL="114300" distR="114300" simplePos="0" relativeHeight="251698176" behindDoc="0" locked="0" layoutInCell="1" allowOverlap="1">
                <wp:simplePos x="0" y="0"/>
                <wp:positionH relativeFrom="column">
                  <wp:posOffset>1371600</wp:posOffset>
                </wp:positionH>
                <wp:positionV relativeFrom="paragraph">
                  <wp:posOffset>72390</wp:posOffset>
                </wp:positionV>
                <wp:extent cx="0" cy="438150"/>
                <wp:effectExtent l="4445" t="0" r="10795" b="3810"/>
                <wp:wrapNone/>
                <wp:docPr id="36" name="直接连接符 36"/>
                <wp:cNvGraphicFramePr/>
                <a:graphic xmlns:a="http://schemas.openxmlformats.org/drawingml/2006/main">
                  <a:graphicData uri="http://schemas.microsoft.com/office/word/2010/wordprocessingShape">
                    <wps:wsp>
                      <wps:cNvCnPr/>
                      <wps:spPr>
                        <a:xfrm>
                          <a:off x="0" y="0"/>
                          <a:ext cx="0" cy="4381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8pt;margin-top:5.7pt;height:34.5pt;width:0pt;z-index:251698176;mso-width-relative:page;mso-height-relative:page;" filled="f" stroked="t" coordsize="21600,21600" o:gfxdata="UEsDBAoAAAAAAIdO4kAAAAAAAAAAAAAAAAAEAAAAZHJzL1BLAwQUAAAACACHTuJAhEFKf9UAAAAJ&#10;AQAADwAAAGRycy9kb3ducmV2LnhtbE2PzU7DMBCE70i8g7VIXCpqJ1RVFeL0AOTGhVLEdRsvSUS8&#10;TmP3B56eRRzguDOj2W/K9dkP6khT7ANbyOYGFHETXM+the1LfbMCFROywyEwWfikCOvq8qLEwoUT&#10;P9Nxk1olJRwLtNClNBZax6Yjj3EeRmLx3sPkMck5tdpNeJJyP+jcmKX22LN86HCk+46aj83BW4j1&#10;K+3rr1kzM2+3baB8//D0iNZeX2XmDlSic/oLww++oEMlTLtwYBfVYCHPlrIliZEtQEngV9hZWJkF&#10;6KrU/xdU31BLAwQUAAAACACHTuJAyWzqR/YBAADlAwAADgAAAGRycy9lMm9Eb2MueG1srVNLjhMx&#10;EN0jcQfLe9JJhoyGVjqzmDBsEEQCDlCx3d2W/JPL+V2CCyCxgxVL9txmhmNQdocMDJss6IW7XFV+&#10;Ve+5PL/eW8O2KqL2ruGT0Zgz5YSX2nUN//D+9tkVZ5jASTDeqYYfFPLrxdMn812o1dT33kgVGYE4&#10;rHeh4X1Koa4qFL2ygCMflKNg66OFRNvYVTLCjtCtqabj8WW181GG6IVCJO9yCPIjYjwH0LetFmrp&#10;xcYqlwbUqAwkooS9DsgXpdu2VSK9bVtUiZmGE9NUVipC9jqv1WIOdRch9FocW4BzWnjEyYJ2VPQE&#10;tYQEbBP1P1BWi+jRt2kkvK0GIkURYjEZP9LmXQ9BFS4kNYaT6Pj/YMWb7SoyLRt+ccmZA0s3fv/p&#10;+93HLz9/fKb1/ttXRhGSaRewpuwbt4rHHYZVzJz3bbT5T2zYvkh7OEmr9omJwSnI+/ziajIrqlcP&#10;50LE9Ep5y7LRcKNdJg01bF9jolqU+jslu41ju4a/mE1nnAmgCWzp5sm0gVig68pZ9EbLW21MPoGx&#10;W9+YyLaQp6B8mRHh/pWWiywB+yGvhIb56BXIl06ydAgkj6NnwXMLVknOjKJXlC0ChDqBNudkUmnj&#10;qIMs6iBjttZeHug2NiHqriclJqXLHKHbL/0eJzWP15/7gvTwOh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RBSn/VAAAACQEAAA8AAAAAAAAAAQAgAAAAIgAAAGRycy9kb3ducmV2LnhtbFBLAQIU&#10;ABQAAAAIAIdO4kDJbOpH9gEAAOUDAAAOAAAAAAAAAAEAIAAAACQBAABkcnMvZTJvRG9jLnhtbFBL&#10;BQYAAAAABgAGAFkBAACMBQAAAAA=&#10;">
                <v:fill on="f" focussize="0,0"/>
                <v:stroke color="#000000" joinstyle="round"/>
                <v:imagedata o:title=""/>
                <o:lock v:ext="edit" aspectratio="f"/>
              </v:line>
            </w:pict>
          </mc:Fallback>
        </mc:AlternateContent>
      </w:r>
    </w:p>
    <w:p>
      <w:pPr>
        <w:spacing w:line="360" w:lineRule="auto"/>
        <w:ind w:right="32"/>
        <w:rPr>
          <w:sz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2697480</wp:posOffset>
                </wp:positionH>
                <wp:positionV relativeFrom="paragraph">
                  <wp:posOffset>213360</wp:posOffset>
                </wp:positionV>
                <wp:extent cx="0" cy="320040"/>
                <wp:effectExtent l="38100" t="0" r="38100" b="0"/>
                <wp:wrapNone/>
                <wp:docPr id="40" name="直接连接符 40"/>
                <wp:cNvGraphicFramePr/>
                <a:graphic xmlns:a="http://schemas.openxmlformats.org/drawingml/2006/main">
                  <a:graphicData uri="http://schemas.microsoft.com/office/word/2010/wordprocessingShape">
                    <wps:wsp>
                      <wps:cNvCnPr/>
                      <wps:spPr>
                        <a:xfrm>
                          <a:off x="0" y="0"/>
                          <a:ext cx="0" cy="3200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2.4pt;margin-top:16.8pt;height:25.2pt;width:0pt;z-index:251673600;mso-width-relative:page;mso-height-relative:page;" filled="f" stroked="t" coordsize="21600,21600" o:gfxdata="UEsDBAoAAAAAAIdO4kAAAAAAAAAAAAAAAAAEAAAAZHJzL1BLAwQUAAAACACHTuJA0cujndkAAAAJ&#10;AQAADwAAAGRycy9kb3ducmV2LnhtbE2PwU7DMBBE70j8g7VI3KidNqqikE0PSOXSAmqLENzceEki&#10;4nUUO234e4w4lOPOjmbeFKvJduJEg28dIyQzBYK4cqblGuH1sL7LQPig2ejOMSF8k4dVeX1V6Ny4&#10;M+/otA+1iCHsc43QhNDnUvqqIav9zPXE8ffpBqtDPIdamkGfY7jt5FyppbS65djQ6J4eGqq+9qNF&#10;2G3Xm+xtM07V8PGYPB9etk/vPkO8vUnUPYhAU7iY4Rc/okMZmY5uZONFh5DO04geEBaLJYho+BOO&#10;CFmqQJaF/L+g/AFQSwMEFAAAAAgAh07iQIAaIHb6AQAA6QMAAA4AAABkcnMvZTJvRG9jLnhtbK1T&#10;S44TMRDdI3EHy3vSSWAQtNKZxYRhgyAScICK7e625J9cTjq5BBdAYgcrluy5zQzHoOwOCQxCmgW9&#10;cJeryq/qPZcXl3tr2E5F1N41fDaZcqac8FK7ruHv310/esYZJnASjHeq4QeF/HL58MFiCLWa+94b&#10;qSIjEIf1EBrepxTqqkLRKws48UE5CrY+Wki0jV0lIwyEbk01n06fVoOPMkQvFCJ5V2OQHxHjfQB9&#10;22qhVl5srXJpRI3KQCJK2OuAfFm6bVsl0pu2RZWYaTgxTWWlImRv8lotF1B3EUKvxbEFuE8LdzhZ&#10;0I6KnqBWkIBto/4LymoRPfo2TYS31UikKEIsZtM72rztIajChaTGcBId/x+seL1bR6Zlw5+QJA4s&#10;3fjtx283Hz7/+P6J1tuvXxhFSKYhYE3ZV24djzsM65g579to85/YsH2R9nCSVu0TE6NTkPcxTcAI&#10;V53PhYjppfKWZaPhRrtMGmrYvcJEtSj1V0p2G8eGhj+/mF9wJoAmsKWbJ9MGYoGuK2fRGy2vtTH5&#10;BMZuc2Ui20GegvJlRoT7R1ousgLsx7wSGuejVyBfOMnSIZA8jp4Fzy1YJTkzil5RtggQ6gTanDNT&#10;1OA6849sKm8cdZGFHaXM1sbLA93INkTd9aTGrHSaIzQBpefjtOYR+31fkM4vdPk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0cujndkAAAAJAQAADwAAAAAAAAABACAAAAAiAAAAZHJzL2Rvd25yZXYu&#10;eG1sUEsBAhQAFAAAAAgAh07iQIAaIHb6AQAA6QMAAA4AAAAAAAAAAQAgAAAAKAEAAGRycy9lMm9E&#10;b2MueG1sUEsFBgAAAAAGAAYAWQEAAJQFAAAAAA==&#10;">
                <v:fill on="f" focussize="0,0"/>
                <v:stroke color="#000000" joinstyle="round" endarrow="block"/>
                <v:imagedata o:title=""/>
                <o:lock v:ext="edit" aspectratio="f"/>
              </v:line>
            </w:pict>
          </mc:Fallback>
        </mc:AlternateContent>
      </w:r>
      <w:r>
        <w:rPr>
          <w:sz w:val="24"/>
        </w:rPr>
        <mc:AlternateContent>
          <mc:Choice Requires="wps">
            <w:drawing>
              <wp:anchor distT="0" distB="0" distL="114300" distR="114300" simplePos="0" relativeHeight="251676672" behindDoc="0" locked="0" layoutInCell="1" allowOverlap="1">
                <wp:simplePos x="0" y="0"/>
                <wp:positionH relativeFrom="column">
                  <wp:posOffset>1440180</wp:posOffset>
                </wp:positionH>
                <wp:positionV relativeFrom="paragraph">
                  <wp:posOffset>1127760</wp:posOffset>
                </wp:positionV>
                <wp:extent cx="2400300" cy="312420"/>
                <wp:effectExtent l="4445" t="4445" r="18415" b="18415"/>
                <wp:wrapNone/>
                <wp:docPr id="35" name="文本框 35"/>
                <wp:cNvGraphicFramePr/>
                <a:graphic xmlns:a="http://schemas.openxmlformats.org/drawingml/2006/main">
                  <a:graphicData uri="http://schemas.microsoft.com/office/word/2010/wordprocessingShape">
                    <wps:wsp>
                      <wps:cNvSpPr txBox="1"/>
                      <wps:spPr>
                        <a:xfrm>
                          <a:off x="0" y="0"/>
                          <a:ext cx="2400300" cy="312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烘烤不收缩回填料基层表面</w:t>
                            </w:r>
                          </w:p>
                          <w:p/>
                        </w:txbxContent>
                      </wps:txbx>
                      <wps:bodyPr upright="1"/>
                    </wps:wsp>
                  </a:graphicData>
                </a:graphic>
              </wp:anchor>
            </w:drawing>
          </mc:Choice>
          <mc:Fallback>
            <w:pict>
              <v:shape id="_x0000_s1026" o:spid="_x0000_s1026" o:spt="202" type="#_x0000_t202" style="position:absolute;left:0pt;margin-left:113.4pt;margin-top:88.8pt;height:24.6pt;width:189pt;z-index:251676672;mso-width-relative:page;mso-height-relative:page;" fillcolor="#FFFFFF" filled="t" stroked="t" coordsize="21600,21600" o:gfxdata="UEsDBAoAAAAAAIdO4kAAAAAAAAAAAAAAAAAEAAAAZHJzL1BLAwQUAAAACACHTuJAv1vZX9cAAAAL&#10;AQAADwAAAGRycy9kb3ducmV2LnhtbE2Py07DMBBF90j8gzVIbBC1GyqnhDhdIIFgBwW1WzeeJhF+&#10;BNtNy98zSEiwnDlXd87Uq5OzbMKYhuAVzGcCGPo2mMF3Ct7fHq6XwFLW3mgbPCr4wgSr5vys1pUJ&#10;R/+K0zp3jEp8qrSCPuex4jy1PTqdZmFET2wfotOZxthxE/WRyp3lhRCSOz14utDrEe97bD/WB6dg&#10;uXiatun55mXTyr29zVfl9PgZlbq8mIs7YBlP+S8MP/qkDg057cLBm8SsgqKQpJ4JlKUERgkpFrTZ&#10;/SLe1Pz/D803UEsDBBQAAAAIAIdO4kBOpMzEDQIAADgEAAAOAAAAZHJzL2Uyb0RvYy54bWytU02u&#10;0zAQ3iNxB8t7mjR9D0HU9ElQygYB0oMDuLaTWPKfPG6TXgBuwIoNe87VczB2+vp+YNEFWTjjmfHn&#10;+b4ZL29Go8leBlDONnQ+KymRljuhbNfQr182L15RApFZwbSzsqEHCfRm9fzZcvC1rFzvtJCBIIiF&#10;evAN7WP0dVEA76VhMHNeWgy2LhgWcRu6QgQ2ILrRRVWWL4vBBeGD4xIAvespSE+I4RJA17aKy7Xj&#10;OyNtnFCD1CwiJeiVB7rK1bat5PFT24KMRDcUmca84iVob9NarJas7gLzveKnEtglJTzhZJiyeOkZ&#10;as0iI7ug/oIyigcHro0z7kwxEcmKIIt5+USb2555mbmg1ODPosP/g+Uf958DUaKhi2tKLDPY8eOP&#10;78efv4+/vhH0oUCDhxrzbj1mxvGNG3Fs7vyAzsR7bINJf2REMI7yHs7yyjESjs7qqiwXJYY4xhbz&#10;6qrK+hf3p32A+F46Q5LR0IDty6qy/QeIWAmm3qWky8BpJTZK67wJ3fatDmTPsNWb/KUi8cijNG3J&#10;0NDX1xXS5Qznt8W5QdN41ABsl+97dAIeApf5+xdwKmzNoJ8KyAgpjdVGRRmy1Usm3llB4sGjzBaf&#10;F03FGCko0RJfY7JyZmRKX5KJ7LRFkqlFUyuSFcftiDDJ3DpxwLbtfFBdj5LmxuV0HKiszmn408Q+&#10;3GfQ+we/+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W9lf1wAAAAsBAAAPAAAAAAAAAAEAIAAA&#10;ACIAAABkcnMvZG93bnJldi54bWxQSwECFAAUAAAACACHTuJATqTMxA0CAAA4BAAADgAAAAAAAAAB&#10;ACAAAAAmAQAAZHJzL2Uyb0RvYy54bWxQSwUGAAAAAAYABgBZAQAApQUAAAAA&#10;">
                <v:fill on="t" focussize="0,0"/>
                <v:stroke color="#000000" joinstyle="miter"/>
                <v:imagedata o:title=""/>
                <o:lock v:ext="edit" aspectratio="f"/>
                <v:textbox>
                  <w:txbxContent>
                    <w:p>
                      <w:pPr>
                        <w:jc w:val="center"/>
                        <w:rPr>
                          <w:szCs w:val="21"/>
                        </w:rPr>
                      </w:pPr>
                      <w:r>
                        <w:rPr>
                          <w:rFonts w:hint="eastAsia"/>
                          <w:szCs w:val="21"/>
                        </w:rPr>
                        <w:t>烘烤不收缩回填料基层表面</w:t>
                      </w:r>
                    </w:p>
                    <w:p/>
                  </w:txbxContent>
                </v:textbox>
              </v:shape>
            </w:pict>
          </mc:Fallback>
        </mc:AlternateContent>
      </w:r>
      <w:r>
        <w:rPr>
          <w:sz w:val="24"/>
        </w:rPr>
        <mc:AlternateContent>
          <mc:Choice Requires="wps">
            <w:drawing>
              <wp:anchor distT="0" distB="0" distL="114300" distR="114300" simplePos="0" relativeHeight="251677696" behindDoc="0" locked="0" layoutInCell="1" allowOverlap="1">
                <wp:simplePos x="0" y="0"/>
                <wp:positionH relativeFrom="column">
                  <wp:posOffset>2697480</wp:posOffset>
                </wp:positionH>
                <wp:positionV relativeFrom="paragraph">
                  <wp:posOffset>1424940</wp:posOffset>
                </wp:positionV>
                <wp:extent cx="0" cy="297180"/>
                <wp:effectExtent l="38100" t="0" r="38100" b="7620"/>
                <wp:wrapNone/>
                <wp:docPr id="39" name="直接连接符 39"/>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2.4pt;margin-top:112.2pt;height:23.4pt;width:0pt;z-index:251677696;mso-width-relative:page;mso-height-relative:page;" filled="f" stroked="t" coordsize="21600,21600" o:gfxdata="UEsDBAoAAAAAAIdO4kAAAAAAAAAAAAAAAAAEAAAAZHJzL1BLAwQUAAAACACHTuJAUe9tpdkAAAAL&#10;AQAADwAAAGRycy9kb3ducmV2LnhtbE2PPU/DMBCGdyT+g3VIbNSJFUEU4nRAKksLqC1CsLnxkUTE&#10;5yh22vDvOcRQxvdD7z1XLmfXiyOOofOkIV0kIJBqbztqNLzuVzc5iBANWdN7Qg3fGGBZXV6UprD+&#10;RFs87mIjeIRCYTS0MQ6FlKFu0Zmw8AMSZ59+dCayHBtpR3PicddLlSS30pmO+EJrBnxosf7aTU7D&#10;drNa52/raa7Hj8f0ef+yeXoPudbXV2lyDyLiHM9l+MVndKiY6eAnskH0GjKVMXrUoFSWgeDGn3Ng&#10;5y5VIKtS/v+h+gFQSwMEFAAAAAgAh07iQBxQvBX8AQAA6QMAAA4AAABkcnMvZTJvRG9jLnhtbK1T&#10;S44TMRDdI3EHy3vSSdDApJXOLCYMGwSRgANUbHe3Jf/kcn6X4AJI7GDFkj23meEYlN0hgUFIs6AX&#10;7nJV+VW95/L8am8N26qI2ruGT0ZjzpQTXmrXNfz9u5snl5xhAifBeKcaflDIrxaPH813oVZT33sj&#10;VWQE4rDehYb3KYW6qlD0ygKOfFCOgq2PFhJtY1fJCDtCt6aajsfPqp2PMkQvFCJ5l0OQHxHjQwB9&#10;22qhll5srHJpQI3KQCJK2OuAfFG6bVsl0pu2RZWYaTgxTWWlImSv81ot5lB3EUKvxbEFeEgL9zhZ&#10;0I6KnqCWkIBtov4LymoRPfo2jYS31UCkKEIsJuN72rztIajChaTGcBId/x+seL1dRaZlw5/OOHNg&#10;6cbvPn67/fD5x/dPtN59/cIoQjLtAtaUfe1W8bjDsIqZ876NNv+JDdsXaQ8nadU+MTE4BXmns+eT&#10;y6J6dT4XIqaXyluWjYYb7TJpqGH7ChPVotRfKdltHNs1fHYxveBMAE1gSzdPpg3EAl1XzqI3Wt5o&#10;Y/IJjN362kS2hTwF5cuMCPePtFxkCdgPeSU0zEevQL5wkqVDIHkcPQueW7BKcmYUvaJsESDUCbQ5&#10;Z6aowXXmH9lU3jjqIgs7SJmttZcHupFNiLrrSY1J6TRHaAJKz8dpzSP2+74gnV/o4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R722l2QAAAAsBAAAPAAAAAAAAAAEAIAAAACIAAABkcnMvZG93bnJl&#10;di54bWxQSwECFAAUAAAACACHTuJAHFC8FfwBAADpAwAADgAAAAAAAAABACAAAAAoAQAAZHJzL2Uy&#10;b0RvYy54bWxQSwUGAAAAAAYABgBZAQAAlgUAAAAA&#10;">
                <v:fill on="f" focussize="0,0"/>
                <v:stroke color="#000000" joinstyle="round" endarrow="block"/>
                <v:imagedata o:title=""/>
                <o:lock v:ext="edit" aspectratio="f"/>
              </v:line>
            </w:pict>
          </mc:Fallback>
        </mc:AlternateContent>
      </w:r>
      <w:r>
        <w:rPr>
          <w:sz w:val="24"/>
        </w:rPr>
        <mc:AlternateContent>
          <mc:Choice Requires="wps">
            <w:drawing>
              <wp:anchor distT="0" distB="0" distL="114300" distR="114300" simplePos="0" relativeHeight="251678720" behindDoc="0" locked="0" layoutInCell="1" allowOverlap="1">
                <wp:simplePos x="0" y="0"/>
                <wp:positionH relativeFrom="column">
                  <wp:posOffset>1440180</wp:posOffset>
                </wp:positionH>
                <wp:positionV relativeFrom="paragraph">
                  <wp:posOffset>1722120</wp:posOffset>
                </wp:positionV>
                <wp:extent cx="2400300" cy="297180"/>
                <wp:effectExtent l="4445" t="4445" r="18415" b="18415"/>
                <wp:wrapNone/>
                <wp:docPr id="27" name="文本框 27"/>
                <wp:cNvGraphicFramePr/>
                <a:graphic xmlns:a="http://schemas.openxmlformats.org/drawingml/2006/main">
                  <a:graphicData uri="http://schemas.microsoft.com/office/word/2010/wordprocessingShape">
                    <wps:wsp>
                      <wps:cNvSpPr txBox="1"/>
                      <wps:spPr>
                        <a:xfrm>
                          <a:off x="0" y="0"/>
                          <a:ext cx="24003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分层恢复沥青面层</w:t>
                            </w:r>
                          </w:p>
                        </w:txbxContent>
                      </wps:txbx>
                      <wps:bodyPr upright="1"/>
                    </wps:wsp>
                  </a:graphicData>
                </a:graphic>
              </wp:anchor>
            </w:drawing>
          </mc:Choice>
          <mc:Fallback>
            <w:pict>
              <v:shape id="_x0000_s1026" o:spid="_x0000_s1026" o:spt="202" type="#_x0000_t202" style="position:absolute;left:0pt;margin-left:113.4pt;margin-top:135.6pt;height:23.4pt;width:189pt;z-index:251678720;mso-width-relative:page;mso-height-relative:page;" fillcolor="#FFFFFF" filled="t" stroked="t" coordsize="21600,21600" o:gfxdata="UEsDBAoAAAAAAIdO4kAAAAAAAAAAAAAAAAAEAAAAZHJzL1BLAwQUAAAACACHTuJAhw2J/NoAAAAL&#10;AQAADwAAAGRycy9kb3ducmV2LnhtbE2PQU/DMAyF70j8h8hIXBBL2k1dKU13QALBDQaCa9Z4bUXj&#10;lCTrxr/HnOBmPz+997nenNwoZgxx8KQhWygQSK23A3Ua3l7vr0sQMRmyZvSEGr4xwqY5P6tNZf2R&#10;XnDepk5wCMXKaOhTmiopY9ujM3HhJyS+7X1wJvEaOmmDOXK4G2WuVCGdGYgbejPhXY/t5/bgNJSr&#10;x/kjPi2f39tiP96kq/X88BW0vrzI1C2IhKf0Z4ZffEaHhpl2/kA2ilFDnheMnnhYZzkIdhRqxcpO&#10;wzIrFcimlv9/aH4AUEsDBBQAAAAIAIdO4kCgatntDgIAADgEAAAOAAAAZHJzL2Uyb0RvYy54bWyt&#10;U82O0zAQviPxDpbvNGlg2d2o6UpQygUB0sIDuLaTWPKfPG6TvgC8AScu3HmuPgdjp9v9gUMP5OCM&#10;Z8af5/tmvLgZjSY7GUA529D5rKREWu6Esl1Dv35Zv7iiBCKzgmlnZUP3EujN8vmzxeBrWbneaSED&#10;QRAL9eAb2sfo66IA3kvDYOa8tBhsXTAs4jZ0hQhsQHSji6osXxeDC8IHxyUAeldTkB4RwzmArm0V&#10;lyvHt0baOKEGqVlEStArD3SZq21byeOntgUZiW4oMo15xUvQ3qS1WC5Y3QXme8WPJbBzSnjCyTBl&#10;8dIT1IpFRrZB/QVlFA8OXBtn3JliIpIVQRbz8ok2tz3zMnNBqcGfRIf/B8s/7j4HokRDq0tKLDPY&#10;8cOP74efvw+/vhH0oUCDhxrzbj1mxvGNG3Fs7vyAzsR7bINJf2REMI7y7k/yyjESjs7qVVm+LDHE&#10;MVZdX86vsv7F/WkfIL6XzpBkNDRg+7KqbPcBIlaCqXcp6TJwWom10jpvQrd5qwPZMWz1On+pSDzy&#10;KE1bMjT0+qK6wDoYzm+Lc4Om8agB2C7f9+gEPAQu8/cv4FTYikE/FZARUhqrjYoyZKuXTLyzgsS9&#10;R5ktPi+aijFSUKIlvsZk5czIlD4nE9lpiyRTi6ZWJCuOmxFhkrlxYo9t2/qguh4lzY3L6ThQWZ3j&#10;8KeJfbjPoPcPfvk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w2J/NoAAAALAQAADwAAAAAAAAAB&#10;ACAAAAAiAAAAZHJzL2Rvd25yZXYueG1sUEsBAhQAFAAAAAgAh07iQKBq2e0OAgAAOAQAAA4AAAAA&#10;AAAAAQAgAAAAKQEAAGRycy9lMm9Eb2MueG1sUEsFBgAAAAAGAAYAWQEAAKkFAAAAAA==&#10;">
                <v:fill on="t" focussize="0,0"/>
                <v:stroke color="#000000" joinstyle="miter"/>
                <v:imagedata o:title=""/>
                <o:lock v:ext="edit" aspectratio="f"/>
                <v:textbox>
                  <w:txbxContent>
                    <w:p>
                      <w:pPr>
                        <w:jc w:val="center"/>
                        <w:rPr>
                          <w:rFonts w:hint="eastAsia"/>
                          <w:szCs w:val="21"/>
                        </w:rPr>
                      </w:pPr>
                      <w:r>
                        <w:rPr>
                          <w:rFonts w:hint="eastAsia"/>
                          <w:szCs w:val="21"/>
                        </w:rPr>
                        <w:t>分层恢复沥青面层</w:t>
                      </w:r>
                    </w:p>
                  </w:txbxContent>
                </v:textbox>
              </v:shape>
            </w:pict>
          </mc:Fallback>
        </mc:AlternateContent>
      </w:r>
      <w:r>
        <w:rPr>
          <w:sz w:val="24"/>
        </w:rPr>
        <mc:AlternateContent>
          <mc:Choice Requires="wps">
            <w:drawing>
              <wp:anchor distT="0" distB="0" distL="114300" distR="114300" simplePos="0" relativeHeight="251674624" behindDoc="0" locked="0" layoutInCell="1" allowOverlap="1">
                <wp:simplePos x="0" y="0"/>
                <wp:positionH relativeFrom="column">
                  <wp:posOffset>1440180</wp:posOffset>
                </wp:positionH>
                <wp:positionV relativeFrom="paragraph">
                  <wp:posOffset>533400</wp:posOffset>
                </wp:positionV>
                <wp:extent cx="2400300" cy="297180"/>
                <wp:effectExtent l="4445" t="4445" r="18415" b="18415"/>
                <wp:wrapNone/>
                <wp:docPr id="37" name="文本框 37"/>
                <wp:cNvGraphicFramePr/>
                <a:graphic xmlns:a="http://schemas.openxmlformats.org/drawingml/2006/main">
                  <a:graphicData uri="http://schemas.microsoft.com/office/word/2010/wordprocessingShape">
                    <wps:wsp>
                      <wps:cNvSpPr txBox="1"/>
                      <wps:spPr>
                        <a:xfrm>
                          <a:off x="0" y="0"/>
                          <a:ext cx="24003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不收缩回填料基层整平、初凝</w:t>
                            </w:r>
                          </w:p>
                        </w:txbxContent>
                      </wps:txbx>
                      <wps:bodyPr upright="1"/>
                    </wps:wsp>
                  </a:graphicData>
                </a:graphic>
              </wp:anchor>
            </w:drawing>
          </mc:Choice>
          <mc:Fallback>
            <w:pict>
              <v:shape id="_x0000_s1026" o:spid="_x0000_s1026" o:spt="202" type="#_x0000_t202" style="position:absolute;left:0pt;margin-left:113.4pt;margin-top:42pt;height:23.4pt;width:189pt;z-index:251674624;mso-width-relative:page;mso-height-relative:page;" fillcolor="#FFFFFF" filled="t" stroked="t" coordsize="21600,21600" o:gfxdata="UEsDBAoAAAAAAIdO4kAAAAAAAAAAAAAAAAAEAAAAZHJzL1BLAwQUAAAACACHTuJA/F7L8tcAAAAK&#10;AQAADwAAAGRycy9kb3ducmV2LnhtbE2PwU7DMAyG70i8Q2QkLmhL1k1dKU13QALBDQaCa9Z6bUXi&#10;lCTrxtvjneBo+9fn7682J2fFhCEOnjQs5goEUuPbgToN728PswJETIZaYz2hhh+MsKkvLypTtv5I&#10;rzhtUycYQrE0GvqUxlLK2PToTJz7EYlvex+cSTyGTrbBHBnurMyUyqUzA/GH3ox432PztT04DcXq&#10;afqMz8uXjybf29t0s54ev4PW11cLdQci4Sn9heGsz+pQs9POH6iNwmrIspzV0xnGnTiQqxUvdpxc&#10;qgJkXcn/FepfUEsDBBQAAAAIAIdO4kDcIZp6DwIAADgEAAAOAAAAZHJzL2Uyb0RvYy54bWytU0uO&#10;EzEQ3SNxB8t70p0Mw8y00hkJQtggQBo4gON2d1vyT7aT7lwAbsCKDXvOlXPMs5PJfGAxC3rhLleV&#10;n+u9Ks+vR63IVvggranpdFJSIgy3jTRdTb99Xb26pCREZhqmrBE13YlArxcvX8wHV4mZ7a1qhCcA&#10;MaEaXE37GF1VFIH3QrMwsU4YBFvrNYvY+q5oPBuArlUxK8s3xWB947zlIgR4l4cgPSL65wDatpVc&#10;LC3faGHiAdULxSIohV66QBe52rYVPH5u2yAiUTUF05hXXAJ7ndZiMWdV55nrJT+WwJ5TwhNOmkmD&#10;S09QSxYZ2Xj5F5SW3Ntg2zjhVhcHIlkRsJiWT7S56ZkTmQukDu4kevh/sPzT9osnsqnp2QUlhml0&#10;fP/zx/7Xn/3v7wQ+CDS4UCHvxiEzjm/tiLG58wc4E++x9Tr9wYggDnl3J3nFGAmHc/a6LM9KhDhi&#10;s6uL6WXWv7g/7XyIH4TVJBk19WhfVpVtP4aISpB6l5IuC1bJZiWVyhvfrd8pT7YMrV7lLxWJI4/S&#10;lCFDTa/OZ+eog2F+W8wNTO2gQTBdvu/RifAQuMzfv4BTYUsW+kMBGSGlsUrLKHy2esGa96Yhcecg&#10;s8HzoqkYLRpKlMBrTFbOjEyq52SCnTIgmVp0aEWy4rgeAZPMtW12aNvGedn1kDQ3LqdjoLI6x+FP&#10;E/twn0HvH/zi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xey/LXAAAACgEAAA8AAAAAAAAAAQAg&#10;AAAAIgAAAGRycy9kb3ducmV2LnhtbFBLAQIUABQAAAAIAIdO4kDcIZp6DwIAADgEAAAOAAAAAAAA&#10;AAEAIAAAACYBAABkcnMvZTJvRG9jLnhtbFBLBQYAAAAABgAGAFkBAACnBQAAAAA=&#10;">
                <v:fill on="t" focussize="0,0"/>
                <v:stroke color="#000000" joinstyle="miter"/>
                <v:imagedata o:title=""/>
                <o:lock v:ext="edit" aspectratio="f"/>
                <v:textbox>
                  <w:txbxContent>
                    <w:p>
                      <w:pPr>
                        <w:jc w:val="center"/>
                        <w:rPr>
                          <w:szCs w:val="21"/>
                        </w:rPr>
                      </w:pPr>
                      <w:r>
                        <w:rPr>
                          <w:rFonts w:hint="eastAsia"/>
                          <w:szCs w:val="21"/>
                        </w:rPr>
                        <w:t>不收缩回填料基层整平、初凝</w:t>
                      </w:r>
                    </w:p>
                  </w:txbxContent>
                </v:textbox>
              </v:shape>
            </w:pict>
          </mc:Fallback>
        </mc:AlternateContent>
      </w:r>
      <w:r>
        <w:rPr>
          <w:sz w:val="24"/>
        </w:rPr>
        <mc:AlternateContent>
          <mc:Choice Requires="wps">
            <w:drawing>
              <wp:anchor distT="0" distB="0" distL="114300" distR="114300" simplePos="0" relativeHeight="251694080" behindDoc="0" locked="0" layoutInCell="1" allowOverlap="1">
                <wp:simplePos x="0" y="0"/>
                <wp:positionH relativeFrom="column">
                  <wp:posOffset>1371600</wp:posOffset>
                </wp:positionH>
                <wp:positionV relativeFrom="paragraph">
                  <wp:posOffset>213360</wp:posOffset>
                </wp:positionV>
                <wp:extent cx="2514600" cy="0"/>
                <wp:effectExtent l="0" t="0" r="0" b="0"/>
                <wp:wrapNone/>
                <wp:docPr id="30" name="直接连接符 30"/>
                <wp:cNvGraphicFramePr/>
                <a:graphic xmlns:a="http://schemas.openxmlformats.org/drawingml/2006/main">
                  <a:graphicData uri="http://schemas.microsoft.com/office/word/2010/wordprocessingShape">
                    <wps:wsp>
                      <wps:cNvCnPr/>
                      <wps:spPr>
                        <a:xfrm>
                          <a:off x="0" y="0"/>
                          <a:ext cx="2514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8pt;margin-top:16.8pt;height:0pt;width:198pt;z-index:251694080;mso-width-relative:page;mso-height-relative:page;" filled="f" stroked="t" coordsize="21600,21600" o:gfxdata="UEsDBAoAAAAAAIdO4kAAAAAAAAAAAAAAAAAEAAAAZHJzL1BLAwQUAAAACACHTuJA74OO5tYAAAAJ&#10;AQAADwAAAGRycy9kb3ducmV2LnhtbE2PO0/DQBCEeyT+w2mRaCJyfkgWMj6nANzREIhoN76NbcW3&#10;5/guD/j1LKKAcmdHM99Uq4sb1YnmMHg2kC4TUMSttwN3Bt7fmrt7UCEiWxw9k4FPCrCqr68qLK0/&#10;8yud1rFTEsKhRAN9jFOpdWh7chiWfiKW387PDqOcc6ftjGcJd6POkqTQDgeWhh4neuyp3a+PzkBo&#10;NnRovhbtIvnIO0/Z4enlGY25vUmTB1CRLvHPDD/4gg61MG39kW1Qo4EsLWRLNJDnBSgxFGkmwvZX&#10;0HWl/y+ovwFQSwMEFAAAAAgAh07iQIR2iCn1AQAA5gMAAA4AAABkcnMvZTJvRG9jLnhtbK1TvY4T&#10;MRDukXgHyz3ZJJATrLK54sLRIDgJeICJ7d215D95nGzyErwAEh1UlPS8DcdjMPbmcnA0KdjCO/aM&#10;v5nvm/Hycm8N26mI2ruGzyZTzpQTXmrXNfzD++snzznDBE6C8U41/KCQX64eP1oOoVZz33sjVWQE&#10;4rAeQsP7lEJdVSh6ZQEnPihHztZHC4m2satkhIHQranm0+lFNfgoQ/RCIdLpenTyI2I8B9C3rRZq&#10;7cXWKpdG1KgMJKKEvQ7IV6XatlUivW1bVImZhhPTVFZKQvYmr9VqCXUXIfRaHEuAc0p4wMmCdpT0&#10;BLWGBGwb9T9QVovo0bdpIrytRiJFEWIxmz7Q5l0PQRUuJDWGk+j4/2DFm91NZFo2/ClJ4sBSx28/&#10;ff/58cuvH59pvf32lZGHZBoC1hR95W7icYfhJmbO+zba/Cc2bF+kPZykVfvEBB3OF7NnF1NKIe58&#10;1f3FEDG9Ut6ybDTcaJdZQw2715goGYXeheRj49jQ8BeL+YLggEawpdaTaQPRQNeVu+iNltfamHwD&#10;Y7e5MpHtII9B+TIlwv0rLCdZA/ZjXHGNA9IrkC+dZOkQSB9H74LnEqySnBlFzyhbBAh1Am3OiaTU&#10;xlEFWdVRx2xtvDxQO7Yh6q4nJWalyuyh9pd6j6Oa5+vPfUG6f56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DjubWAAAACQEAAA8AAAAAAAAAAQAgAAAAIgAAAGRycy9kb3ducmV2LnhtbFBLAQIU&#10;ABQAAAAIAIdO4kCEdogp9QEAAOYDAAAOAAAAAAAAAAEAIAAAACUBAABkcnMvZTJvRG9jLnhtbFBL&#10;BQYAAAAABgAGAFkBAACMBQAAAAA=&#10;">
                <v:fill on="f" focussize="0,0"/>
                <v:stroke color="#000000" joinstyle="round"/>
                <v:imagedata o:title=""/>
                <o:lock v:ext="edit" aspectratio="f"/>
              </v:line>
            </w:pict>
          </mc:Fallback>
        </mc:AlternateContent>
      </w:r>
    </w:p>
    <w:p>
      <w:pPr>
        <w:ind w:right="34"/>
        <w:jc w:val="center"/>
        <w:rPr>
          <w:b/>
          <w:sz w:val="15"/>
          <w:szCs w:val="15"/>
        </w:rPr>
      </w:pPr>
    </w:p>
    <w:p>
      <w:pPr>
        <w:spacing w:line="360" w:lineRule="auto"/>
        <w:ind w:right="32"/>
        <w:jc w:val="center"/>
        <w:rPr>
          <w:szCs w:val="21"/>
        </w:rPr>
      </w:pPr>
    </w:p>
    <w:p>
      <w:pPr>
        <w:spacing w:line="360" w:lineRule="auto"/>
        <w:ind w:right="32"/>
        <w:jc w:val="center"/>
        <w:rPr>
          <w:szCs w:val="21"/>
        </w:rPr>
      </w:pPr>
      <w:r>
        <w:rPr>
          <w:sz w:val="24"/>
        </w:rPr>
        <mc:AlternateContent>
          <mc:Choice Requires="wps">
            <w:drawing>
              <wp:anchor distT="0" distB="0" distL="114300" distR="114300" simplePos="0" relativeHeight="251675648" behindDoc="0" locked="0" layoutInCell="1" allowOverlap="1">
                <wp:simplePos x="0" y="0"/>
                <wp:positionH relativeFrom="column">
                  <wp:posOffset>2697480</wp:posOffset>
                </wp:positionH>
                <wp:positionV relativeFrom="paragraph">
                  <wp:posOffset>38100</wp:posOffset>
                </wp:positionV>
                <wp:extent cx="0" cy="297180"/>
                <wp:effectExtent l="38100" t="0" r="38100" b="7620"/>
                <wp:wrapNone/>
                <wp:docPr id="32" name="直接连接符 32"/>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2.4pt;margin-top:3pt;height:23.4pt;width:0pt;z-index:251675648;mso-width-relative:page;mso-height-relative:page;" filled="f" stroked="t" coordsize="21600,21600" o:gfxdata="UEsDBAoAAAAAAIdO4kAAAAAAAAAAAAAAAAAEAAAAZHJzL1BLAwQUAAAACACHTuJAI+LWvtcAAAAI&#10;AQAADwAAAGRycy9kb3ducmV2LnhtbE2PQUvDQBSE74L/YXmCN7tJqCXEvPQg1Eur0lZEb9vsMwlm&#10;34bdTRv/fVd60OMww8w35XIyvTiS851lhHSWgCCure64QXjbr+5yED4o1qq3TAg/5GFZXV+VqtD2&#10;xFs67kIjYgn7QiG0IQyFlL5uySg/swNx9L6sMypE6RqpnTrFctPLLEkW0qiO40KrBnpsqf7ejQZh&#10;u1mt8/f1ONXu8yl92b9unj98jnh7kyYPIAJN4S8Mv/gRHarIdLAjay96hHk2j+gBYREvRf+iDwj3&#10;WQ6yKuX/A9UZUEsDBBQAAAAIAIdO4kDmKr+N/QEAAOkDAAAOAAAAZHJzL2Uyb0RvYy54bWytU81u&#10;EzEQviPxDpbvZJOgQrvKpoeGckFQCXiAie3dteQ/eZxs8hK8ABI3OHHkztu0PAZjb0igCKkH9uAd&#10;z4y/me/zeHG5s4ZtVUTtXcNnkylnygkvtesa/v7d9ZNzzjCBk2C8Uw3fK+SXy8ePFkOo1dz33kgV&#10;GYE4rIfQ8D6lUFcVil5ZwIkPylGw9dFCom3sKhlhIHRrqvl0+qwafJQheqEQybsag/yAGB8C6NtW&#10;C7XyYmOVSyNqVAYSUcJeB+TL0m3bKpHetC2qxEzDiWkqKxUhe53XarmAuosQei0OLcBDWrjHyYJ2&#10;VPQItYIEbBP1X1BWi+jRt2kivK1GIkURYjGb3tPmbQ9BFS4kNYaj6Pj/YMXr7U1kWjb86ZwzB5Zu&#10;/O7jt9sPn398/0Tr3dcvjCIk0xCwpuwrdxMPOww3MXPetdHmP7FhuyLt/iit2iUmRqcg7/zi+ey8&#10;qF6dzoWI6aXylmWj4Ua7TBpq2L7CRLUo9VdKdhvHhoZfnM3POBNAE9jSzZNpA7FA15Wz6I2W19qY&#10;fAJjt74ykW0hT0H5MiPC/SMtF1kB9mNeCY3z0SuQL5xkaR9IHkfPgucWrJKcGUWvKFsECHUCbU6Z&#10;KWpwnflHNpU3jrrIwo5SZmvt5Z5uZBOi7npSY1Y6zRGagNLzYVrziP2+L0inF7r8C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Pi1r7XAAAACAEAAA8AAAAAAAAAAQAgAAAAIgAAAGRycy9kb3ducmV2&#10;LnhtbFBLAQIUABQAAAAIAIdO4kDmKr+N/QEAAOkDAAAOAAAAAAAAAAEAIAAAACYBAABkcnMvZTJv&#10;RG9jLnhtbFBLBQYAAAAABgAGAFkBAACVBQAAAAA=&#10;">
                <v:fill on="f" focussize="0,0"/>
                <v:stroke color="#000000" joinstyle="round" endarrow="block"/>
                <v:imagedata o:title=""/>
                <o:lock v:ext="edit" aspectratio="f"/>
              </v:line>
            </w:pict>
          </mc:Fallback>
        </mc:AlternateContent>
      </w:r>
    </w:p>
    <w:p>
      <w:pPr>
        <w:spacing w:line="360" w:lineRule="auto"/>
        <w:ind w:right="32"/>
        <w:jc w:val="center"/>
        <w:rPr>
          <w:szCs w:val="21"/>
        </w:rPr>
      </w:pPr>
    </w:p>
    <w:p>
      <w:pPr>
        <w:spacing w:line="360" w:lineRule="auto"/>
        <w:ind w:right="32"/>
        <w:jc w:val="center"/>
        <w:rPr>
          <w:szCs w:val="21"/>
        </w:rPr>
      </w:pPr>
    </w:p>
    <w:p>
      <w:pPr>
        <w:spacing w:line="360" w:lineRule="auto"/>
        <w:ind w:right="32"/>
        <w:jc w:val="center"/>
        <w:rPr>
          <w:szCs w:val="21"/>
        </w:rPr>
      </w:pPr>
    </w:p>
    <w:p>
      <w:pPr>
        <w:pStyle w:val="138"/>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szCs w:val="21"/>
        </w:rPr>
      </w:pPr>
      <w:r>
        <w:rPr>
          <w:szCs w:val="21"/>
        </w:rPr>
        <w:t>图</w:t>
      </w:r>
      <w:r>
        <w:rPr>
          <w:rFonts w:hint="eastAsia"/>
          <w:szCs w:val="21"/>
        </w:rPr>
        <w:t>1</w:t>
      </w:r>
      <w:r>
        <w:rPr>
          <w:szCs w:val="21"/>
        </w:rPr>
        <w:t xml:space="preserve"> 沥青路面沟槽、基坑的开挖、回填、恢复工艺流程</w:t>
      </w:r>
    </w:p>
    <w:p>
      <w:pPr>
        <w:pStyle w:val="60"/>
        <w:numPr>
          <w:ilvl w:val="0"/>
          <w:numId w:val="24"/>
        </w:numPr>
        <w:rPr>
          <w:rFonts w:hint="eastAsia" w:ascii="宋体" w:hAnsi="宋体" w:eastAsia="宋体" w:cs="宋体"/>
          <w:szCs w:val="21"/>
        </w:rPr>
      </w:pPr>
      <w:r>
        <w:rPr>
          <w:rFonts w:hint="eastAsia" w:ascii="宋体" w:hAnsi="宋体" w:eastAsia="宋体" w:cs="宋体"/>
          <w:szCs w:val="21"/>
        </w:rPr>
        <w:t>开挖与支护应交替进行，分层开挖高度、各层边坡及层间留台宽度、支护、槽底基础处理等应符合各类管道工程施工及验收规范和设计要求。</w:t>
      </w:r>
    </w:p>
    <w:p>
      <w:pPr>
        <w:pStyle w:val="60"/>
        <w:numPr>
          <w:ilvl w:val="0"/>
          <w:numId w:val="24"/>
        </w:numPr>
        <w:rPr>
          <w:rFonts w:hint="eastAsia" w:ascii="宋体" w:hAnsi="宋体" w:eastAsia="宋体" w:cs="宋体"/>
          <w:szCs w:val="21"/>
        </w:rPr>
      </w:pPr>
      <w:r>
        <w:rPr>
          <w:rFonts w:hint="eastAsia" w:ascii="宋体" w:hAnsi="宋体" w:eastAsia="宋体" w:cs="宋体"/>
          <w:szCs w:val="21"/>
        </w:rPr>
        <w:t>应根据开挖材料情况动态控制开挖过程。沥青面层材料、可作为不收缩回填料原材料的开挖材料应根据材料性质、类型分层破碎，分别回收，分开存放。</w:t>
      </w:r>
    </w:p>
    <w:p>
      <w:pPr>
        <w:pStyle w:val="60"/>
        <w:numPr>
          <w:ilvl w:val="0"/>
          <w:numId w:val="24"/>
        </w:numPr>
        <w:rPr>
          <w:rFonts w:hint="eastAsia" w:ascii="宋体" w:hAnsi="宋体" w:eastAsia="宋体" w:cs="宋体"/>
          <w:szCs w:val="21"/>
        </w:rPr>
      </w:pPr>
      <w:r>
        <w:rPr>
          <w:rFonts w:hint="eastAsia" w:ascii="宋体" w:hAnsi="宋体" w:eastAsia="宋体" w:cs="宋体"/>
          <w:szCs w:val="21"/>
        </w:rPr>
        <w:t>开挖材料应及时运至指定场地分类堆放，堆放位置不得影响施工和交通。</w:t>
      </w:r>
    </w:p>
    <w:p>
      <w:pPr>
        <w:pStyle w:val="60"/>
        <w:numPr>
          <w:ilvl w:val="0"/>
          <w:numId w:val="24"/>
        </w:numPr>
        <w:rPr>
          <w:rFonts w:hint="eastAsia" w:ascii="宋体" w:hAnsi="宋体" w:eastAsia="宋体" w:cs="宋体"/>
          <w:szCs w:val="21"/>
        </w:rPr>
      </w:pPr>
      <w:r>
        <w:rPr>
          <w:rFonts w:hint="eastAsia" w:ascii="宋体" w:hAnsi="宋体" w:eastAsia="宋体" w:cs="宋体"/>
          <w:szCs w:val="21"/>
        </w:rPr>
        <w:t>放坡开槽时，层间留台处、变坡点处宜为回填的分层处。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6.2.4</w:t>
      </w:r>
      <w:r>
        <w:rPr>
          <w:rFonts w:hint="eastAsia" w:ascii="宋体" w:hAnsi="宋体" w:eastAsia="宋体" w:cs="宋体"/>
          <w:szCs w:val="21"/>
        </w:rPr>
        <w:t xml:space="preserve"> 管道安装及其密闭性试验应符合各类管道工程施工及验收规范要求。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6.2.5</w:t>
      </w:r>
      <w:r>
        <w:rPr>
          <w:rFonts w:hint="eastAsia" w:ascii="宋体" w:hAnsi="宋体" w:eastAsia="宋体" w:cs="宋体"/>
          <w:szCs w:val="21"/>
        </w:rPr>
        <w:t xml:space="preserve"> 不收缩回填料拌制应符合下列规定:</w:t>
      </w:r>
    </w:p>
    <w:p>
      <w:pPr>
        <w:pStyle w:val="60"/>
        <w:numPr>
          <w:ilvl w:val="0"/>
          <w:numId w:val="25"/>
        </w:numPr>
        <w:rPr>
          <w:rFonts w:hint="eastAsia" w:ascii="宋体" w:hAnsi="宋体" w:eastAsia="宋体" w:cs="宋体"/>
          <w:szCs w:val="21"/>
        </w:rPr>
      </w:pPr>
      <w:r>
        <w:rPr>
          <w:rFonts w:hint="eastAsia" w:ascii="宋体" w:hAnsi="宋体" w:eastAsia="宋体" w:cs="宋体"/>
          <w:szCs w:val="21"/>
        </w:rPr>
        <w:t>宜采用稳定土拌和厂(场、站)或水泥混凝土拌和站拌制不收缩回填料。</w:t>
      </w:r>
    </w:p>
    <w:p>
      <w:pPr>
        <w:pStyle w:val="60"/>
        <w:numPr>
          <w:ilvl w:val="0"/>
          <w:numId w:val="25"/>
        </w:numPr>
        <w:rPr>
          <w:rFonts w:hint="eastAsia" w:ascii="宋体" w:hAnsi="宋体" w:eastAsia="宋体" w:cs="宋体"/>
          <w:szCs w:val="21"/>
        </w:rPr>
      </w:pPr>
      <w:r>
        <w:rPr>
          <w:rFonts w:hint="eastAsia" w:ascii="宋体" w:hAnsi="宋体" w:eastAsia="宋体" w:cs="宋体"/>
          <w:szCs w:val="21"/>
        </w:rPr>
        <w:t>拌制时应除去超粒径材料。</w:t>
      </w:r>
    </w:p>
    <w:p>
      <w:pPr>
        <w:pStyle w:val="60"/>
        <w:numPr>
          <w:ilvl w:val="0"/>
          <w:numId w:val="25"/>
        </w:numPr>
        <w:rPr>
          <w:rFonts w:hint="eastAsia" w:ascii="宋体" w:hAnsi="宋体" w:eastAsia="宋体" w:cs="宋体"/>
          <w:bCs/>
          <w:szCs w:val="21"/>
        </w:rPr>
      </w:pPr>
      <w:r>
        <w:rPr>
          <w:rFonts w:hint="eastAsia" w:ascii="宋体" w:hAnsi="宋体" w:eastAsia="宋体" w:cs="宋体"/>
          <w:szCs w:val="21"/>
        </w:rPr>
        <w:t>超粒径回收材料应进行二次破碎处理。</w:t>
      </w:r>
    </w:p>
    <w:p>
      <w:pPr>
        <w:pStyle w:val="60"/>
        <w:numPr>
          <w:ilvl w:val="0"/>
          <w:numId w:val="25"/>
        </w:numPr>
        <w:rPr>
          <w:rFonts w:hint="eastAsia" w:ascii="宋体" w:hAnsi="宋体" w:eastAsia="宋体" w:cs="宋体"/>
          <w:szCs w:val="21"/>
        </w:rPr>
      </w:pPr>
      <w:r>
        <w:rPr>
          <w:rFonts w:hint="eastAsia" w:ascii="宋体" w:hAnsi="宋体" w:eastAsia="宋体" w:cs="宋体"/>
          <w:bCs/>
          <w:szCs w:val="21"/>
        </w:rPr>
        <w:t>不收缩回填料配合比应符合设计要求，原材料计量应准确。</w:t>
      </w:r>
    </w:p>
    <w:p>
      <w:pPr>
        <w:pStyle w:val="60"/>
        <w:numPr>
          <w:ilvl w:val="0"/>
          <w:numId w:val="25"/>
        </w:numPr>
        <w:rPr>
          <w:rFonts w:hint="eastAsia" w:ascii="宋体" w:hAnsi="宋体" w:eastAsia="宋体" w:cs="宋体"/>
          <w:bCs/>
          <w:szCs w:val="21"/>
        </w:rPr>
      </w:pPr>
      <w:r>
        <w:rPr>
          <w:rFonts w:hint="eastAsia" w:ascii="宋体" w:hAnsi="宋体" w:eastAsia="宋体" w:cs="宋体"/>
          <w:szCs w:val="21"/>
        </w:rPr>
        <w:t>回填料用固化剂应按比例加入水中，并搅拌均匀。</w:t>
      </w:r>
    </w:p>
    <w:p>
      <w:pPr>
        <w:pStyle w:val="60"/>
        <w:numPr>
          <w:ilvl w:val="0"/>
          <w:numId w:val="25"/>
        </w:numPr>
        <w:rPr>
          <w:rFonts w:hint="eastAsia" w:ascii="宋体" w:hAnsi="宋体" w:eastAsia="宋体" w:cs="宋体"/>
          <w:bCs/>
          <w:szCs w:val="21"/>
        </w:rPr>
      </w:pPr>
      <w:r>
        <w:rPr>
          <w:rFonts w:hint="eastAsia" w:ascii="宋体" w:hAnsi="宋体" w:eastAsia="宋体" w:cs="宋体"/>
          <w:bCs/>
          <w:szCs w:val="21"/>
        </w:rPr>
        <w:t>拌和时，投料顺序宜为粒料一水泥一水(含回填料用固化剂)。</w:t>
      </w:r>
    </w:p>
    <w:p>
      <w:pPr>
        <w:pStyle w:val="60"/>
        <w:numPr>
          <w:ilvl w:val="0"/>
          <w:numId w:val="25"/>
        </w:numPr>
        <w:rPr>
          <w:rFonts w:hint="eastAsia" w:ascii="宋体" w:hAnsi="宋体" w:eastAsia="宋体" w:cs="宋体"/>
          <w:szCs w:val="21"/>
        </w:rPr>
      </w:pPr>
      <w:r>
        <w:rPr>
          <w:rFonts w:hint="eastAsia" w:ascii="宋体" w:hAnsi="宋体" w:eastAsia="宋体" w:cs="宋体"/>
          <w:bCs/>
          <w:szCs w:val="21"/>
        </w:rPr>
        <w:t>不收缩回填料应搅拌均匀，其最佳拌和时间应经过试拌确定，不宜小于60s。</w:t>
      </w:r>
    </w:p>
    <w:p>
      <w:pPr>
        <w:pStyle w:val="60"/>
        <w:numPr>
          <w:ilvl w:val="0"/>
          <w:numId w:val="25"/>
        </w:numPr>
        <w:rPr>
          <w:rFonts w:hint="eastAsia" w:ascii="宋体" w:hAnsi="宋体" w:eastAsia="宋体" w:cs="宋体"/>
          <w:szCs w:val="21"/>
        </w:rPr>
      </w:pPr>
      <w:r>
        <w:rPr>
          <w:rFonts w:hint="eastAsia" w:ascii="宋体" w:hAnsi="宋体" w:eastAsia="宋体" w:cs="宋体"/>
          <w:bCs/>
          <w:szCs w:val="21"/>
        </w:rPr>
        <w:t>拌和</w:t>
      </w:r>
      <w:r>
        <w:rPr>
          <w:rFonts w:hint="eastAsia" w:ascii="宋体" w:hAnsi="宋体" w:eastAsia="宋体" w:cs="宋体"/>
          <w:szCs w:val="21"/>
        </w:rPr>
        <w:t>厂应提供水泥用量、粒料级配、不收缩回填料配合比、龄期7d强度标准值。</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6.2.6</w:t>
      </w:r>
      <w:r>
        <w:rPr>
          <w:rFonts w:hint="eastAsia" w:ascii="宋体" w:hAnsi="宋体" w:eastAsia="宋体" w:cs="宋体"/>
          <w:b/>
          <w:szCs w:val="21"/>
        </w:rPr>
        <w:t xml:space="preserve"> </w:t>
      </w:r>
      <w:r>
        <w:rPr>
          <w:rFonts w:hint="eastAsia" w:ascii="宋体" w:hAnsi="宋体" w:eastAsia="宋体" w:cs="宋体"/>
          <w:szCs w:val="21"/>
        </w:rPr>
        <w:t>不收缩回填料运输应符合下列规定:</w:t>
      </w:r>
    </w:p>
    <w:p>
      <w:pPr>
        <w:pStyle w:val="60"/>
        <w:numPr>
          <w:ilvl w:val="0"/>
          <w:numId w:val="26"/>
        </w:numPr>
        <w:rPr>
          <w:rFonts w:hint="eastAsia" w:ascii="宋体" w:hAnsi="宋体" w:eastAsia="宋体" w:cs="宋体"/>
          <w:szCs w:val="21"/>
        </w:rPr>
      </w:pPr>
      <w:r>
        <w:rPr>
          <w:rFonts w:hint="eastAsia" w:ascii="宋体" w:hAnsi="宋体" w:eastAsia="宋体" w:cs="宋体"/>
          <w:szCs w:val="21"/>
        </w:rPr>
        <w:t>不收缩回填料运输宜选用混凝土搅拌运输车或自卸卡车，选用自卸卡车时，应对车厢进行密闭性改造，确保不洒料、不漏水。</w:t>
      </w:r>
    </w:p>
    <w:p>
      <w:pPr>
        <w:pStyle w:val="60"/>
        <w:numPr>
          <w:ilvl w:val="0"/>
          <w:numId w:val="26"/>
        </w:numPr>
        <w:rPr>
          <w:rFonts w:hint="eastAsia" w:ascii="宋体" w:hAnsi="宋体" w:eastAsia="宋体" w:cs="宋体"/>
          <w:szCs w:val="21"/>
        </w:rPr>
      </w:pPr>
      <w:r>
        <w:rPr>
          <w:rFonts w:hint="eastAsia" w:ascii="宋体" w:hAnsi="宋体" w:eastAsia="宋体" w:cs="宋体"/>
          <w:szCs w:val="21"/>
        </w:rPr>
        <w:t>施工中应根据运距、交通情况、拌和厂生产能力、施工进度确定运输车辆的数量和配置，确保不收缩回填料在初凝前完成回填。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6.2.7</w:t>
      </w:r>
      <w:r>
        <w:rPr>
          <w:rFonts w:hint="eastAsia" w:ascii="宋体" w:hAnsi="宋体" w:eastAsia="宋体" w:cs="宋体"/>
          <w:b/>
          <w:szCs w:val="21"/>
        </w:rPr>
        <w:t xml:space="preserve"> </w:t>
      </w:r>
      <w:r>
        <w:rPr>
          <w:rFonts w:hint="eastAsia" w:ascii="宋体" w:hAnsi="宋体" w:eastAsia="宋体" w:cs="宋体"/>
          <w:szCs w:val="21"/>
        </w:rPr>
        <w:t>管道胸腔部分的回填应符合下列规定:</w:t>
      </w:r>
    </w:p>
    <w:p>
      <w:pPr>
        <w:pStyle w:val="60"/>
        <w:numPr>
          <w:ilvl w:val="0"/>
          <w:numId w:val="27"/>
        </w:numPr>
        <w:rPr>
          <w:rFonts w:hint="eastAsia" w:ascii="宋体" w:hAnsi="宋体" w:eastAsia="宋体" w:cs="宋体"/>
          <w:bCs/>
          <w:szCs w:val="21"/>
        </w:rPr>
      </w:pPr>
      <w:r>
        <w:rPr>
          <w:rFonts w:hint="eastAsia" w:ascii="宋体" w:hAnsi="宋体" w:eastAsia="宋体" w:cs="宋体"/>
          <w:bCs/>
          <w:szCs w:val="21"/>
        </w:rPr>
        <w:t>回填前，宜采用管堵或挡板等保护管道接口，避免不收缩回填料进入管腔。</w:t>
      </w:r>
    </w:p>
    <w:p>
      <w:pPr>
        <w:pStyle w:val="60"/>
        <w:numPr>
          <w:ilvl w:val="0"/>
          <w:numId w:val="27"/>
        </w:numPr>
        <w:rPr>
          <w:rFonts w:hint="eastAsia" w:ascii="宋体" w:hAnsi="宋体" w:eastAsia="宋体" w:cs="宋体"/>
          <w:bCs/>
          <w:szCs w:val="21"/>
        </w:rPr>
      </w:pPr>
      <w:r>
        <w:rPr>
          <w:rFonts w:hint="eastAsia" w:ascii="宋体" w:hAnsi="宋体" w:eastAsia="宋体" w:cs="宋体"/>
          <w:bCs/>
          <w:szCs w:val="21"/>
        </w:rPr>
        <w:t>回填作业的现场试验段长度应为一个井段或不少于50m。</w:t>
      </w:r>
    </w:p>
    <w:p>
      <w:pPr>
        <w:pStyle w:val="60"/>
        <w:numPr>
          <w:ilvl w:val="0"/>
          <w:numId w:val="27"/>
        </w:numPr>
        <w:rPr>
          <w:rFonts w:hint="eastAsia" w:ascii="宋体" w:hAnsi="宋体" w:eastAsia="宋体" w:cs="宋体"/>
          <w:bCs/>
          <w:szCs w:val="21"/>
        </w:rPr>
      </w:pPr>
      <w:r>
        <w:rPr>
          <w:rFonts w:hint="eastAsia" w:ascii="宋体" w:hAnsi="宋体" w:eastAsia="宋体" w:cs="宋体"/>
          <w:bCs/>
          <w:szCs w:val="21"/>
        </w:rPr>
        <w:t>应分段回填，每次回填沟槽长度不宜小于30m,相邻段的接槎应呈台阶形，台阶处应为回填分层处，胸腔部位接槎处应避开管道接口。</w:t>
      </w:r>
    </w:p>
    <w:p>
      <w:pPr>
        <w:pStyle w:val="60"/>
        <w:numPr>
          <w:ilvl w:val="0"/>
          <w:numId w:val="27"/>
        </w:numPr>
        <w:rPr>
          <w:rFonts w:hint="eastAsia" w:ascii="宋体" w:hAnsi="宋体" w:eastAsia="宋体" w:cs="宋体"/>
          <w:szCs w:val="21"/>
        </w:rPr>
      </w:pPr>
      <w:r>
        <w:rPr>
          <w:rFonts w:hint="eastAsia" w:ascii="宋体" w:hAnsi="宋体" w:eastAsia="宋体" w:cs="宋体"/>
          <w:bCs/>
          <w:szCs w:val="21"/>
        </w:rPr>
        <w:t>应由沟槽两侧对称倒人槽内，不得使管道位移或损伤。</w:t>
      </w:r>
    </w:p>
    <w:p>
      <w:pPr>
        <w:pStyle w:val="60"/>
        <w:numPr>
          <w:ilvl w:val="0"/>
          <w:numId w:val="27"/>
        </w:numPr>
        <w:rPr>
          <w:rFonts w:hint="eastAsia" w:ascii="宋体" w:hAnsi="宋体" w:eastAsia="宋体" w:cs="宋体"/>
          <w:szCs w:val="21"/>
        </w:rPr>
      </w:pPr>
      <w:r>
        <w:rPr>
          <w:rFonts w:hint="eastAsia" w:ascii="宋体" w:hAnsi="宋体" w:eastAsia="宋体" w:cs="宋体"/>
          <w:szCs w:val="21"/>
        </w:rPr>
        <w:t>施工时，应边倒入不收缩回填料边用插入式振动器振捣，振捣时应快插慢提，振捣器插点应均布，插点间距不得大于300mm,严禁漏振，振捣时间以表面泛浆为止，宜为20～30s。</w:t>
      </w:r>
    </w:p>
    <w:p>
      <w:pPr>
        <w:pStyle w:val="60"/>
        <w:numPr>
          <w:ilvl w:val="0"/>
          <w:numId w:val="27"/>
        </w:numPr>
        <w:rPr>
          <w:rFonts w:hint="eastAsia" w:ascii="宋体" w:hAnsi="宋体" w:eastAsia="宋体" w:cs="宋体"/>
          <w:szCs w:val="21"/>
        </w:rPr>
      </w:pPr>
      <w:r>
        <w:rPr>
          <w:rFonts w:hint="eastAsia" w:ascii="宋体" w:hAnsi="宋体" w:eastAsia="宋体" w:cs="宋体"/>
          <w:szCs w:val="21"/>
        </w:rPr>
        <w:t>管道接口工作坑回填时，管道底部凹坑与管道胸腔部分可同步回填。</w:t>
      </w:r>
    </w:p>
    <w:p>
      <w:pPr>
        <w:pStyle w:val="60"/>
        <w:numPr>
          <w:ilvl w:val="0"/>
          <w:numId w:val="27"/>
        </w:numPr>
        <w:rPr>
          <w:rFonts w:hint="eastAsia" w:ascii="宋体" w:hAnsi="宋体" w:eastAsia="宋体" w:cs="宋体"/>
          <w:szCs w:val="21"/>
        </w:rPr>
      </w:pPr>
      <w:r>
        <w:rPr>
          <w:rFonts w:hint="eastAsia" w:ascii="宋体" w:hAnsi="宋体" w:eastAsia="宋体" w:cs="宋体"/>
          <w:szCs w:val="21"/>
        </w:rPr>
        <w:t>回填、振捣结束后，可拆除已回填部分的支护。</w:t>
      </w:r>
    </w:p>
    <w:p>
      <w:pPr>
        <w:pStyle w:val="60"/>
        <w:numPr>
          <w:ilvl w:val="0"/>
          <w:numId w:val="27"/>
        </w:numPr>
        <w:rPr>
          <w:rFonts w:hint="eastAsia" w:ascii="宋体" w:hAnsi="宋体" w:eastAsia="宋体" w:cs="宋体"/>
          <w:szCs w:val="21"/>
        </w:rPr>
      </w:pPr>
      <w:r>
        <w:rPr>
          <w:rFonts w:hint="eastAsia" w:ascii="宋体" w:hAnsi="宋体" w:eastAsia="宋体" w:cs="宋体"/>
          <w:szCs w:val="21"/>
        </w:rPr>
        <w:t>柔性管道的沟槽回填作业应符合下列规定: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1）管内径大于800mm,回填施工时应在管内设竖向支撑；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2）回填前必须计算管道浮力；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3）轻质材料管道回填时应采取有效的防止管道上浮、位移的措施；</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4）回填后应在规定时间内检测管道变形率，管道变形率应符合规范和设计要求；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5）管道变形率超出要求时，应挖出不收缩回填料，管道周围应人工开挖以避免损伤管道，并在处理好后重新回填。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6.2.8</w:t>
      </w:r>
      <w:r>
        <w:rPr>
          <w:rFonts w:hint="eastAsia" w:ascii="宋体" w:hAnsi="宋体" w:eastAsia="宋体" w:cs="宋体"/>
          <w:szCs w:val="21"/>
        </w:rPr>
        <w:t xml:space="preserve"> 胸腔顶部至基层(含底基层)底面部分回填应符合下列规定：</w:t>
      </w:r>
    </w:p>
    <w:p>
      <w:pPr>
        <w:pStyle w:val="60"/>
        <w:numPr>
          <w:ilvl w:val="0"/>
          <w:numId w:val="28"/>
        </w:numPr>
        <w:rPr>
          <w:rFonts w:hint="eastAsia" w:ascii="宋体" w:hAnsi="宋体" w:eastAsia="宋体" w:cs="宋体"/>
          <w:szCs w:val="21"/>
        </w:rPr>
      </w:pPr>
      <w:r>
        <w:rPr>
          <w:rFonts w:hint="eastAsia" w:ascii="宋体" w:hAnsi="宋体" w:eastAsia="宋体" w:cs="宋体"/>
          <w:szCs w:val="21"/>
        </w:rPr>
        <w:t>回填应在下层不收缩回填料初凝后进行，回填施工时下层不收缩回填料应为湿润状态，确保两层有效粘结。</w:t>
      </w:r>
    </w:p>
    <w:p>
      <w:pPr>
        <w:pStyle w:val="60"/>
        <w:numPr>
          <w:ilvl w:val="0"/>
          <w:numId w:val="28"/>
        </w:numPr>
        <w:rPr>
          <w:rFonts w:hint="eastAsia" w:ascii="宋体" w:hAnsi="宋体" w:eastAsia="宋体" w:cs="宋体"/>
          <w:szCs w:val="21"/>
        </w:rPr>
      </w:pPr>
      <w:r>
        <w:rPr>
          <w:rFonts w:hint="eastAsia" w:ascii="宋体" w:hAnsi="宋体" w:eastAsia="宋体" w:cs="宋体"/>
          <w:szCs w:val="21"/>
        </w:rPr>
        <w:t>施工时可一次性回填至基层底面，也可根据沟槽深度分层填筑，分层厚度不宜小于40cm。</w:t>
      </w:r>
    </w:p>
    <w:p>
      <w:pPr>
        <w:pStyle w:val="60"/>
        <w:numPr>
          <w:ilvl w:val="0"/>
          <w:numId w:val="28"/>
        </w:numPr>
        <w:rPr>
          <w:rFonts w:hint="eastAsia" w:ascii="宋体" w:hAnsi="宋体" w:eastAsia="宋体" w:cs="宋体"/>
          <w:szCs w:val="21"/>
        </w:rPr>
      </w:pPr>
      <w:r>
        <w:rPr>
          <w:rFonts w:hint="eastAsia" w:ascii="宋体" w:hAnsi="宋体" w:eastAsia="宋体" w:cs="宋体"/>
          <w:szCs w:val="21"/>
        </w:rPr>
        <w:t>振捣作业应符合本规程第6.2.7条的规定。</w:t>
      </w:r>
    </w:p>
    <w:p>
      <w:pPr>
        <w:pStyle w:val="60"/>
        <w:numPr>
          <w:ilvl w:val="0"/>
          <w:numId w:val="28"/>
        </w:numPr>
        <w:rPr>
          <w:rFonts w:hint="eastAsia" w:ascii="宋体" w:hAnsi="宋体" w:eastAsia="宋体" w:cs="宋体"/>
          <w:szCs w:val="21"/>
        </w:rPr>
      </w:pPr>
      <w:r>
        <w:rPr>
          <w:rFonts w:hint="eastAsia" w:ascii="宋体" w:hAnsi="宋体" w:eastAsia="宋体" w:cs="宋体"/>
          <w:szCs w:val="21"/>
        </w:rPr>
        <w:t>回填、振捣结束后，应拆除已回填部分的支护。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6.2.9</w:t>
      </w:r>
      <w:r>
        <w:rPr>
          <w:rFonts w:hint="eastAsia" w:ascii="宋体" w:hAnsi="宋体" w:eastAsia="宋体" w:cs="宋体"/>
          <w:b/>
          <w:szCs w:val="21"/>
        </w:rPr>
        <w:t xml:space="preserve"> </w:t>
      </w:r>
      <w:r>
        <w:rPr>
          <w:rFonts w:hint="eastAsia" w:ascii="宋体" w:hAnsi="宋体" w:eastAsia="宋体" w:cs="宋体"/>
          <w:szCs w:val="21"/>
        </w:rPr>
        <w:t>基层(含底基层)回填应符合下列规定：</w:t>
      </w:r>
    </w:p>
    <w:p>
      <w:pPr>
        <w:pStyle w:val="60"/>
        <w:numPr>
          <w:ilvl w:val="0"/>
          <w:numId w:val="29"/>
        </w:numPr>
        <w:rPr>
          <w:rFonts w:hint="eastAsia" w:ascii="宋体" w:hAnsi="宋体" w:eastAsia="宋体" w:cs="宋体"/>
          <w:szCs w:val="21"/>
        </w:rPr>
      </w:pPr>
      <w:r>
        <w:rPr>
          <w:rFonts w:hint="eastAsia" w:ascii="宋体" w:hAnsi="宋体" w:eastAsia="宋体" w:cs="宋体"/>
          <w:szCs w:val="21"/>
        </w:rPr>
        <w:t>回填施工时，下层不收缩回填料应为湿润状态，确保两层有效粘结。</w:t>
      </w:r>
    </w:p>
    <w:p>
      <w:pPr>
        <w:pStyle w:val="60"/>
        <w:numPr>
          <w:ilvl w:val="0"/>
          <w:numId w:val="29"/>
        </w:numPr>
        <w:rPr>
          <w:rFonts w:hint="eastAsia" w:ascii="宋体" w:hAnsi="宋体" w:eastAsia="宋体" w:cs="宋体"/>
          <w:szCs w:val="21"/>
        </w:rPr>
      </w:pPr>
      <w:r>
        <w:rPr>
          <w:rFonts w:hint="eastAsia" w:ascii="宋体" w:hAnsi="宋体" w:eastAsia="宋体" w:cs="宋体"/>
          <w:szCs w:val="21"/>
        </w:rPr>
        <w:t>城镇快速路、主干路基层(含底基层)回填厚度不宜小于50cm，次干路及以下道路基层(含底基层)回填厚度不宜小于40cm。</w:t>
      </w:r>
    </w:p>
    <w:p>
      <w:pPr>
        <w:pStyle w:val="60"/>
        <w:numPr>
          <w:ilvl w:val="0"/>
          <w:numId w:val="29"/>
        </w:numPr>
        <w:rPr>
          <w:rFonts w:hint="eastAsia" w:ascii="宋体" w:hAnsi="宋体" w:eastAsia="宋体" w:cs="宋体"/>
          <w:szCs w:val="21"/>
        </w:rPr>
      </w:pPr>
      <w:r>
        <w:rPr>
          <w:rFonts w:hint="eastAsia" w:ascii="宋体" w:hAnsi="宋体" w:eastAsia="宋体" w:cs="宋体"/>
          <w:szCs w:val="21"/>
        </w:rPr>
        <w:t>振捣作业应符合本规程第6.2.7条的规定。</w:t>
      </w:r>
    </w:p>
    <w:p>
      <w:pPr>
        <w:pStyle w:val="60"/>
        <w:numPr>
          <w:ilvl w:val="0"/>
          <w:numId w:val="29"/>
        </w:numPr>
        <w:rPr>
          <w:rFonts w:hint="eastAsia" w:ascii="宋体" w:hAnsi="宋体" w:eastAsia="宋体" w:cs="宋体"/>
          <w:szCs w:val="21"/>
        </w:rPr>
      </w:pPr>
      <w:r>
        <w:rPr>
          <w:rFonts w:hint="eastAsia" w:ascii="宋体" w:hAnsi="宋体" w:eastAsia="宋体" w:cs="宋体"/>
          <w:szCs w:val="21"/>
        </w:rPr>
        <w:t>最后振捣应选用振动平板夯压平基层表面，整平后基层表面平整度应符合设计要求，且表面必须拉毛处理。</w:t>
      </w:r>
    </w:p>
    <w:p>
      <w:pPr>
        <w:pStyle w:val="60"/>
        <w:numPr>
          <w:ilvl w:val="0"/>
          <w:numId w:val="29"/>
        </w:numPr>
        <w:rPr>
          <w:rFonts w:hint="eastAsia" w:ascii="宋体" w:hAnsi="宋体" w:eastAsia="宋体" w:cs="宋体"/>
          <w:szCs w:val="21"/>
        </w:rPr>
      </w:pPr>
      <w:r>
        <w:rPr>
          <w:rFonts w:hint="eastAsia" w:ascii="宋体" w:hAnsi="宋体" w:eastAsia="宋体" w:cs="宋体"/>
          <w:szCs w:val="21"/>
        </w:rPr>
        <w:t>基层整平后，烘烤作业必须在基层不收缩回填料达到早期强度后进行。</w:t>
      </w:r>
    </w:p>
    <w:p>
      <w:pPr>
        <w:pStyle w:val="60"/>
        <w:numPr>
          <w:ilvl w:val="0"/>
          <w:numId w:val="29"/>
        </w:numPr>
        <w:rPr>
          <w:rFonts w:hint="eastAsia" w:ascii="宋体" w:hAnsi="宋体" w:eastAsia="宋体" w:cs="宋体"/>
          <w:szCs w:val="21"/>
        </w:rPr>
      </w:pPr>
      <w:r>
        <w:rPr>
          <w:rFonts w:hint="eastAsia" w:ascii="宋体" w:hAnsi="宋体" w:eastAsia="宋体" w:cs="宋体"/>
          <w:szCs w:val="21"/>
        </w:rPr>
        <w:t>受施工现场环境温度影响，基层不收缩回填料早期强度形成时间宜为4～6h。</w:t>
      </w:r>
    </w:p>
    <w:p>
      <w:pPr>
        <w:pStyle w:val="60"/>
        <w:numPr>
          <w:ilvl w:val="0"/>
          <w:numId w:val="29"/>
        </w:numPr>
        <w:rPr>
          <w:rFonts w:hint="eastAsia" w:ascii="宋体" w:hAnsi="宋体" w:eastAsia="宋体" w:cs="宋体"/>
          <w:szCs w:val="21"/>
        </w:rPr>
      </w:pPr>
      <w:r>
        <w:rPr>
          <w:rFonts w:hint="eastAsia" w:ascii="宋体" w:hAnsi="宋体" w:eastAsia="宋体" w:cs="宋体"/>
          <w:szCs w:val="21"/>
        </w:rPr>
        <w:t>烘烤基层表面应采用移动式热辐射加热方式，基层抗压强度达到要求时所需烘烤时间应通过模拟试验确定，宜为20～30min</w:t>
      </w:r>
    </w:p>
    <w:p>
      <w:pPr>
        <w:pStyle w:val="60"/>
        <w:numPr>
          <w:ilvl w:val="0"/>
          <w:numId w:val="29"/>
        </w:numPr>
        <w:rPr>
          <w:rFonts w:hint="eastAsia" w:ascii="宋体" w:hAnsi="宋体" w:eastAsia="宋体" w:cs="宋体"/>
          <w:szCs w:val="21"/>
        </w:rPr>
      </w:pPr>
      <w:r>
        <w:rPr>
          <w:rFonts w:hint="eastAsia" w:ascii="宋体" w:hAnsi="宋体" w:eastAsia="宋体" w:cs="宋体"/>
          <w:szCs w:val="21"/>
        </w:rPr>
        <w:t>烘烤作业时，严禁加热车辆碾压未形成强度的基层而导致基层表面变形。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6.2.10</w:t>
      </w:r>
      <w:r>
        <w:rPr>
          <w:rFonts w:hint="eastAsia" w:ascii="宋体" w:hAnsi="宋体" w:eastAsia="宋体" w:cs="宋体"/>
          <w:b/>
          <w:szCs w:val="21"/>
        </w:rPr>
        <w:t xml:space="preserve"> </w:t>
      </w:r>
      <w:r>
        <w:rPr>
          <w:rFonts w:hint="eastAsia" w:ascii="宋体" w:hAnsi="宋体" w:eastAsia="宋体" w:cs="宋体"/>
          <w:szCs w:val="21"/>
        </w:rPr>
        <w:t>沥青面层恢复应符合下列规定:</w:t>
      </w:r>
    </w:p>
    <w:p>
      <w:pPr>
        <w:pStyle w:val="60"/>
        <w:numPr>
          <w:ilvl w:val="0"/>
          <w:numId w:val="30"/>
        </w:numPr>
        <w:rPr>
          <w:rFonts w:hint="eastAsia" w:ascii="宋体" w:hAnsi="宋体" w:eastAsia="宋体" w:cs="宋体"/>
          <w:szCs w:val="21"/>
        </w:rPr>
      </w:pPr>
      <w:r>
        <w:rPr>
          <w:rFonts w:hint="eastAsia" w:ascii="宋体" w:hAnsi="宋体" w:eastAsia="宋体" w:cs="宋体"/>
          <w:szCs w:val="21"/>
        </w:rPr>
        <w:t>不收缩回填料基层表面必须喷洒透层油，在透层油完全渗透入基层后方可铺筑面层。</w:t>
      </w:r>
    </w:p>
    <w:p>
      <w:pPr>
        <w:pStyle w:val="60"/>
        <w:numPr>
          <w:ilvl w:val="0"/>
          <w:numId w:val="30"/>
        </w:numPr>
        <w:rPr>
          <w:rFonts w:hint="eastAsia" w:ascii="宋体" w:hAnsi="宋体" w:eastAsia="宋体" w:cs="宋体"/>
          <w:szCs w:val="21"/>
        </w:rPr>
      </w:pPr>
      <w:r>
        <w:rPr>
          <w:rFonts w:hint="eastAsia" w:ascii="宋体" w:hAnsi="宋体" w:eastAsia="宋体" w:cs="宋体"/>
          <w:szCs w:val="21"/>
        </w:rPr>
        <w:t>透层油应选择渗透性好的乳化沥青，用量宜为0.6～1.5L∕m</w:t>
      </w:r>
      <w:r>
        <w:rPr>
          <w:rFonts w:hint="eastAsia" w:ascii="宋体" w:hAnsi="宋体" w:eastAsia="宋体" w:cs="宋体"/>
          <w:szCs w:val="21"/>
          <w:vertAlign w:val="superscript"/>
        </w:rPr>
        <w:t>2</w:t>
      </w:r>
      <w:r>
        <w:rPr>
          <w:rFonts w:hint="eastAsia" w:ascii="宋体" w:hAnsi="宋体" w:eastAsia="宋体" w:cs="宋体"/>
          <w:szCs w:val="21"/>
        </w:rPr>
        <w:t>,破乳前严禁一切车辆通行。</w:t>
      </w:r>
    </w:p>
    <w:p>
      <w:pPr>
        <w:pStyle w:val="60"/>
        <w:numPr>
          <w:ilvl w:val="0"/>
          <w:numId w:val="30"/>
        </w:numPr>
        <w:rPr>
          <w:rFonts w:hint="eastAsia" w:ascii="宋体" w:hAnsi="宋体" w:eastAsia="宋体" w:cs="宋体"/>
          <w:szCs w:val="21"/>
        </w:rPr>
      </w:pPr>
      <w:r>
        <w:rPr>
          <w:rFonts w:hint="eastAsia" w:ascii="宋体" w:hAnsi="宋体" w:eastAsia="宋体" w:cs="宋体"/>
          <w:szCs w:val="21"/>
        </w:rPr>
        <w:t>沥青路面透层、封层、粘层、面层施工应符合《城镇道路工程施工与质量验收规范》（CJ1）的规定。</w:t>
      </w:r>
    </w:p>
    <w:p>
      <w:pPr>
        <w:pStyle w:val="60"/>
        <w:numPr>
          <w:ilvl w:val="0"/>
          <w:numId w:val="30"/>
        </w:numPr>
        <w:rPr>
          <w:rFonts w:hint="eastAsia" w:ascii="宋体" w:hAnsi="宋体" w:eastAsia="宋体" w:cs="宋体"/>
          <w:szCs w:val="21"/>
        </w:rPr>
      </w:pPr>
      <w:r>
        <w:rPr>
          <w:rFonts w:hint="eastAsia" w:ascii="宋体" w:hAnsi="宋体" w:eastAsia="宋体" w:cs="宋体"/>
          <w:szCs w:val="21"/>
        </w:rPr>
        <w:t>沥青面层恢复时，面层结构应符合设计要求，设计无要求，时，宜与原沥青面层结构相同。</w:t>
      </w:r>
    </w:p>
    <w:p>
      <w:pPr>
        <w:pStyle w:val="60"/>
        <w:numPr>
          <w:ilvl w:val="0"/>
          <w:numId w:val="30"/>
        </w:numPr>
        <w:rPr>
          <w:rFonts w:hint="eastAsia" w:ascii="宋体" w:hAnsi="宋体" w:eastAsia="宋体" w:cs="宋体"/>
          <w:szCs w:val="21"/>
        </w:rPr>
      </w:pPr>
      <w:r>
        <w:rPr>
          <w:rFonts w:hint="eastAsia" w:ascii="宋体" w:hAnsi="宋体" w:eastAsia="宋体" w:cs="宋体"/>
          <w:szCs w:val="21"/>
        </w:rPr>
        <w:t>中、下面层施工应符合下列规定: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1）中、下面层摊铺应充分利用原路面回收沥青混合料；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2）回收利用原路面沥青混合料，宜选用热再生技术；</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采用热再生技术回收利用原路面沥青混合料时，加热拌和温度不得高于180℃,出料后应及时摊铺；普通沥青混合料摊铺温度不得低于125℃,改性沥青混合料摊铺温度不得低于135℃；普通沥青混合料碾压温度不得低于120℃,改性沥青混合料碾压温度不得低于130℃；</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4）中、下面层层间、沟槽两侧面层侧壁都应喷洒粘层油；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5）中、下面层施工可人工摊铺，摊铺后应及时碾压。</w:t>
      </w:r>
    </w:p>
    <w:p>
      <w:pPr>
        <w:pStyle w:val="60"/>
        <w:numPr>
          <w:ilvl w:val="0"/>
          <w:numId w:val="30"/>
        </w:numPr>
        <w:rPr>
          <w:rFonts w:hint="eastAsia" w:ascii="宋体" w:hAnsi="宋体" w:eastAsia="宋体" w:cs="宋体"/>
          <w:szCs w:val="21"/>
        </w:rPr>
      </w:pPr>
      <w:r>
        <w:rPr>
          <w:rFonts w:hint="eastAsia" w:ascii="宋体" w:hAnsi="宋体" w:eastAsia="宋体" w:cs="宋体"/>
          <w:szCs w:val="21"/>
        </w:rPr>
        <w:t>上面层施工应符合下列规定: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1）上面层应摊铺新热拌沥青混合料；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highlight w:val="red"/>
        </w:rPr>
      </w:pPr>
      <w:r>
        <w:rPr>
          <w:rFonts w:hint="eastAsia" w:ascii="宋体" w:hAnsi="宋体" w:eastAsia="宋体" w:cs="宋体"/>
          <w:szCs w:val="21"/>
        </w:rPr>
        <w:t>2）中、下面层碾压结束后，宜采用就地热再生设备加热下承层，加热作业后，摊铺施工前下承层表面温度不得低于100℃,同时不得高于180℃，如连续摊铺上面层且中面层温度大于100℃，可直接施工；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3）下承层加热应向沟槽两侧原沥青路面各延伸10～20cm,待两侧路面软化后人工疏松、整平，并保持边缘顺直；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4）采用热再生设备加热下承层表面，推铺上面层前可不喷洒粘层油；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5）上面层宜采用摊铺机摊铺，施工缝应紧密、平顺、无错台，当采用人工摊铺时，要确保平整度符合规范要求。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6.2.11</w:t>
      </w:r>
      <w:r>
        <w:rPr>
          <w:rFonts w:hint="eastAsia" w:ascii="宋体" w:hAnsi="宋体" w:eastAsia="宋体" w:cs="宋体"/>
          <w:szCs w:val="21"/>
        </w:rPr>
        <w:t xml:space="preserve"> 沥青路面应待摊铺层降温至表面温度低于50℃后，方可开放交通。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6.2.12</w:t>
      </w:r>
      <w:r>
        <w:rPr>
          <w:rFonts w:hint="eastAsia" w:ascii="宋体" w:hAnsi="宋体" w:eastAsia="宋体" w:cs="宋体"/>
          <w:b/>
          <w:szCs w:val="21"/>
        </w:rPr>
        <w:t xml:space="preserve"> </w:t>
      </w:r>
      <w:r>
        <w:rPr>
          <w:rFonts w:hint="eastAsia" w:ascii="宋体" w:hAnsi="宋体" w:eastAsia="宋体" w:cs="宋体"/>
          <w:szCs w:val="21"/>
        </w:rPr>
        <w:t>其他面层恢复施工应符合规范和设计要求。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6.2.13</w:t>
      </w:r>
      <w:r>
        <w:rPr>
          <w:rFonts w:hint="eastAsia" w:ascii="宋体" w:hAnsi="宋体" w:eastAsia="宋体" w:cs="宋体"/>
          <w:szCs w:val="21"/>
        </w:rPr>
        <w:t xml:space="preserve"> 雨季或夜间施工应符合下列规定:</w:t>
      </w:r>
    </w:p>
    <w:p>
      <w:pPr>
        <w:pStyle w:val="60"/>
        <w:numPr>
          <w:ilvl w:val="0"/>
          <w:numId w:val="31"/>
        </w:numPr>
        <w:rPr>
          <w:rFonts w:hint="eastAsia" w:ascii="宋体" w:hAnsi="宋体" w:eastAsia="宋体" w:cs="宋体"/>
          <w:bCs/>
          <w:szCs w:val="21"/>
        </w:rPr>
      </w:pPr>
      <w:r>
        <w:rPr>
          <w:rFonts w:hint="eastAsia" w:ascii="宋体" w:hAnsi="宋体" w:eastAsia="宋体" w:cs="宋体"/>
          <w:szCs w:val="21"/>
        </w:rPr>
        <w:t>应注意天气预报，加强工地现场、拌和厂之间的联系，控制施工进度，各项工序紧密衔接。</w:t>
      </w:r>
    </w:p>
    <w:p>
      <w:pPr>
        <w:pStyle w:val="60"/>
        <w:numPr>
          <w:ilvl w:val="0"/>
          <w:numId w:val="31"/>
        </w:numPr>
        <w:rPr>
          <w:rFonts w:hint="eastAsia" w:ascii="宋体" w:hAnsi="宋体" w:eastAsia="宋体" w:cs="宋体"/>
          <w:bCs/>
          <w:szCs w:val="21"/>
        </w:rPr>
      </w:pPr>
      <w:r>
        <w:rPr>
          <w:rFonts w:hint="eastAsia" w:ascii="宋体" w:hAnsi="宋体" w:eastAsia="宋体" w:cs="宋体"/>
          <w:bCs/>
          <w:szCs w:val="21"/>
        </w:rPr>
        <w:t>雨季施工应连续、快速完成，工作面不宜过大过长，应分层分段施工，宜当日完成。</w:t>
      </w:r>
    </w:p>
    <w:p>
      <w:pPr>
        <w:pStyle w:val="60"/>
        <w:numPr>
          <w:ilvl w:val="0"/>
          <w:numId w:val="31"/>
        </w:numPr>
        <w:rPr>
          <w:rFonts w:hint="eastAsia" w:ascii="宋体" w:hAnsi="宋体" w:eastAsia="宋体" w:cs="宋体"/>
          <w:szCs w:val="21"/>
        </w:rPr>
      </w:pPr>
      <w:r>
        <w:rPr>
          <w:rFonts w:hint="eastAsia" w:ascii="宋体" w:hAnsi="宋体" w:eastAsia="宋体" w:cs="宋体"/>
          <w:bCs/>
          <w:szCs w:val="21"/>
        </w:rPr>
        <w:t>运输车辆和工地应备有防雨设施，并做好沟槽、基坑和路面排水。</w:t>
      </w:r>
    </w:p>
    <w:p>
      <w:pPr>
        <w:pStyle w:val="60"/>
        <w:numPr>
          <w:ilvl w:val="0"/>
          <w:numId w:val="31"/>
        </w:numPr>
        <w:rPr>
          <w:rFonts w:hint="eastAsia" w:ascii="宋体" w:hAnsi="宋体" w:eastAsia="宋体" w:cs="宋体"/>
          <w:bCs/>
          <w:szCs w:val="21"/>
        </w:rPr>
      </w:pPr>
      <w:r>
        <w:rPr>
          <w:rFonts w:hint="eastAsia" w:ascii="宋体" w:hAnsi="宋体" w:eastAsia="宋体" w:cs="宋体"/>
          <w:szCs w:val="21"/>
        </w:rPr>
        <w:t>雨天不宜进行开挖、回填作业，路表有积水时不得铺筑路面面层。</w:t>
      </w:r>
    </w:p>
    <w:p>
      <w:pPr>
        <w:pStyle w:val="60"/>
        <w:numPr>
          <w:ilvl w:val="0"/>
          <w:numId w:val="31"/>
        </w:numPr>
        <w:rPr>
          <w:rFonts w:hint="eastAsia" w:ascii="宋体" w:hAnsi="宋体" w:eastAsia="宋体" w:cs="宋体"/>
          <w:szCs w:val="21"/>
        </w:rPr>
      </w:pPr>
      <w:r>
        <w:rPr>
          <w:rFonts w:hint="eastAsia" w:ascii="宋体" w:hAnsi="宋体" w:eastAsia="宋体" w:cs="宋体"/>
          <w:bCs/>
          <w:szCs w:val="21"/>
        </w:rPr>
        <w:t>雨季应有防雨措施，防止管道漂浮、沟槽或基坑坍塌。</w:t>
      </w:r>
    </w:p>
    <w:p>
      <w:pPr>
        <w:pStyle w:val="60"/>
        <w:numPr>
          <w:ilvl w:val="0"/>
          <w:numId w:val="31"/>
        </w:numPr>
        <w:rPr>
          <w:rFonts w:hint="eastAsia" w:ascii="宋体" w:hAnsi="宋体" w:eastAsia="宋体" w:cs="宋体"/>
          <w:bCs/>
          <w:szCs w:val="21"/>
        </w:rPr>
      </w:pPr>
      <w:r>
        <w:rPr>
          <w:rFonts w:hint="eastAsia" w:ascii="宋体" w:hAnsi="宋体" w:eastAsia="宋体" w:cs="宋体"/>
          <w:szCs w:val="21"/>
        </w:rPr>
        <w:t>施工中遇雨时，应立即使用防雨设施并及时调整施工计划。</w:t>
      </w:r>
    </w:p>
    <w:p>
      <w:pPr>
        <w:pStyle w:val="60"/>
        <w:numPr>
          <w:ilvl w:val="0"/>
          <w:numId w:val="31"/>
        </w:numPr>
        <w:rPr>
          <w:rFonts w:hint="eastAsia" w:ascii="宋体" w:hAnsi="宋体" w:eastAsia="宋体" w:cs="宋体"/>
          <w:szCs w:val="21"/>
        </w:rPr>
      </w:pPr>
      <w:r>
        <w:rPr>
          <w:rFonts w:hint="eastAsia" w:ascii="宋体" w:hAnsi="宋体" w:eastAsia="宋体" w:cs="宋体"/>
          <w:bCs/>
          <w:szCs w:val="21"/>
        </w:rPr>
        <w:t>雨中、雨后应及时检查主体工程及现场环境，发现雨患、水患必须及时采取处理措施。</w:t>
      </w:r>
    </w:p>
    <w:p>
      <w:pPr>
        <w:pStyle w:val="60"/>
        <w:numPr>
          <w:ilvl w:val="0"/>
          <w:numId w:val="31"/>
        </w:numPr>
        <w:rPr>
          <w:rFonts w:hint="eastAsia" w:ascii="宋体" w:hAnsi="宋体" w:eastAsia="宋体" w:cs="宋体"/>
          <w:szCs w:val="21"/>
        </w:rPr>
      </w:pPr>
      <w:r>
        <w:rPr>
          <w:rFonts w:hint="eastAsia" w:ascii="宋体" w:hAnsi="宋体" w:eastAsia="宋体" w:cs="宋体"/>
          <w:szCs w:val="21"/>
        </w:rPr>
        <w:t>夜间施工应合理安排施工顺序，且有足够的照明设施。</w:t>
      </w:r>
    </w:p>
    <w:p>
      <w:pPr>
        <w:pStyle w:val="54"/>
        <w:spacing w:before="156" w:after="156"/>
        <w:ind w:left="2"/>
        <w:rPr>
          <w:rFonts w:eastAsia="黑体"/>
          <w:bCs/>
          <w:szCs w:val="21"/>
        </w:rPr>
      </w:pPr>
      <w:bookmarkStart w:id="99" w:name="_Toc527332918"/>
      <w:bookmarkStart w:id="100" w:name="_Toc527332841"/>
      <w:bookmarkStart w:id="101" w:name="_Toc527332787"/>
      <w:bookmarkStart w:id="102" w:name="_Toc30405"/>
      <w:r>
        <w:rPr>
          <w:rFonts w:eastAsia="黑体"/>
          <w:bCs/>
          <w:szCs w:val="21"/>
        </w:rPr>
        <w:t>施工设备</w:t>
      </w:r>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rPr>
      </w:pPr>
      <w:r>
        <w:rPr>
          <w:rFonts w:hint="eastAsia" w:ascii="黑体" w:hAnsi="黑体" w:eastAsia="黑体" w:cs="黑体"/>
          <w:bCs/>
          <w:szCs w:val="21"/>
        </w:rPr>
        <w:t>6.3.1</w:t>
      </w:r>
      <w:r>
        <w:rPr>
          <w:rFonts w:hint="eastAsia" w:ascii="宋体" w:hAnsi="宋体" w:eastAsia="宋体" w:cs="宋体"/>
          <w:szCs w:val="21"/>
        </w:rPr>
        <w:t xml:space="preserve"> 城镇道路开挖、回填、恢复快速施工的设备应符合表4的规定：</w:t>
      </w:r>
    </w:p>
    <w:p>
      <w:pPr>
        <w:pStyle w:val="138"/>
        <w:keepNext w:val="0"/>
        <w:keepLines w:val="0"/>
        <w:pageBreakBefore w:val="0"/>
        <w:widowControl/>
        <w:kinsoku/>
        <w:wordWrap/>
        <w:overflowPunct/>
        <w:topLinePunct w:val="0"/>
        <w:autoSpaceDE/>
        <w:autoSpaceDN/>
        <w:bidi w:val="0"/>
        <w:adjustRightInd/>
        <w:snapToGrid/>
        <w:spacing w:line="240" w:lineRule="auto"/>
        <w:textAlignment w:val="auto"/>
        <w:rPr>
          <w:szCs w:val="21"/>
        </w:rPr>
      </w:pPr>
      <w:r>
        <w:rPr>
          <w:szCs w:val="21"/>
        </w:rPr>
        <w:t>道路基层回填料设备要求</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2030"/>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bookmarkStart w:id="103" w:name="_Toc527332919"/>
            <w:bookmarkStart w:id="104" w:name="_Toc198"/>
            <w:bookmarkStart w:id="105" w:name="_Toc527332788"/>
            <w:bookmarkStart w:id="106" w:name="_Toc527332842"/>
            <w:r>
              <w:rPr>
                <w:rFonts w:hint="eastAsia"/>
                <w:kern w:val="2"/>
                <w:szCs w:val="21"/>
              </w:rPr>
              <w:t>设备/施工</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before="156" w:beforeLines="50" w:after="156" w:afterLines="50" w:line="240" w:lineRule="auto"/>
              <w:ind w:firstLine="0" w:firstLineChars="0"/>
              <w:jc w:val="center"/>
              <w:textAlignment w:val="auto"/>
              <w:rPr>
                <w:kern w:val="2"/>
                <w:szCs w:val="21"/>
              </w:rPr>
            </w:pPr>
            <w:r>
              <w:rPr>
                <w:kern w:val="2"/>
                <w:szCs w:val="21"/>
              </w:rPr>
              <w:t>管道开挖回填</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before="156" w:beforeLines="50" w:after="156" w:afterLines="50" w:line="240" w:lineRule="auto"/>
              <w:ind w:firstLine="0" w:firstLineChars="0"/>
              <w:jc w:val="center"/>
              <w:textAlignment w:val="auto"/>
              <w:rPr>
                <w:kern w:val="2"/>
                <w:szCs w:val="21"/>
              </w:rPr>
            </w:pPr>
            <w:r>
              <w:rPr>
                <w:kern w:val="2"/>
                <w:szCs w:val="21"/>
              </w:rPr>
              <w:t>路面基层回填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破碎机</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挖掘机</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装载机</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稳定土拌合机</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振捣器</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钢轮压路机</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无</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平板夯</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热辐射式加热王</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修路王</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动力站</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发电机组</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空压(机)站和风镐(或液压泵站和液压镐)</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4672"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混凝土搅拌运输车(或自卸卡车)</w:t>
            </w:r>
          </w:p>
        </w:tc>
        <w:tc>
          <w:tcPr>
            <w:tcW w:w="2030"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c>
          <w:tcPr>
            <w:tcW w:w="2356" w:type="dxa"/>
            <w:noWrap w:val="0"/>
            <w:vAlign w:val="center"/>
          </w:tcPr>
          <w:p>
            <w:pPr>
              <w:pStyle w:val="25"/>
              <w:keepNext w:val="0"/>
              <w:keepLines w:val="0"/>
              <w:pageBreakBefore w:val="0"/>
              <w:widowControl w:val="0"/>
              <w:tabs>
                <w:tab w:val="left" w:pos="363"/>
              </w:tabs>
              <w:kinsoku/>
              <w:wordWrap/>
              <w:overflowPunct/>
              <w:topLinePunct w:val="0"/>
              <w:autoSpaceDE w:val="0"/>
              <w:autoSpaceDN w:val="0"/>
              <w:bidi w:val="0"/>
              <w:adjustRightInd/>
              <w:snapToGrid/>
              <w:spacing w:line="240" w:lineRule="auto"/>
              <w:ind w:firstLine="0" w:firstLineChars="0"/>
              <w:jc w:val="center"/>
              <w:textAlignment w:val="auto"/>
              <w:rPr>
                <w:kern w:val="2"/>
                <w:szCs w:val="21"/>
              </w:rPr>
            </w:pPr>
            <w:r>
              <w:rPr>
                <w:kern w:val="2"/>
                <w:szCs w:val="21"/>
              </w:rPr>
              <w:t>有</w:t>
            </w:r>
          </w:p>
        </w:tc>
      </w:tr>
    </w:tbl>
    <w:p>
      <w:pPr>
        <w:pStyle w:val="54"/>
        <w:spacing w:before="156" w:after="156"/>
        <w:ind w:left="2"/>
        <w:rPr>
          <w:rFonts w:eastAsia="黑体"/>
          <w:bCs/>
          <w:szCs w:val="21"/>
        </w:rPr>
      </w:pPr>
      <w:r>
        <w:rPr>
          <w:rFonts w:eastAsia="黑体"/>
          <w:bCs/>
          <w:szCs w:val="21"/>
        </w:rPr>
        <w:t>环境整理</w:t>
      </w:r>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rPr>
      </w:pPr>
      <w:r>
        <w:rPr>
          <w:rFonts w:hint="eastAsia" w:ascii="黑体" w:hAnsi="黑体" w:eastAsia="黑体" w:cs="黑体"/>
          <w:bCs/>
          <w:szCs w:val="21"/>
        </w:rPr>
        <w:t>6.4.1</w:t>
      </w:r>
      <w:r>
        <w:rPr>
          <w:b/>
          <w:szCs w:val="21"/>
        </w:rPr>
        <w:t xml:space="preserve"> </w:t>
      </w:r>
      <w:r>
        <w:rPr>
          <w:szCs w:val="21"/>
        </w:rPr>
        <w:t>路面开挖前要设置明确的施工标志，开挖过程中不得影响周围建筑物的安全。</w:t>
      </w:r>
    </w:p>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rPr>
      </w:pPr>
      <w:r>
        <w:rPr>
          <w:rFonts w:hint="eastAsia" w:ascii="黑体" w:hAnsi="黑体" w:eastAsia="黑体" w:cs="黑体"/>
          <w:bCs/>
          <w:szCs w:val="21"/>
        </w:rPr>
        <w:t>6.4.2</w:t>
      </w:r>
      <w:r>
        <w:rPr>
          <w:b/>
          <w:szCs w:val="21"/>
        </w:rPr>
        <w:t xml:space="preserve"> </w:t>
      </w:r>
      <w:r>
        <w:rPr>
          <w:szCs w:val="21"/>
        </w:rPr>
        <w:t>施工过程中，应随时对路面进行清扫，保证施工现场环境的整洁。施工完成后，现场所有设备撤出、现场清洁后方可开放交通。</w:t>
      </w:r>
    </w:p>
    <w:p>
      <w:pPr>
        <w:pStyle w:val="57"/>
        <w:keepNext w:val="0"/>
        <w:keepLines w:val="0"/>
        <w:pageBreakBefore w:val="0"/>
        <w:widowControl/>
        <w:kinsoku/>
        <w:wordWrap/>
        <w:overflowPunct/>
        <w:topLinePunct w:val="0"/>
        <w:autoSpaceDE/>
        <w:autoSpaceDN/>
        <w:bidi w:val="0"/>
        <w:adjustRightInd/>
        <w:snapToGrid/>
        <w:spacing w:line="240" w:lineRule="auto"/>
        <w:ind w:left="0"/>
        <w:textAlignment w:val="auto"/>
        <w:rPr>
          <w:rFonts w:ascii="黑体" w:hAnsi="黑体" w:eastAsia="黑体" w:cs="黑体"/>
        </w:rPr>
      </w:pPr>
      <w:bookmarkStart w:id="107" w:name="_Toc527332645"/>
      <w:bookmarkStart w:id="108" w:name="_Toc26371"/>
      <w:bookmarkStart w:id="109" w:name="_Toc527332843"/>
      <w:bookmarkStart w:id="110" w:name="_Toc527332718"/>
      <w:bookmarkStart w:id="111" w:name="_Toc527332371"/>
      <w:bookmarkStart w:id="112" w:name="_Toc527332920"/>
      <w:bookmarkStart w:id="113" w:name="_Toc527332210"/>
      <w:bookmarkStart w:id="114" w:name="_Toc527332789"/>
      <w:bookmarkStart w:id="115" w:name="_Toc327877676"/>
      <w:r>
        <w:rPr>
          <w:rFonts w:ascii="黑体" w:hAnsi="黑体" w:eastAsia="黑体" w:cs="黑体"/>
        </w:rPr>
        <w:t>验收</w:t>
      </w:r>
      <w:bookmarkEnd w:id="107"/>
      <w:bookmarkEnd w:id="108"/>
      <w:bookmarkEnd w:id="109"/>
      <w:bookmarkEnd w:id="110"/>
      <w:bookmarkEnd w:id="111"/>
      <w:bookmarkEnd w:id="112"/>
      <w:bookmarkEnd w:id="113"/>
      <w:bookmarkEnd w:id="114"/>
      <w:bookmarkEnd w:id="115"/>
    </w:p>
    <w:p>
      <w:pPr>
        <w:pStyle w:val="54"/>
        <w:spacing w:before="156" w:after="156"/>
        <w:ind w:left="2"/>
        <w:rPr>
          <w:rFonts w:hint="eastAsia" w:ascii="黑体" w:hAnsi="黑体" w:eastAsia="黑体" w:cs="黑体"/>
          <w:bCs/>
          <w:szCs w:val="21"/>
        </w:rPr>
      </w:pPr>
      <w:bookmarkStart w:id="116" w:name="_Toc527332921"/>
      <w:bookmarkStart w:id="117" w:name="_Toc527332844"/>
      <w:bookmarkStart w:id="118" w:name="_Toc27517"/>
      <w:r>
        <w:rPr>
          <w:rFonts w:hint="eastAsia" w:ascii="黑体" w:hAnsi="黑体" w:eastAsia="黑体" w:cs="黑体"/>
          <w:bCs/>
          <w:szCs w:val="21"/>
        </w:rPr>
        <w:t>一般规定</w:t>
      </w:r>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7.1.1</w:t>
      </w:r>
      <w:r>
        <w:rPr>
          <w:rFonts w:hint="eastAsia" w:ascii="宋体" w:hAnsi="宋体" w:eastAsia="宋体" w:cs="宋体"/>
          <w:color w:val="000000"/>
          <w:szCs w:val="21"/>
        </w:rPr>
        <w:t xml:space="preserve"> 城镇道路开挖、回填、恢复快速施工工程验收应按基层以下部分、基层、沥青面层进行分项工程的验收和单位工程的竣工验收。城镇道路开挖、回填、恢复快速施工分部及分项工程划分见表5。</w:t>
      </w:r>
    </w:p>
    <w:p>
      <w:pPr>
        <w:pStyle w:val="138"/>
        <w:keepNext w:val="0"/>
        <w:keepLines w:val="0"/>
        <w:pageBreakBefore w:val="0"/>
        <w:widowControl/>
        <w:kinsoku/>
        <w:wordWrap/>
        <w:overflowPunct/>
        <w:topLinePunct w:val="0"/>
        <w:autoSpaceDE/>
        <w:autoSpaceDN/>
        <w:bidi w:val="0"/>
        <w:adjustRightInd/>
        <w:snapToGrid/>
        <w:spacing w:line="240" w:lineRule="auto"/>
        <w:textAlignment w:val="auto"/>
        <w:rPr>
          <w:rFonts w:hint="eastAsia"/>
          <w:szCs w:val="21"/>
        </w:rPr>
      </w:pPr>
      <w:r>
        <w:rPr>
          <w:rFonts w:hint="eastAsia"/>
          <w:szCs w:val="21"/>
        </w:rPr>
        <w:t>城镇道路开挖、回填、恢复快速施工工程分部、分项工程划分</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4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40" w:type="dxa"/>
            <w:noWrap w:val="0"/>
            <w:vAlign w:val="top"/>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rFonts w:hint="eastAsia"/>
                <w:szCs w:val="21"/>
              </w:rPr>
              <w:t>分部工程</w:t>
            </w:r>
          </w:p>
        </w:tc>
        <w:tc>
          <w:tcPr>
            <w:tcW w:w="4702" w:type="dxa"/>
            <w:noWrap w:val="0"/>
            <w:vAlign w:val="top"/>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rFonts w:hint="eastAsia"/>
                <w:szCs w:val="21"/>
              </w:rPr>
              <w:t>分项工程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val="0"/>
            <w:vAlign w:val="top"/>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szCs w:val="21"/>
              </w:rPr>
            </w:pPr>
            <w:r>
              <w:rPr>
                <w:rFonts w:hint="eastAsia"/>
                <w:szCs w:val="21"/>
              </w:rPr>
              <w:t>道路开挖和快速回填</w:t>
            </w:r>
          </w:p>
        </w:tc>
        <w:tc>
          <w:tcPr>
            <w:tcW w:w="4702" w:type="dxa"/>
            <w:noWrap w:val="0"/>
            <w:vAlign w:val="top"/>
          </w:tcPr>
          <w:p>
            <w:pPr>
              <w:pStyle w:val="25"/>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Cs w:val="21"/>
              </w:rPr>
            </w:pPr>
            <w:r>
              <w:rPr>
                <w:rFonts w:hint="eastAsia"/>
                <w:szCs w:val="21"/>
              </w:rPr>
              <w:t>基层以下部分、基层、沥青面层</w:t>
            </w:r>
          </w:p>
        </w:tc>
      </w:tr>
    </w:tbl>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7.1.2</w:t>
      </w:r>
      <w:r>
        <w:rPr>
          <w:rFonts w:hint="eastAsia" w:ascii="宋体" w:hAnsi="宋体" w:eastAsia="宋体" w:cs="宋体"/>
          <w:color w:val="000000"/>
          <w:szCs w:val="21"/>
        </w:rPr>
        <w:t xml:space="preserve"> 城镇道路开挖、回填、恢复快速施工工程的分项工程，每条路或路段应划分为一个检验批。</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7.1.3</w:t>
      </w:r>
      <w:r>
        <w:rPr>
          <w:rFonts w:hint="eastAsia" w:ascii="宋体" w:hAnsi="宋体" w:eastAsia="宋体" w:cs="宋体"/>
          <w:color w:val="000000"/>
          <w:szCs w:val="21"/>
        </w:rPr>
        <w:t xml:space="preserve"> 涉及结构安全和使用功能的试块、试件和现场检测项目，监理工程师应进行平行检验、见证取样检测并确认合格。</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7.1.4</w:t>
      </w:r>
      <w:r>
        <w:rPr>
          <w:rFonts w:hint="eastAsia" w:ascii="宋体" w:hAnsi="宋体" w:eastAsia="宋体" w:cs="宋体"/>
          <w:color w:val="000000"/>
          <w:szCs w:val="21"/>
        </w:rPr>
        <w:t xml:space="preserve"> 开挖与支护施工、管道安装施工的质量验收应符合《给水排水管道工程施工及验收规范》（GB 50268）、《城镇燃气输配工程施工及验收规范》（CJJ33）、《城镇供热直埋热水管道技术规程》（CJJ/T 81）、《通信管道工程施工及验收标准》（GB/T50374）的要求。</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7.1.5</w:t>
      </w:r>
      <w:r>
        <w:rPr>
          <w:rFonts w:hint="eastAsia" w:ascii="宋体" w:hAnsi="宋体" w:eastAsia="宋体" w:cs="宋体"/>
          <w:color w:val="000000"/>
          <w:szCs w:val="21"/>
        </w:rPr>
        <w:t xml:space="preserve"> 工程完工后，施工单位应进行自检，并在自检合格的基础上，将竣工资料、自检结果报监理单位申请验收。监理单位应在预验收合格后报建设单位申请正式验收。</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7.1.6</w:t>
      </w:r>
      <w:r>
        <w:rPr>
          <w:rFonts w:hint="eastAsia" w:ascii="宋体" w:hAnsi="宋体" w:eastAsia="宋体" w:cs="宋体"/>
          <w:color w:val="000000"/>
          <w:szCs w:val="21"/>
        </w:rPr>
        <w:t xml:space="preserve"> 建设单位负责人应组织设计、施工、监理等有关单位的项目负责人进行工程竣工验收。</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7.1.7</w:t>
      </w:r>
      <w:r>
        <w:rPr>
          <w:rFonts w:hint="eastAsia" w:ascii="宋体" w:hAnsi="宋体" w:eastAsia="宋体" w:cs="宋体"/>
          <w:color w:val="000000"/>
          <w:szCs w:val="21"/>
        </w:rPr>
        <w:t xml:space="preserve"> 所有验收应做好记录，形成完整的施工资料档案，以备核查。</w:t>
      </w:r>
    </w:p>
    <w:p>
      <w:pPr>
        <w:pStyle w:val="54"/>
        <w:spacing w:before="156" w:after="156"/>
        <w:ind w:left="2"/>
        <w:rPr>
          <w:rFonts w:ascii="黑体" w:hAnsi="黑体" w:eastAsia="黑体" w:cs="黑体"/>
          <w:bCs/>
          <w:szCs w:val="21"/>
        </w:rPr>
      </w:pPr>
      <w:bookmarkStart w:id="119" w:name="_Toc11442"/>
      <w:r>
        <w:rPr>
          <w:rFonts w:hint="eastAsia" w:ascii="黑体" w:hAnsi="黑体" w:eastAsia="黑体" w:cs="黑体"/>
          <w:bCs/>
          <w:szCs w:val="21"/>
        </w:rPr>
        <w:t>基层以下部分</w:t>
      </w:r>
      <w:bookmarkEnd w:id="119"/>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黑体"/>
          <w:bCs/>
          <w:szCs w:val="21"/>
        </w:rPr>
      </w:pPr>
      <w:bookmarkStart w:id="120" w:name="_Toc24732"/>
      <w:r>
        <w:rPr>
          <w:rFonts w:eastAsia="黑体"/>
          <w:bCs/>
          <w:szCs w:val="21"/>
        </w:rPr>
        <w:t>Ⅰ</w:t>
      </w:r>
      <w:r>
        <w:rPr>
          <w:rFonts w:hint="eastAsia" w:eastAsia="黑体"/>
          <w:bCs/>
          <w:szCs w:val="21"/>
        </w:rPr>
        <w:t xml:space="preserve"> </w:t>
      </w:r>
      <w:r>
        <w:rPr>
          <w:rFonts w:eastAsia="黑体"/>
          <w:bCs/>
          <w:szCs w:val="21"/>
        </w:rPr>
        <w:t>主控项目</w:t>
      </w:r>
      <w:bookmarkEnd w:id="120"/>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7.2.1</w:t>
      </w:r>
      <w:r>
        <w:rPr>
          <w:rFonts w:hint="eastAsia" w:ascii="宋体" w:hAnsi="宋体" w:eastAsia="宋体" w:cs="宋体"/>
          <w:color w:val="000000"/>
          <w:szCs w:val="21"/>
        </w:rPr>
        <w:t xml:space="preserve"> 基层以下部分管道回填料质量应符合下列要求：</w:t>
      </w:r>
    </w:p>
    <w:p>
      <w:pPr>
        <w:pStyle w:val="60"/>
        <w:numPr>
          <w:ilvl w:val="0"/>
          <w:numId w:val="32"/>
        </w:numPr>
        <w:rPr>
          <w:rFonts w:hint="eastAsia" w:ascii="宋体" w:hAnsi="宋体" w:eastAsia="宋体" w:cs="宋体"/>
          <w:color w:val="000000"/>
          <w:szCs w:val="21"/>
        </w:rPr>
      </w:pPr>
      <w:r>
        <w:rPr>
          <w:rFonts w:hint="eastAsia" w:ascii="宋体" w:hAnsi="宋体" w:eastAsia="宋体" w:cs="宋体"/>
          <w:color w:val="000000"/>
          <w:szCs w:val="21"/>
        </w:rPr>
        <w:t>水泥质量应符合本标准5.2.1的规定。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检查数量：每批次抽检1次（每400t为1批次）。</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检验方法：检查出厂合格证和抽样检验报告。</w:t>
      </w:r>
    </w:p>
    <w:p>
      <w:pPr>
        <w:pStyle w:val="60"/>
        <w:numPr>
          <w:ilvl w:val="0"/>
          <w:numId w:val="32"/>
        </w:numPr>
        <w:rPr>
          <w:rFonts w:hint="eastAsia" w:ascii="宋体" w:hAnsi="宋体" w:eastAsia="宋体" w:cs="宋体"/>
          <w:color w:val="000000"/>
          <w:szCs w:val="21"/>
        </w:rPr>
      </w:pPr>
      <w:r>
        <w:rPr>
          <w:rFonts w:hint="eastAsia" w:ascii="宋体" w:hAnsi="宋体" w:eastAsia="宋体" w:cs="宋体"/>
          <w:color w:val="000000"/>
          <w:szCs w:val="21"/>
        </w:rPr>
        <w:t>粒料质量应符合本标准5.2.1的规定。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检查数量：每批次抽检1次（每600t为1批次）</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检验方法：检查抽样检验报告。</w:t>
      </w:r>
    </w:p>
    <w:p>
      <w:pPr>
        <w:pStyle w:val="60"/>
        <w:numPr>
          <w:ilvl w:val="0"/>
          <w:numId w:val="32"/>
        </w:numPr>
        <w:rPr>
          <w:rFonts w:hint="eastAsia" w:ascii="宋体" w:hAnsi="宋体" w:eastAsia="宋体" w:cs="宋体"/>
          <w:color w:val="000000"/>
          <w:szCs w:val="21"/>
        </w:rPr>
      </w:pPr>
      <w:r>
        <w:rPr>
          <w:rFonts w:hint="eastAsia" w:ascii="宋体" w:hAnsi="宋体" w:eastAsia="宋体" w:cs="宋体"/>
          <w:color w:val="000000"/>
          <w:szCs w:val="21"/>
        </w:rPr>
        <w:t>回填料用固化剂质量应符合本标准5.2.1的规定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检查数量：按进场批次抽检，每批1次。</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检验方法：检查出厂合格证和抽样检验报告。</w:t>
      </w:r>
    </w:p>
    <w:p>
      <w:pPr>
        <w:pStyle w:val="60"/>
        <w:numPr>
          <w:ilvl w:val="0"/>
          <w:numId w:val="32"/>
        </w:numPr>
        <w:rPr>
          <w:rFonts w:hint="eastAsia" w:ascii="宋体" w:hAnsi="宋体" w:eastAsia="宋体" w:cs="宋体"/>
          <w:color w:val="000000"/>
          <w:szCs w:val="21"/>
        </w:rPr>
      </w:pPr>
      <w:r>
        <w:rPr>
          <w:rFonts w:hint="eastAsia" w:ascii="宋体" w:hAnsi="宋体" w:eastAsia="宋体" w:cs="宋体"/>
          <w:color w:val="000000"/>
          <w:szCs w:val="21"/>
        </w:rPr>
        <w:t>管道回填料28d无侧限抗压强度应不小于2.5MPa；坍落度应不小于100mm，且不大于160mm。</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检查数量：每批次抽检1次（相同使用层位、规格的回填料，每400t为1批次）。</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检验方法：检查出厂合格证和抽样检验报告。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黑体"/>
          <w:bCs/>
          <w:szCs w:val="21"/>
        </w:rPr>
      </w:pPr>
      <w:bookmarkStart w:id="121" w:name="_Toc29680"/>
      <w:r>
        <w:rPr>
          <w:rFonts w:eastAsia="黑体"/>
          <w:bCs/>
          <w:szCs w:val="21"/>
        </w:rPr>
        <w:t>Ⅱ</w:t>
      </w:r>
      <w:r>
        <w:rPr>
          <w:rFonts w:hint="eastAsia" w:eastAsia="黑体"/>
          <w:bCs/>
          <w:szCs w:val="21"/>
        </w:rPr>
        <w:t xml:space="preserve"> </w:t>
      </w:r>
      <w:r>
        <w:rPr>
          <w:rFonts w:eastAsia="黑体"/>
          <w:bCs/>
          <w:szCs w:val="21"/>
        </w:rPr>
        <w:t>一般项目</w:t>
      </w:r>
      <w:bookmarkEnd w:id="121"/>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7.2.2</w:t>
      </w:r>
      <w:r>
        <w:rPr>
          <w:rFonts w:hint="eastAsia" w:ascii="宋体" w:hAnsi="宋体" w:eastAsia="宋体" w:cs="宋体"/>
          <w:color w:val="000000"/>
          <w:szCs w:val="21"/>
        </w:rPr>
        <w:t xml:space="preserve"> 基层以下部分快速回填质量应符合以下规定：</w:t>
      </w:r>
    </w:p>
    <w:p>
      <w:pPr>
        <w:pStyle w:val="60"/>
        <w:numPr>
          <w:ilvl w:val="0"/>
          <w:numId w:val="33"/>
        </w:numPr>
        <w:rPr>
          <w:rFonts w:hint="eastAsia" w:ascii="宋体" w:hAnsi="宋体" w:eastAsia="宋体" w:cs="宋体"/>
          <w:color w:val="000000"/>
          <w:szCs w:val="21"/>
        </w:rPr>
      </w:pPr>
      <w:r>
        <w:rPr>
          <w:rFonts w:hint="eastAsia" w:ascii="宋体" w:hAnsi="宋体" w:eastAsia="宋体" w:cs="宋体"/>
          <w:color w:val="000000"/>
          <w:szCs w:val="21"/>
        </w:rPr>
        <w:t>施工中分段回填沟槽长度、振捣器插点间距、振捣时间及表面泛浆情况、柔性管道变形率等应符合本标准6.2.7和6.2.8的规定。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检查数量：全数检查。</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检验方法：检查每日施工记录。</w:t>
      </w:r>
    </w:p>
    <w:p>
      <w:pPr>
        <w:pStyle w:val="60"/>
        <w:numPr>
          <w:ilvl w:val="0"/>
          <w:numId w:val="33"/>
        </w:numPr>
        <w:rPr>
          <w:rFonts w:hint="eastAsia" w:ascii="宋体" w:hAnsi="宋体" w:eastAsia="宋体" w:cs="宋体"/>
          <w:color w:val="000000"/>
          <w:szCs w:val="21"/>
        </w:rPr>
      </w:pPr>
      <w:r>
        <w:rPr>
          <w:rFonts w:hint="eastAsia" w:ascii="宋体" w:hAnsi="宋体" w:eastAsia="宋体" w:cs="宋体"/>
          <w:color w:val="000000"/>
          <w:szCs w:val="21"/>
        </w:rPr>
        <w:t>施工后基层底部高程应符合设计规定，允许偏差值-20mm~+10mm。</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检查数量：每100m检测1点。</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检验方法：检查隐蔽工程验收记录。</w:t>
      </w:r>
    </w:p>
    <w:p>
      <w:pPr>
        <w:pStyle w:val="54"/>
        <w:spacing w:before="156" w:after="156"/>
        <w:ind w:left="2"/>
        <w:rPr>
          <w:rFonts w:ascii="黑体" w:hAnsi="黑体" w:eastAsia="黑体" w:cs="黑体"/>
          <w:bCs/>
          <w:szCs w:val="21"/>
        </w:rPr>
      </w:pPr>
      <w:bookmarkStart w:id="122" w:name="_Toc11179"/>
      <w:r>
        <w:rPr>
          <w:rFonts w:hint="eastAsia" w:ascii="黑体" w:hAnsi="黑体" w:eastAsia="黑体" w:cs="黑体"/>
          <w:bCs/>
          <w:szCs w:val="21"/>
        </w:rPr>
        <w:t>基层</w:t>
      </w:r>
      <w:bookmarkEnd w:id="122"/>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黑体"/>
          <w:bCs/>
          <w:szCs w:val="21"/>
        </w:rPr>
      </w:pPr>
      <w:bookmarkStart w:id="123" w:name="_Toc29317"/>
      <w:r>
        <w:rPr>
          <w:rFonts w:eastAsia="黑体"/>
          <w:bCs/>
          <w:szCs w:val="21"/>
        </w:rPr>
        <w:t>Ⅰ</w:t>
      </w:r>
      <w:r>
        <w:rPr>
          <w:rFonts w:hint="eastAsia" w:eastAsia="黑体"/>
          <w:bCs/>
          <w:szCs w:val="21"/>
        </w:rPr>
        <w:t xml:space="preserve"> </w:t>
      </w:r>
      <w:r>
        <w:rPr>
          <w:rFonts w:eastAsia="黑体"/>
          <w:bCs/>
          <w:szCs w:val="21"/>
        </w:rPr>
        <w:t>主控项目</w:t>
      </w:r>
      <w:bookmarkEnd w:id="123"/>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7.3.1</w:t>
      </w:r>
      <w:r>
        <w:rPr>
          <w:rFonts w:hint="eastAsia" w:ascii="宋体" w:hAnsi="宋体" w:eastAsia="宋体" w:cs="宋体"/>
          <w:color w:val="000000"/>
          <w:szCs w:val="21"/>
        </w:rPr>
        <w:t xml:space="preserve"> 基层管道回填料质量应符合下列要求：</w:t>
      </w:r>
    </w:p>
    <w:p>
      <w:pPr>
        <w:pStyle w:val="60"/>
        <w:numPr>
          <w:ilvl w:val="0"/>
          <w:numId w:val="34"/>
        </w:numPr>
        <w:rPr>
          <w:rFonts w:hint="eastAsia" w:ascii="宋体" w:hAnsi="宋体" w:eastAsia="宋体" w:cs="宋体"/>
          <w:color w:val="000000"/>
          <w:szCs w:val="21"/>
        </w:rPr>
      </w:pPr>
      <w:r>
        <w:rPr>
          <w:rFonts w:hint="eastAsia" w:ascii="宋体" w:hAnsi="宋体" w:eastAsia="宋体" w:cs="宋体"/>
          <w:color w:val="000000"/>
          <w:szCs w:val="21"/>
        </w:rPr>
        <w:t>水泥、粒料、回填料用固化剂的质量应符合本标准5.2.1的规定。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检查数量：符合本标准7.2.1的规定。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检验方法：符合本标准7.2.1的规定</w:t>
      </w:r>
    </w:p>
    <w:p>
      <w:pPr>
        <w:pStyle w:val="60"/>
        <w:numPr>
          <w:ilvl w:val="0"/>
          <w:numId w:val="34"/>
        </w:numPr>
        <w:rPr>
          <w:rFonts w:hint="eastAsia" w:ascii="宋体" w:hAnsi="宋体" w:eastAsia="宋体" w:cs="宋体"/>
          <w:color w:val="000000"/>
          <w:szCs w:val="21"/>
        </w:rPr>
      </w:pPr>
      <w:r>
        <w:rPr>
          <w:rFonts w:hint="eastAsia" w:ascii="宋体" w:hAnsi="宋体" w:eastAsia="宋体" w:cs="宋体"/>
          <w:color w:val="000000"/>
          <w:szCs w:val="21"/>
        </w:rPr>
        <w:t>管道回填料28d无侧限抗压强度应不小于2.5MPa；坍落度应不小于100mm，且不大于160mm。</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检查数量：每批次抽检1次（相同使用层位、规格的回填料，每400t为1批次）。</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检验方法：检查出厂合格证和抽样检验报告。</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7.3.2</w:t>
      </w:r>
      <w:r>
        <w:rPr>
          <w:rFonts w:hint="eastAsia" w:ascii="宋体" w:hAnsi="宋体" w:eastAsia="宋体" w:cs="宋体"/>
          <w:color w:val="000000"/>
          <w:szCs w:val="21"/>
        </w:rPr>
        <w:t xml:space="preserve"> 基层管道回填料施工中振捣、烘烤作业应符合本标准6.2.9的规定。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检查数量：全数检查。</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检验方法：检查每日施工记录。</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7.3.3</w:t>
      </w:r>
      <w:r>
        <w:rPr>
          <w:rFonts w:hint="eastAsia" w:ascii="宋体" w:hAnsi="宋体" w:eastAsia="宋体" w:cs="宋体"/>
          <w:color w:val="000000"/>
          <w:szCs w:val="21"/>
        </w:rPr>
        <w:t xml:space="preserve"> 道路基层回填料质量应符合下列要求：</w:t>
      </w:r>
    </w:p>
    <w:p>
      <w:pPr>
        <w:pStyle w:val="60"/>
        <w:numPr>
          <w:ilvl w:val="0"/>
          <w:numId w:val="35"/>
        </w:numPr>
        <w:rPr>
          <w:rFonts w:hint="eastAsia" w:ascii="宋体" w:hAnsi="宋体" w:eastAsia="宋体" w:cs="宋体"/>
          <w:color w:val="000000"/>
          <w:szCs w:val="21"/>
        </w:rPr>
      </w:pPr>
      <w:r>
        <w:rPr>
          <w:rFonts w:hint="eastAsia" w:ascii="宋体" w:hAnsi="宋体" w:eastAsia="宋体" w:cs="宋体"/>
          <w:color w:val="000000"/>
          <w:szCs w:val="21"/>
        </w:rPr>
        <w:t>水泥、回填料用固化剂的质量应符合本标准5.2.5的规定。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检查数量：符合本标准7.2.1的规定。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检验方法：符合本标准7.2.1的规定</w:t>
      </w:r>
    </w:p>
    <w:p>
      <w:pPr>
        <w:pStyle w:val="60"/>
        <w:numPr>
          <w:ilvl w:val="0"/>
          <w:numId w:val="35"/>
        </w:numPr>
        <w:rPr>
          <w:rFonts w:hint="eastAsia" w:ascii="宋体" w:hAnsi="宋体" w:eastAsia="宋体" w:cs="宋体"/>
          <w:color w:val="000000"/>
          <w:szCs w:val="21"/>
        </w:rPr>
      </w:pPr>
      <w:r>
        <w:rPr>
          <w:rFonts w:hint="eastAsia" w:ascii="宋体" w:hAnsi="宋体" w:eastAsia="宋体" w:cs="宋体"/>
          <w:color w:val="000000"/>
          <w:szCs w:val="21"/>
        </w:rPr>
        <w:t>粒料质量应符合本标准5.2.5的规定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检查数量：每批次抽检1次（每600t为1批次）</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检验方法：检查抽样检验报告。</w:t>
      </w:r>
    </w:p>
    <w:p>
      <w:pPr>
        <w:pStyle w:val="60"/>
        <w:numPr>
          <w:ilvl w:val="0"/>
          <w:numId w:val="35"/>
        </w:numPr>
        <w:rPr>
          <w:rFonts w:hint="eastAsia" w:ascii="宋体" w:hAnsi="宋体" w:eastAsia="宋体" w:cs="宋体"/>
          <w:color w:val="000000"/>
          <w:szCs w:val="21"/>
        </w:rPr>
      </w:pPr>
      <w:r>
        <w:rPr>
          <w:rFonts w:hint="eastAsia" w:ascii="宋体" w:hAnsi="宋体" w:eastAsia="宋体" w:cs="宋体"/>
          <w:color w:val="000000"/>
          <w:szCs w:val="21"/>
        </w:rPr>
        <w:t>道路基层回填料7d无侧限抗压强度应符合本标准5.2.6的规定。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检查数量：每2000㎡抽检1组(每组6块试件)。</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检验方法：检查出厂合格证和抽样检验报告。</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7.3.4</w:t>
      </w:r>
      <w:r>
        <w:rPr>
          <w:rFonts w:hint="eastAsia" w:ascii="宋体" w:hAnsi="宋体" w:eastAsia="宋体" w:cs="宋体"/>
          <w:color w:val="000000"/>
          <w:szCs w:val="21"/>
        </w:rPr>
        <w:t xml:space="preserve"> 道路基层回填料摊铺碾压后，城市快速路、主干路基层压实度应不小于97%；其他等级道路基层压实度应不小于95%。</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检查数量：每1000㎡，每压实层抽查1点。</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检验方法：灌砂法，检查检测报告。</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7.3.5</w:t>
      </w:r>
      <w:r>
        <w:rPr>
          <w:rFonts w:hint="eastAsia" w:ascii="宋体" w:hAnsi="宋体" w:eastAsia="宋体" w:cs="宋体"/>
          <w:color w:val="000000"/>
          <w:szCs w:val="21"/>
        </w:rPr>
        <w:t xml:space="preserve"> 基层平整度应不大于8mm。</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检查数量：每100m检测2点。</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color w:val="000000"/>
          <w:szCs w:val="21"/>
        </w:rPr>
      </w:pPr>
      <w:r>
        <w:rPr>
          <w:rFonts w:hint="eastAsia" w:ascii="宋体" w:hAnsi="宋体" w:eastAsia="宋体" w:cs="宋体"/>
          <w:color w:val="000000"/>
          <w:szCs w:val="21"/>
        </w:rPr>
        <w:t>检验方法：3m靠尺，检查隐蔽工程验收记录。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黑体"/>
          <w:bCs/>
          <w:szCs w:val="21"/>
        </w:rPr>
      </w:pPr>
      <w:bookmarkStart w:id="124" w:name="_Toc19014"/>
      <w:r>
        <w:rPr>
          <w:rFonts w:eastAsia="黑体"/>
          <w:bCs/>
          <w:szCs w:val="21"/>
        </w:rPr>
        <w:t>Ⅱ</w:t>
      </w:r>
      <w:r>
        <w:rPr>
          <w:rFonts w:hint="eastAsia" w:eastAsia="黑体"/>
          <w:bCs/>
          <w:szCs w:val="21"/>
        </w:rPr>
        <w:t xml:space="preserve"> </w:t>
      </w:r>
      <w:r>
        <w:rPr>
          <w:rFonts w:eastAsia="黑体"/>
          <w:bCs/>
          <w:szCs w:val="21"/>
        </w:rPr>
        <w:t>一般项目</w:t>
      </w:r>
      <w:bookmarkEnd w:id="124"/>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color w:val="000000"/>
          <w:szCs w:val="21"/>
        </w:rPr>
      </w:pPr>
      <w:r>
        <w:rPr>
          <w:rFonts w:hint="eastAsia" w:ascii="黑体" w:hAnsi="黑体" w:eastAsia="黑体" w:cs="黑体"/>
          <w:color w:val="000000"/>
          <w:szCs w:val="21"/>
        </w:rPr>
        <w:t>7.3.6</w:t>
      </w:r>
      <w:r>
        <w:rPr>
          <w:rFonts w:hint="eastAsia"/>
          <w:color w:val="000000"/>
          <w:szCs w:val="21"/>
        </w:rPr>
        <w:t xml:space="preserve"> 基层表面应平整、坚实、接缝平顺，无明显粗、细骨料离析现象，无推移、裂缝、贴皮、松散、浮料等。</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color w:val="000000"/>
          <w:szCs w:val="21"/>
        </w:rPr>
      </w:pPr>
      <w:r>
        <w:rPr>
          <w:rFonts w:hint="eastAsia"/>
          <w:color w:val="000000"/>
          <w:szCs w:val="21"/>
        </w:rPr>
        <w:t>检查数量：全数检查。</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color w:val="000000"/>
          <w:szCs w:val="21"/>
        </w:rPr>
      </w:pPr>
      <w:r>
        <w:rPr>
          <w:rFonts w:hint="eastAsia"/>
          <w:color w:val="000000"/>
          <w:szCs w:val="21"/>
        </w:rPr>
        <w:t>检验方法：观察检查。</w:t>
      </w:r>
    </w:p>
    <w:p>
      <w:pPr>
        <w:pStyle w:val="54"/>
        <w:spacing w:before="156" w:after="156"/>
        <w:ind w:left="2"/>
        <w:rPr>
          <w:rFonts w:ascii="黑体" w:hAnsi="黑体" w:eastAsia="黑体" w:cs="黑体"/>
          <w:bCs/>
          <w:szCs w:val="21"/>
        </w:rPr>
      </w:pPr>
      <w:bookmarkStart w:id="125" w:name="_Toc6852"/>
      <w:r>
        <w:rPr>
          <w:rFonts w:hint="eastAsia" w:ascii="黑体" w:hAnsi="黑体" w:eastAsia="黑体" w:cs="黑体"/>
          <w:bCs/>
          <w:szCs w:val="21"/>
        </w:rPr>
        <w:t>沥青面层</w:t>
      </w:r>
      <w:bookmarkEnd w:id="125"/>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黑体"/>
          <w:bCs/>
          <w:szCs w:val="21"/>
        </w:rPr>
      </w:pPr>
      <w:bookmarkStart w:id="126" w:name="_Toc19445"/>
      <w:r>
        <w:rPr>
          <w:rFonts w:eastAsia="黑体"/>
          <w:bCs/>
          <w:szCs w:val="21"/>
        </w:rPr>
        <w:t>Ⅰ</w:t>
      </w:r>
      <w:r>
        <w:rPr>
          <w:rFonts w:hint="eastAsia" w:eastAsia="黑体"/>
          <w:bCs/>
          <w:szCs w:val="21"/>
        </w:rPr>
        <w:t xml:space="preserve"> </w:t>
      </w:r>
      <w:r>
        <w:rPr>
          <w:rFonts w:eastAsia="黑体"/>
          <w:bCs/>
          <w:szCs w:val="21"/>
        </w:rPr>
        <w:t>主控项目</w:t>
      </w:r>
      <w:bookmarkEnd w:id="126"/>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7.4.1</w:t>
      </w:r>
      <w:r>
        <w:rPr>
          <w:rFonts w:hint="eastAsia" w:ascii="宋体" w:hAnsi="宋体" w:eastAsia="宋体" w:cs="宋体"/>
          <w:color w:val="000000"/>
          <w:szCs w:val="21"/>
        </w:rPr>
        <w:t xml:space="preserve"> 沥青面层质量应符合下列要求：</w:t>
      </w:r>
    </w:p>
    <w:p>
      <w:pPr>
        <w:pStyle w:val="60"/>
        <w:numPr>
          <w:ilvl w:val="0"/>
          <w:numId w:val="36"/>
        </w:numPr>
        <w:rPr>
          <w:rFonts w:hint="eastAsia" w:ascii="宋体" w:hAnsi="宋体" w:eastAsia="宋体" w:cs="宋体"/>
          <w:color w:val="000000"/>
          <w:szCs w:val="21"/>
        </w:rPr>
      </w:pPr>
      <w:r>
        <w:rPr>
          <w:rFonts w:hint="eastAsia" w:ascii="宋体" w:hAnsi="宋体" w:eastAsia="宋体" w:cs="宋体"/>
          <w:color w:val="000000"/>
          <w:szCs w:val="21"/>
        </w:rPr>
        <w:t>沥青混合料应符合本标准5.3的规定。</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检查数量：每日、每品种检查1次。</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检验方法：检查出场合格证和抽样检验报告。</w:t>
      </w:r>
    </w:p>
    <w:p>
      <w:pPr>
        <w:pStyle w:val="60"/>
        <w:numPr>
          <w:ilvl w:val="0"/>
          <w:numId w:val="36"/>
        </w:numPr>
        <w:rPr>
          <w:rFonts w:hint="eastAsia" w:ascii="宋体" w:hAnsi="宋体" w:eastAsia="宋体" w:cs="宋体"/>
          <w:color w:val="000000"/>
          <w:szCs w:val="21"/>
        </w:rPr>
      </w:pPr>
      <w:r>
        <w:rPr>
          <w:rFonts w:hint="eastAsia" w:ascii="宋体" w:hAnsi="宋体" w:eastAsia="宋体" w:cs="宋体"/>
          <w:color w:val="000000"/>
          <w:szCs w:val="21"/>
        </w:rPr>
        <w:t>平整度，最大间隙不大于5mm。</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检查数量：每20m检测1处，每处连续量取两尺，取最大值。</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检验方法：3m靠尺，检查检测记录。</w:t>
      </w:r>
    </w:p>
    <w:p>
      <w:pPr>
        <w:pStyle w:val="60"/>
        <w:numPr>
          <w:ilvl w:val="0"/>
          <w:numId w:val="36"/>
        </w:numPr>
        <w:rPr>
          <w:rFonts w:hint="eastAsia" w:ascii="宋体" w:hAnsi="宋体" w:eastAsia="宋体" w:cs="宋体"/>
          <w:color w:val="000000"/>
          <w:szCs w:val="21"/>
        </w:rPr>
      </w:pPr>
      <w:r>
        <w:rPr>
          <w:rFonts w:hint="eastAsia" w:ascii="宋体" w:hAnsi="宋体" w:eastAsia="宋体" w:cs="宋体"/>
          <w:color w:val="000000"/>
          <w:szCs w:val="21"/>
        </w:rPr>
        <w:t>压实度，对城市快速路、主干路不得小于96％；对次干路及以下道路，不得小于95％。</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检测数量：每1000m</w:t>
      </w:r>
      <w:r>
        <w:rPr>
          <w:rFonts w:hint="eastAsia" w:ascii="宋体" w:hAnsi="宋体" w:eastAsia="宋体" w:cs="宋体"/>
          <w:color w:val="000000"/>
          <w:szCs w:val="21"/>
          <w:vertAlign w:val="superscript"/>
        </w:rPr>
        <w:t>2</w:t>
      </w:r>
      <w:r>
        <w:rPr>
          <w:rFonts w:hint="eastAsia" w:ascii="宋体" w:hAnsi="宋体" w:eastAsia="宋体" w:cs="宋体"/>
          <w:color w:val="000000"/>
          <w:szCs w:val="21"/>
        </w:rPr>
        <w:t>测1处。</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检测方法：钻芯，检查检测报告（马歇尔击实试件密度，试验室标准密度）。</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黑体"/>
          <w:bCs/>
          <w:szCs w:val="21"/>
        </w:rPr>
      </w:pPr>
      <w:bookmarkStart w:id="127" w:name="_Toc4756"/>
      <w:r>
        <w:rPr>
          <w:rFonts w:eastAsia="黑体"/>
          <w:bCs/>
          <w:szCs w:val="21"/>
        </w:rPr>
        <w:t>Ⅱ</w:t>
      </w:r>
      <w:r>
        <w:rPr>
          <w:rFonts w:hint="eastAsia" w:eastAsia="黑体"/>
          <w:bCs/>
          <w:szCs w:val="21"/>
        </w:rPr>
        <w:t xml:space="preserve"> </w:t>
      </w:r>
      <w:r>
        <w:rPr>
          <w:rFonts w:eastAsia="黑体"/>
          <w:bCs/>
          <w:szCs w:val="21"/>
        </w:rPr>
        <w:t>一般项目</w:t>
      </w:r>
      <w:bookmarkEnd w:id="127"/>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7.4.2</w:t>
      </w:r>
      <w:r>
        <w:rPr>
          <w:rFonts w:hint="eastAsia" w:ascii="宋体" w:hAnsi="宋体" w:eastAsia="宋体" w:cs="宋体"/>
          <w:color w:val="000000"/>
          <w:szCs w:val="21"/>
        </w:rPr>
        <w:t xml:space="preserve"> 沥青面层质量应符合下列要求：</w:t>
      </w:r>
    </w:p>
    <w:p>
      <w:pPr>
        <w:pStyle w:val="60"/>
        <w:numPr>
          <w:ilvl w:val="0"/>
          <w:numId w:val="37"/>
        </w:numPr>
        <w:rPr>
          <w:rFonts w:hint="eastAsia" w:ascii="宋体" w:hAnsi="宋体" w:eastAsia="宋体" w:cs="宋体"/>
          <w:color w:val="000000"/>
          <w:szCs w:val="21"/>
        </w:rPr>
      </w:pPr>
      <w:r>
        <w:rPr>
          <w:rFonts w:hint="eastAsia" w:ascii="宋体" w:hAnsi="宋体" w:eastAsia="宋体" w:cs="宋体"/>
          <w:color w:val="000000"/>
          <w:szCs w:val="21"/>
        </w:rPr>
        <w:t>沥青路面外观应平整、密实，接缝紧密，不应有明显轮迹、推挤、裂缝、脱落、烂边、油斑、离析等缺陷。</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检查数量：全数检查。</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检验方法：观察检查。</w:t>
      </w:r>
    </w:p>
    <w:p>
      <w:pPr>
        <w:pStyle w:val="60"/>
        <w:numPr>
          <w:ilvl w:val="0"/>
          <w:numId w:val="37"/>
        </w:numPr>
        <w:rPr>
          <w:rFonts w:hint="eastAsia" w:ascii="宋体" w:hAnsi="宋体" w:eastAsia="宋体" w:cs="宋体"/>
          <w:color w:val="000000"/>
          <w:szCs w:val="21"/>
        </w:rPr>
      </w:pPr>
      <w:r>
        <w:rPr>
          <w:rFonts w:hint="eastAsia" w:ascii="宋体" w:hAnsi="宋体" w:eastAsia="宋体" w:cs="宋体"/>
          <w:color w:val="000000"/>
          <w:szCs w:val="21"/>
        </w:rPr>
        <w:t>沥青面层厚度应符合设计规定，允许偏差值+10~-5mm。</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检查数量：每1000㎡测1点。</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检验方法：钻芯，用钢尺测量，检查检测记录。</w:t>
      </w:r>
    </w:p>
    <w:p>
      <w:pPr>
        <w:pStyle w:val="54"/>
        <w:spacing w:before="156" w:after="156"/>
        <w:ind w:left="2"/>
        <w:rPr>
          <w:rFonts w:ascii="黑体" w:hAnsi="黑体" w:eastAsia="黑体" w:cs="黑体"/>
          <w:bCs/>
          <w:szCs w:val="21"/>
        </w:rPr>
      </w:pPr>
      <w:bookmarkStart w:id="128" w:name="_Toc10648"/>
      <w:r>
        <w:rPr>
          <w:rFonts w:hint="eastAsia" w:ascii="黑体" w:hAnsi="黑体" w:eastAsia="黑体" w:cs="黑体"/>
          <w:bCs/>
          <w:szCs w:val="21"/>
        </w:rPr>
        <w:t>道路开挖和快速回填分部工程</w:t>
      </w:r>
      <w:bookmarkEnd w:id="128"/>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7.5.1</w:t>
      </w:r>
      <w:r>
        <w:rPr>
          <w:rFonts w:hint="eastAsia" w:ascii="宋体" w:hAnsi="宋体" w:eastAsia="宋体" w:cs="宋体"/>
          <w:color w:val="000000"/>
          <w:szCs w:val="21"/>
        </w:rPr>
        <w:t xml:space="preserve"> 城镇道路开挖、回填、恢复快速施工质量应按下列要求进行验收：</w:t>
      </w:r>
    </w:p>
    <w:p>
      <w:pPr>
        <w:pStyle w:val="60"/>
        <w:numPr>
          <w:ilvl w:val="0"/>
          <w:numId w:val="38"/>
        </w:numPr>
        <w:rPr>
          <w:rFonts w:hint="eastAsia" w:ascii="宋体" w:hAnsi="宋体" w:eastAsia="宋体" w:cs="宋体"/>
          <w:color w:val="000000"/>
          <w:szCs w:val="21"/>
        </w:rPr>
      </w:pPr>
      <w:r>
        <w:rPr>
          <w:rFonts w:hint="eastAsia" w:ascii="宋体" w:hAnsi="宋体" w:eastAsia="宋体" w:cs="宋体"/>
          <w:color w:val="000000"/>
          <w:szCs w:val="21"/>
        </w:rPr>
        <w:t>工程施工质量应符合本规范、相关专业验收规范的规定和设计文件的要求。</w:t>
      </w:r>
    </w:p>
    <w:p>
      <w:pPr>
        <w:pStyle w:val="60"/>
        <w:numPr>
          <w:ilvl w:val="0"/>
          <w:numId w:val="38"/>
        </w:numPr>
        <w:rPr>
          <w:rFonts w:hint="eastAsia" w:ascii="宋体" w:hAnsi="宋体" w:eastAsia="宋体" w:cs="宋体"/>
          <w:color w:val="000000"/>
          <w:szCs w:val="21"/>
        </w:rPr>
      </w:pPr>
      <w:r>
        <w:rPr>
          <w:rFonts w:hint="eastAsia" w:ascii="宋体" w:hAnsi="宋体" w:eastAsia="宋体" w:cs="宋体"/>
          <w:color w:val="000000"/>
          <w:szCs w:val="21"/>
        </w:rPr>
        <w:t>隐蔽工程在隐蔽前，应由专业监理工程师负责验收，确认合格，并形成隐蔽验收文件（参见本标准附录A）。检验批应由专业监理工程师负责验收，并形成验收文件（参见本标准附录A）。</w:t>
      </w:r>
    </w:p>
    <w:p>
      <w:pPr>
        <w:pStyle w:val="60"/>
        <w:numPr>
          <w:ilvl w:val="0"/>
          <w:numId w:val="38"/>
        </w:numPr>
        <w:rPr>
          <w:rFonts w:hint="eastAsia" w:ascii="宋体" w:hAnsi="宋体" w:eastAsia="宋体" w:cs="宋体"/>
          <w:color w:val="000000"/>
          <w:szCs w:val="21"/>
        </w:rPr>
      </w:pPr>
      <w:r>
        <w:rPr>
          <w:rFonts w:hint="eastAsia" w:ascii="宋体" w:hAnsi="宋体" w:eastAsia="宋体" w:cs="宋体"/>
          <w:color w:val="000000"/>
          <w:szCs w:val="21"/>
        </w:rPr>
        <w:t>分项工程应由专业监理工程师组织施工单位项目专业质量（技术）负责人等进行验收，并形成验收记录（参见本标准附录A）。分部工程应由总监理工程师组织施工单位项目负责人和技术质量负责人等进行验收，并形成验收记录（参见本标准附录A）。</w:t>
      </w:r>
    </w:p>
    <w:p>
      <w:pPr>
        <w:pStyle w:val="60"/>
        <w:numPr>
          <w:ilvl w:val="0"/>
          <w:numId w:val="38"/>
        </w:numPr>
        <w:rPr>
          <w:rFonts w:hint="eastAsia" w:ascii="宋体" w:hAnsi="宋体" w:eastAsia="宋体" w:cs="宋体"/>
          <w:color w:val="000000"/>
          <w:szCs w:val="21"/>
        </w:rPr>
      </w:pPr>
      <w:r>
        <w:rPr>
          <w:rFonts w:hint="eastAsia" w:ascii="宋体" w:hAnsi="宋体" w:eastAsia="宋体" w:cs="宋体"/>
          <w:color w:val="000000"/>
          <w:szCs w:val="21"/>
        </w:rPr>
        <w:t>工程质量的验收均应在施工单位自行检查评定合格的基础上进行。</w:t>
      </w:r>
    </w:p>
    <w:p>
      <w:pPr>
        <w:pStyle w:val="60"/>
        <w:numPr>
          <w:ilvl w:val="0"/>
          <w:numId w:val="38"/>
        </w:numPr>
        <w:rPr>
          <w:rFonts w:hint="eastAsia" w:ascii="宋体" w:hAnsi="宋体" w:eastAsia="宋体" w:cs="宋体"/>
          <w:color w:val="000000"/>
          <w:szCs w:val="21"/>
        </w:rPr>
      </w:pPr>
      <w:r>
        <w:rPr>
          <w:rFonts w:hint="eastAsia" w:ascii="宋体" w:hAnsi="宋体" w:eastAsia="宋体" w:cs="宋体"/>
          <w:color w:val="000000"/>
          <w:szCs w:val="21"/>
        </w:rPr>
        <w:t>监理工程师应按规定对涉及结构安全的试块、试件和现场检测项目，进行平行检测、见证取样检测并确认合格。</w:t>
      </w:r>
    </w:p>
    <w:p>
      <w:pPr>
        <w:pStyle w:val="60"/>
        <w:numPr>
          <w:ilvl w:val="0"/>
          <w:numId w:val="38"/>
        </w:numPr>
        <w:rPr>
          <w:rFonts w:hint="eastAsia" w:ascii="宋体" w:hAnsi="宋体" w:eastAsia="宋体" w:cs="宋体"/>
          <w:color w:val="000000"/>
          <w:szCs w:val="21"/>
        </w:rPr>
      </w:pPr>
      <w:r>
        <w:rPr>
          <w:rFonts w:hint="eastAsia" w:ascii="宋体" w:hAnsi="宋体" w:eastAsia="宋体" w:cs="宋体"/>
          <w:color w:val="000000"/>
          <w:szCs w:val="21"/>
        </w:rPr>
        <w:t>工程的外观质量应由验收人员通过现场检查共同确认。</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7.5.2</w:t>
      </w:r>
      <w:r>
        <w:rPr>
          <w:rFonts w:hint="eastAsia" w:ascii="宋体" w:hAnsi="宋体" w:eastAsia="宋体" w:cs="宋体"/>
          <w:color w:val="000000"/>
          <w:szCs w:val="21"/>
        </w:rPr>
        <w:t xml:space="preserve"> 检验批质量验收合格应符合下列规定：</w:t>
      </w:r>
    </w:p>
    <w:p>
      <w:pPr>
        <w:pStyle w:val="60"/>
        <w:numPr>
          <w:ilvl w:val="0"/>
          <w:numId w:val="39"/>
        </w:numPr>
        <w:rPr>
          <w:rFonts w:hint="eastAsia" w:ascii="宋体" w:hAnsi="宋体" w:eastAsia="宋体" w:cs="宋体"/>
          <w:color w:val="000000"/>
          <w:szCs w:val="21"/>
        </w:rPr>
      </w:pPr>
      <w:r>
        <w:rPr>
          <w:rFonts w:hint="eastAsia" w:ascii="宋体" w:hAnsi="宋体" w:eastAsia="宋体" w:cs="宋体"/>
          <w:color w:val="000000"/>
          <w:szCs w:val="21"/>
        </w:rPr>
        <w:t>检验批按主控项目和一般项目验收</w:t>
      </w:r>
      <w:r>
        <w:rPr>
          <w:rFonts w:hint="eastAsia" w:ascii="宋体" w:hAnsi="宋体" w:eastAsia="宋体" w:cs="宋体"/>
          <w:color w:val="000000"/>
          <w:szCs w:val="21"/>
          <w:lang w:eastAsia="zh-CN"/>
        </w:rPr>
        <w:t>。</w:t>
      </w:r>
    </w:p>
    <w:p>
      <w:pPr>
        <w:pStyle w:val="60"/>
        <w:numPr>
          <w:ilvl w:val="0"/>
          <w:numId w:val="39"/>
        </w:numPr>
        <w:rPr>
          <w:rFonts w:hint="eastAsia" w:ascii="宋体" w:hAnsi="宋体" w:eastAsia="宋体" w:cs="宋体"/>
          <w:color w:val="000000"/>
          <w:szCs w:val="21"/>
        </w:rPr>
      </w:pPr>
      <w:r>
        <w:rPr>
          <w:rFonts w:hint="eastAsia" w:ascii="宋体" w:hAnsi="宋体" w:eastAsia="宋体" w:cs="宋体"/>
          <w:color w:val="000000"/>
          <w:szCs w:val="21"/>
        </w:rPr>
        <w:t>主控项目的质量应经抽样检验合格。</w:t>
      </w:r>
    </w:p>
    <w:p>
      <w:pPr>
        <w:pStyle w:val="60"/>
        <w:numPr>
          <w:ilvl w:val="0"/>
          <w:numId w:val="39"/>
        </w:numPr>
        <w:rPr>
          <w:rFonts w:hint="eastAsia" w:ascii="宋体" w:hAnsi="宋体" w:eastAsia="宋体" w:cs="宋体"/>
          <w:color w:val="000000"/>
          <w:szCs w:val="21"/>
        </w:rPr>
      </w:pPr>
      <w:r>
        <w:rPr>
          <w:rFonts w:hint="eastAsia" w:ascii="宋体" w:hAnsi="宋体" w:eastAsia="宋体" w:cs="宋体"/>
          <w:color w:val="000000"/>
          <w:szCs w:val="21"/>
        </w:rPr>
        <w:t>一般项目的质量应经抽样检验合格；当采用计数检验时，除有专门要求外，一般项目的合格点率应达到80%及以上，且不合格点的最大偏差值不得大于规定允许偏差值的1.5倍。</w:t>
      </w:r>
    </w:p>
    <w:p>
      <w:pPr>
        <w:pStyle w:val="60"/>
        <w:numPr>
          <w:ilvl w:val="0"/>
          <w:numId w:val="39"/>
        </w:numPr>
        <w:rPr>
          <w:rFonts w:hint="eastAsia" w:ascii="宋体" w:hAnsi="宋体" w:eastAsia="宋体" w:cs="宋体"/>
          <w:color w:val="000000"/>
          <w:szCs w:val="21"/>
        </w:rPr>
      </w:pPr>
      <w:r>
        <w:rPr>
          <w:rFonts w:hint="eastAsia" w:ascii="宋体" w:hAnsi="宋体" w:eastAsia="宋体" w:cs="宋体"/>
          <w:color w:val="000000"/>
          <w:szCs w:val="21"/>
        </w:rPr>
        <w:t>具有完整的质量检查记录。</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7.5.3</w:t>
      </w:r>
      <w:r>
        <w:rPr>
          <w:rFonts w:hint="eastAsia" w:ascii="宋体" w:hAnsi="宋体" w:eastAsia="宋体" w:cs="宋体"/>
          <w:color w:val="000000"/>
          <w:szCs w:val="21"/>
        </w:rPr>
        <w:t xml:space="preserve"> 分项工程质量验收合格应符合下列规定：</w:t>
      </w:r>
    </w:p>
    <w:p>
      <w:pPr>
        <w:pStyle w:val="60"/>
        <w:numPr>
          <w:ilvl w:val="0"/>
          <w:numId w:val="40"/>
        </w:numPr>
        <w:rPr>
          <w:rFonts w:hint="eastAsia" w:ascii="宋体" w:hAnsi="宋体" w:eastAsia="宋体" w:cs="宋体"/>
          <w:color w:val="000000"/>
          <w:szCs w:val="21"/>
        </w:rPr>
      </w:pPr>
      <w:r>
        <w:rPr>
          <w:rFonts w:hint="eastAsia" w:ascii="宋体" w:hAnsi="宋体" w:eastAsia="宋体" w:cs="宋体"/>
          <w:color w:val="000000"/>
          <w:szCs w:val="21"/>
        </w:rPr>
        <w:t>分项工程所含检验批均应验收合格。</w:t>
      </w:r>
    </w:p>
    <w:p>
      <w:pPr>
        <w:pStyle w:val="60"/>
        <w:numPr>
          <w:ilvl w:val="0"/>
          <w:numId w:val="40"/>
        </w:numPr>
        <w:rPr>
          <w:rFonts w:hint="eastAsia" w:ascii="宋体" w:hAnsi="宋体" w:eastAsia="宋体" w:cs="宋体"/>
          <w:color w:val="000000"/>
          <w:szCs w:val="21"/>
        </w:rPr>
      </w:pPr>
      <w:r>
        <w:rPr>
          <w:rFonts w:hint="eastAsia" w:ascii="宋体" w:hAnsi="宋体" w:eastAsia="宋体" w:cs="宋体"/>
          <w:color w:val="000000"/>
          <w:szCs w:val="21"/>
        </w:rPr>
        <w:t>分项工程所含检验批的质量验收记录应完整。</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rPr>
      </w:pPr>
      <w:r>
        <w:rPr>
          <w:rFonts w:hint="eastAsia" w:ascii="黑体" w:hAnsi="黑体" w:eastAsia="黑体" w:cs="黑体"/>
          <w:color w:val="000000"/>
          <w:szCs w:val="21"/>
        </w:rPr>
        <w:t>7.5.4</w:t>
      </w:r>
      <w:r>
        <w:rPr>
          <w:rFonts w:hint="eastAsia" w:ascii="宋体" w:hAnsi="宋体" w:eastAsia="宋体" w:cs="宋体"/>
          <w:color w:val="000000"/>
          <w:szCs w:val="21"/>
        </w:rPr>
        <w:t xml:space="preserve"> 分部工程质量验收合格应符合下列规定：</w:t>
      </w:r>
    </w:p>
    <w:p>
      <w:pPr>
        <w:pStyle w:val="60"/>
        <w:numPr>
          <w:ilvl w:val="0"/>
          <w:numId w:val="41"/>
        </w:numPr>
        <w:rPr>
          <w:rFonts w:hint="eastAsia" w:ascii="宋体" w:hAnsi="宋体" w:eastAsia="宋体" w:cs="宋体"/>
          <w:color w:val="000000"/>
          <w:szCs w:val="21"/>
        </w:rPr>
      </w:pPr>
      <w:r>
        <w:rPr>
          <w:rFonts w:hint="eastAsia" w:ascii="宋体" w:hAnsi="宋体" w:eastAsia="宋体" w:cs="宋体"/>
          <w:color w:val="000000"/>
          <w:szCs w:val="21"/>
        </w:rPr>
        <w:t>分部工程所含分项工程的质量均应验收合格。</w:t>
      </w:r>
    </w:p>
    <w:p>
      <w:pPr>
        <w:pStyle w:val="60"/>
        <w:numPr>
          <w:ilvl w:val="0"/>
          <w:numId w:val="41"/>
        </w:numPr>
        <w:rPr>
          <w:rFonts w:hint="eastAsia" w:ascii="宋体" w:hAnsi="宋体" w:eastAsia="宋体" w:cs="宋体"/>
          <w:color w:val="000000"/>
          <w:szCs w:val="21"/>
        </w:rPr>
      </w:pPr>
      <w:r>
        <w:rPr>
          <w:rFonts w:hint="eastAsia" w:ascii="宋体" w:hAnsi="宋体" w:eastAsia="宋体" w:cs="宋体"/>
          <w:color w:val="000000"/>
          <w:szCs w:val="21"/>
        </w:rPr>
        <w:t>质量控制资料应完整。</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1）竣工图和设计变更证明文件。</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2）工程采用的主要材料、设备、半成品、成品、构配件、器具的出厂合格证明和检验资料。</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3）隐蔽工程验收记录。</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4）施工过程中的质量控制记录和检验资料。</w:t>
      </w:r>
    </w:p>
    <w:p>
      <w:pPr>
        <w:pStyle w:val="60"/>
        <w:numPr>
          <w:ilvl w:val="0"/>
          <w:numId w:val="41"/>
        </w:numPr>
        <w:rPr>
          <w:rFonts w:hint="eastAsia" w:ascii="宋体" w:hAnsi="宋体" w:eastAsia="宋体" w:cs="宋体"/>
          <w:color w:val="000000"/>
          <w:szCs w:val="21"/>
        </w:rPr>
      </w:pPr>
      <w:r>
        <w:rPr>
          <w:rFonts w:hint="eastAsia" w:ascii="宋体" w:hAnsi="宋体" w:eastAsia="宋体" w:cs="宋体"/>
          <w:color w:val="000000"/>
          <w:szCs w:val="21"/>
        </w:rPr>
        <w:t>外观质量验收应符合要求。</w:t>
      </w: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color w:val="000000"/>
          <w:szCs w:val="21"/>
        </w:rPr>
      </w:pPr>
    </w:p>
    <w:p>
      <w:pPr>
        <w:keepNext w:val="0"/>
        <w:keepLines w:val="0"/>
        <w:pageBreakBefore w:val="0"/>
        <w:widowControl w:val="0"/>
        <w:tabs>
          <w:tab w:val="left" w:pos="851"/>
        </w:tabs>
        <w:kinsoku/>
        <w:wordWrap/>
        <w:overflowPunct/>
        <w:topLinePunct w:val="0"/>
        <w:autoSpaceDE/>
        <w:autoSpaceDN/>
        <w:bidi w:val="0"/>
        <w:adjustRightInd/>
        <w:snapToGrid/>
        <w:spacing w:line="240" w:lineRule="auto"/>
        <w:ind w:firstLine="420" w:firstLineChars="200"/>
        <w:textAlignment w:val="auto"/>
        <w:rPr>
          <w:rFonts w:hint="eastAsia"/>
          <w:color w:val="000000"/>
          <w:szCs w:val="21"/>
        </w:rPr>
        <w:sectPr>
          <w:footerReference r:id="rId7" w:type="default"/>
          <w:footerReference r:id="rId8" w:type="even"/>
          <w:pgSz w:w="11906" w:h="16838"/>
          <w:pgMar w:top="567" w:right="1134" w:bottom="1134" w:left="1418" w:header="1418" w:footer="1134" w:gutter="0"/>
          <w:pgNumType w:fmt="decimal" w:start="1"/>
          <w:cols w:space="425" w:num="1"/>
          <w:formProt w:val="0"/>
          <w:docGrid w:type="lines" w:linePitch="312" w:charSpace="0"/>
        </w:sectPr>
      </w:pPr>
    </w:p>
    <w:p>
      <w:pPr>
        <w:pStyle w:val="96"/>
      </w:pPr>
      <w:r>
        <w:br w:type="textWrapping"/>
      </w:r>
      <w:r>
        <w:rPr>
          <w:rFonts w:hint="eastAsia"/>
        </w:rPr>
        <w:t>（资料性附录）</w:t>
      </w:r>
      <w:r>
        <w:br w:type="textWrapping"/>
      </w:r>
      <w:r>
        <w:rPr>
          <w:rFonts w:hint="eastAsia" w:ascii="黑体" w:hAnsi="黑体" w:eastAsia="黑体" w:cs="黑体"/>
          <w:lang w:val="en-US" w:eastAsia="zh-CN"/>
        </w:rPr>
        <w:t>城镇道路开挖、回填、恢复快速施工”分项、分部工程检验记录表</w:t>
      </w:r>
    </w:p>
    <w:p>
      <w:pPr>
        <w:pStyle w:val="155"/>
        <w:rPr>
          <w:rFonts w:hint="eastAsia"/>
          <w:bCs/>
          <w:szCs w:val="21"/>
        </w:rPr>
      </w:pPr>
      <w:r>
        <w:rPr>
          <w:rFonts w:hint="eastAsia"/>
        </w:rPr>
        <w:t>隐蔽工程和检验批的质量验收记录宜由施工单位项目专业质量检查员填写，监理工程师（建设单位项目专业技术负责人）组织项目专业质量检查员进行验收，并应按表A.1和表A.2记录。</w:t>
      </w:r>
    </w:p>
    <w:p>
      <w:pPr>
        <w:pStyle w:val="155"/>
        <w:rPr>
          <w:bCs/>
          <w:szCs w:val="21"/>
        </w:rPr>
      </w:pPr>
      <w:r>
        <w:rPr>
          <w:rFonts w:hint="eastAsia"/>
          <w:bCs/>
          <w:szCs w:val="21"/>
        </w:rPr>
        <w:t>分项工程</w:t>
      </w:r>
      <w:r>
        <w:rPr>
          <w:bCs/>
          <w:szCs w:val="21"/>
        </w:rPr>
        <w:t>质量应由监理工程师（建设单位项目专业技术</w:t>
      </w:r>
      <w:r>
        <w:rPr>
          <w:rFonts w:hint="eastAsia"/>
          <w:bCs/>
          <w:szCs w:val="21"/>
        </w:rPr>
        <w:t>负责</w:t>
      </w:r>
      <w:r>
        <w:rPr>
          <w:bCs/>
          <w:szCs w:val="21"/>
        </w:rPr>
        <w:t>人</w:t>
      </w:r>
      <w:r>
        <w:rPr>
          <w:rFonts w:hint="eastAsia"/>
          <w:bCs/>
          <w:szCs w:val="21"/>
        </w:rPr>
        <w:t>）</w:t>
      </w:r>
      <w:r>
        <w:rPr>
          <w:bCs/>
          <w:szCs w:val="21"/>
        </w:rPr>
        <w:t>组织施工单位</w:t>
      </w:r>
      <w:r>
        <w:rPr>
          <w:rFonts w:hint="eastAsia"/>
          <w:bCs/>
          <w:szCs w:val="21"/>
        </w:rPr>
        <w:t>项目专业质量（技术）负责人</w:t>
      </w:r>
      <w:r>
        <w:rPr>
          <w:bCs/>
          <w:szCs w:val="21"/>
        </w:rPr>
        <w:t>等进行验收，并按表</w:t>
      </w:r>
      <w:r>
        <w:rPr>
          <w:rFonts w:hint="eastAsia"/>
          <w:bCs/>
          <w:szCs w:val="21"/>
        </w:rPr>
        <w:t>A</w:t>
      </w:r>
      <w:r>
        <w:rPr>
          <w:bCs/>
          <w:szCs w:val="21"/>
        </w:rPr>
        <w:t>.3 记录。</w:t>
      </w:r>
    </w:p>
    <w:p>
      <w:pPr>
        <w:pStyle w:val="155"/>
        <w:rPr>
          <w:bCs/>
          <w:szCs w:val="21"/>
        </w:rPr>
      </w:pPr>
      <w:r>
        <w:rPr>
          <w:bCs/>
          <w:szCs w:val="21"/>
        </w:rPr>
        <w:t>分部工程质量应由总监理工程师（建设单位项目专业负责人）组织施工</w:t>
      </w:r>
      <w:r>
        <w:rPr>
          <w:rFonts w:hint="eastAsia"/>
          <w:bCs/>
          <w:szCs w:val="21"/>
        </w:rPr>
        <w:t>单位</w:t>
      </w:r>
      <w:r>
        <w:rPr>
          <w:bCs/>
          <w:szCs w:val="21"/>
        </w:rPr>
        <w:t>项目经理和有关设计单位项目负责人进行验收，并按表</w:t>
      </w:r>
      <w:r>
        <w:rPr>
          <w:rFonts w:hint="eastAsia"/>
          <w:bCs/>
          <w:szCs w:val="21"/>
        </w:rPr>
        <w:t>A</w:t>
      </w:r>
      <w:r>
        <w:rPr>
          <w:bCs/>
          <w:szCs w:val="21"/>
        </w:rPr>
        <w:t>.4记录。</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hAnsi="Times New Roman" w:cs="Times New Roman"/>
        </w:rPr>
      </w:pPr>
      <w:r>
        <w:rPr>
          <w:bCs/>
          <w:szCs w:val="21"/>
        </w:rPr>
        <w:br w:type="page"/>
      </w:r>
      <w:r>
        <w:rPr>
          <w:rFonts w:hint="eastAsia" w:ascii="黑体" w:hAnsi="Times New Roman" w:eastAsia="黑体" w:cs="Times New Roman"/>
          <w:kern w:val="21"/>
          <w:sz w:val="21"/>
          <w:szCs w:val="20"/>
          <w:lang w:val="en-US" w:eastAsia="zh-CN" w:bidi="ar-SA"/>
        </w:rPr>
        <w:t>表A.1 城镇道路开挖、回填、恢复快速施工隐蔽工程验收记录</w:t>
      </w:r>
    </w:p>
    <w:p>
      <w:pPr>
        <w:keepNext w:val="0"/>
        <w:keepLines w:val="0"/>
        <w:pageBreakBefore w:val="0"/>
        <w:widowControl w:val="0"/>
        <w:kinsoku/>
        <w:wordWrap/>
        <w:overflowPunct/>
        <w:topLinePunct w:val="0"/>
        <w:autoSpaceDE/>
        <w:autoSpaceDN/>
        <w:bidi w:val="0"/>
        <w:adjustRightInd/>
        <w:snapToGrid/>
        <w:ind w:right="0"/>
        <w:jc w:val="center"/>
        <w:textAlignment w:val="auto"/>
        <w:rPr>
          <w:sz w:val="21"/>
          <w:szCs w:val="21"/>
        </w:rPr>
      </w:pPr>
      <w:r>
        <w:rPr>
          <w:rFonts w:hint="eastAsia" w:eastAsia="楷体"/>
          <w:kern w:val="0"/>
          <w:sz w:val="21"/>
          <w:szCs w:val="21"/>
        </w:rPr>
        <w:t xml:space="preserve">                                                 </w:t>
      </w:r>
      <w:r>
        <w:rPr>
          <w:rFonts w:hint="eastAsia" w:eastAsia="楷体"/>
          <w:kern w:val="0"/>
          <w:sz w:val="21"/>
          <w:szCs w:val="21"/>
          <w:lang w:val="en-US" w:eastAsia="zh-CN"/>
        </w:rPr>
        <w:t xml:space="preserve">     </w:t>
      </w:r>
      <w:r>
        <w:rPr>
          <w:sz w:val="21"/>
          <w:szCs w:val="21"/>
        </w:rPr>
        <w:t>编号：</w:t>
      </w:r>
      <w:r>
        <w:rPr>
          <w:sz w:val="21"/>
          <w:szCs w:val="21"/>
          <w:u w:val="single"/>
        </w:rPr>
        <w:t xml:space="preserve">       </w:t>
      </w:r>
      <w:r>
        <w:rPr>
          <w:sz w:val="21"/>
          <w:szCs w:val="21"/>
        </w:rPr>
        <w:t xml:space="preserve"> </w:t>
      </w:r>
      <w:r>
        <w:rPr>
          <w:rFonts w:hint="eastAsia"/>
          <w:sz w:val="21"/>
          <w:szCs w:val="21"/>
        </w:rPr>
        <w:t xml:space="preserve"> </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636"/>
        <w:gridCol w:w="786"/>
        <w:gridCol w:w="2065"/>
        <w:gridCol w:w="773"/>
        <w:gridCol w:w="1225"/>
        <w:gridCol w:w="402"/>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工程名称</w:t>
            </w:r>
          </w:p>
        </w:tc>
        <w:tc>
          <w:tcPr>
            <w:tcW w:w="6153"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rFonts w:hint="eastAsia"/>
                <w:sz w:val="18"/>
                <w:szCs w:val="18"/>
              </w:rPr>
              <w:t>施工单位</w:t>
            </w:r>
          </w:p>
        </w:tc>
        <w:tc>
          <w:tcPr>
            <w:tcW w:w="6153"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分</w:t>
            </w:r>
            <w:r>
              <w:rPr>
                <w:rFonts w:hint="eastAsia"/>
                <w:sz w:val="18"/>
                <w:szCs w:val="18"/>
              </w:rPr>
              <w:t>部</w:t>
            </w:r>
            <w:r>
              <w:rPr>
                <w:sz w:val="18"/>
                <w:szCs w:val="18"/>
              </w:rPr>
              <w:t>工程名称</w:t>
            </w:r>
          </w:p>
        </w:tc>
        <w:tc>
          <w:tcPr>
            <w:tcW w:w="20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99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分</w:t>
            </w:r>
            <w:r>
              <w:rPr>
                <w:rFonts w:hint="eastAsia"/>
                <w:sz w:val="18"/>
                <w:szCs w:val="18"/>
              </w:rPr>
              <w:t>项</w:t>
            </w:r>
            <w:r>
              <w:rPr>
                <w:sz w:val="18"/>
                <w:szCs w:val="18"/>
              </w:rPr>
              <w:t>工程名称</w:t>
            </w:r>
          </w:p>
        </w:tc>
        <w:tc>
          <w:tcPr>
            <w:tcW w:w="209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隐蔽工程项目</w:t>
            </w:r>
          </w:p>
        </w:tc>
        <w:tc>
          <w:tcPr>
            <w:tcW w:w="20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99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rFonts w:hint="eastAsia"/>
                <w:sz w:val="18"/>
                <w:szCs w:val="18"/>
              </w:rPr>
              <w:t>检验日期</w:t>
            </w:r>
          </w:p>
        </w:tc>
        <w:tc>
          <w:tcPr>
            <w:tcW w:w="209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rFonts w:hint="eastAsia"/>
                <w:sz w:val="18"/>
                <w:szCs w:val="18"/>
              </w:rPr>
              <w:t>项目经理</w:t>
            </w:r>
          </w:p>
        </w:tc>
        <w:tc>
          <w:tcPr>
            <w:tcW w:w="206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99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rFonts w:hint="eastAsia"/>
                <w:sz w:val="18"/>
                <w:szCs w:val="18"/>
              </w:rPr>
              <w:t>项目技术负责人</w:t>
            </w:r>
          </w:p>
        </w:tc>
        <w:tc>
          <w:tcPr>
            <w:tcW w:w="209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37"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质量要求</w:t>
            </w:r>
          </w:p>
        </w:tc>
        <w:tc>
          <w:tcPr>
            <w:tcW w:w="16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施工单位自查记录</w:t>
            </w:r>
          </w:p>
        </w:tc>
        <w:tc>
          <w:tcPr>
            <w:tcW w:w="168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监理（建设）单位验收记录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7" w:type="dxa"/>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隐蔽工程部位</w:t>
            </w:r>
          </w:p>
        </w:tc>
        <w:tc>
          <w:tcPr>
            <w:tcW w:w="636"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1</w:t>
            </w:r>
          </w:p>
        </w:tc>
        <w:tc>
          <w:tcPr>
            <w:tcW w:w="3624"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6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68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7"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636"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2</w:t>
            </w:r>
          </w:p>
        </w:tc>
        <w:tc>
          <w:tcPr>
            <w:tcW w:w="3624"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6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68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7"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636"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3</w:t>
            </w:r>
          </w:p>
        </w:tc>
        <w:tc>
          <w:tcPr>
            <w:tcW w:w="3624"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6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68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7"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636"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4</w:t>
            </w:r>
          </w:p>
        </w:tc>
        <w:tc>
          <w:tcPr>
            <w:tcW w:w="3624"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6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68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7"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636"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5</w:t>
            </w:r>
          </w:p>
        </w:tc>
        <w:tc>
          <w:tcPr>
            <w:tcW w:w="3624"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6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c>
          <w:tcPr>
            <w:tcW w:w="168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jc w:val="center"/>
        </w:trPr>
        <w:tc>
          <w:tcPr>
            <w:tcW w:w="199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施工单位检查结论</w:t>
            </w:r>
          </w:p>
        </w:tc>
        <w:tc>
          <w:tcPr>
            <w:tcW w:w="6153"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 w:val="18"/>
                <w:szCs w:val="18"/>
              </w:rPr>
            </w:pPr>
            <w:r>
              <w:rPr>
                <w:sz w:val="18"/>
                <w:szCs w:val="18"/>
              </w:rPr>
              <w:t>项目专业质量检查员：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 w:val="18"/>
                <w:szCs w:val="18"/>
              </w:rPr>
            </w:pPr>
            <w:r>
              <w:rPr>
                <w:sz w:val="18"/>
                <w:szCs w:val="18"/>
              </w:rPr>
              <w:t>（项目技术负责人）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 w:val="18"/>
                <w:szCs w:val="18"/>
              </w:rPr>
            </w:pPr>
            <w:r>
              <w:rPr>
                <w:sz w:val="18"/>
                <w:szCs w:val="1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jc w:val="center"/>
        </w:trPr>
        <w:tc>
          <w:tcPr>
            <w:tcW w:w="199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sz w:val="18"/>
                <w:szCs w:val="18"/>
              </w:rPr>
              <w:t>监理（建设）单位验收结论</w:t>
            </w:r>
          </w:p>
        </w:tc>
        <w:tc>
          <w:tcPr>
            <w:tcW w:w="6153"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 w:val="18"/>
                <w:szCs w:val="18"/>
              </w:rPr>
            </w:pPr>
            <w:r>
              <w:rPr>
                <w:sz w:val="18"/>
                <w:szCs w:val="18"/>
              </w:rPr>
              <w:t>监理工程师：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 w:val="18"/>
                <w:szCs w:val="18"/>
              </w:rPr>
            </w:pPr>
            <w:r>
              <w:rPr>
                <w:sz w:val="18"/>
                <w:szCs w:val="18"/>
              </w:rPr>
              <w:t>（建设单位项目负责人）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 w:val="18"/>
                <w:szCs w:val="18"/>
              </w:rPr>
            </w:pPr>
            <w:r>
              <w:rPr>
                <w:sz w:val="18"/>
                <w:szCs w:val="18"/>
              </w:rPr>
              <w:t>年    月    日</w:t>
            </w:r>
          </w:p>
        </w:tc>
      </w:tr>
    </w:tbl>
    <w:p>
      <w:pPr>
        <w:pStyle w:val="114"/>
        <w:keepNext w:val="0"/>
        <w:keepLines w:val="0"/>
        <w:pageBreakBefore w:val="0"/>
        <w:widowControl/>
        <w:numPr>
          <w:ilvl w:val="0"/>
          <w:numId w:val="0"/>
        </w:numPr>
        <w:kinsoku/>
        <w:wordWrap w:val="0"/>
        <w:overflowPunct w:val="0"/>
        <w:topLinePunct w:val="0"/>
        <w:autoSpaceDE w:val="0"/>
        <w:autoSpaceDN/>
        <w:bidi w:val="0"/>
        <w:adjustRightInd/>
        <w:snapToGrid/>
        <w:spacing w:before="312" w:after="312"/>
        <w:jc w:val="center"/>
        <w:textAlignment w:val="baseline"/>
        <w:outlineLvl w:val="9"/>
        <w:rPr>
          <w:rFonts w:hint="eastAsia" w:hAnsi="Times New Roman" w:cs="Times New Roman"/>
          <w:lang w:val="en-US" w:eastAsia="zh-CN"/>
        </w:rPr>
      </w:pPr>
      <w:r>
        <w:rPr>
          <w:rFonts w:hint="eastAsia" w:hAnsi="Times New Roman" w:cs="Times New Roman"/>
          <w:lang w:val="en-US" w:eastAsia="zh-CN"/>
        </w:rPr>
        <w:br w:type="page"/>
      </w:r>
      <w:r>
        <w:rPr>
          <w:rFonts w:hint="eastAsia" w:hAnsi="Times New Roman" w:cs="Times New Roman"/>
          <w:lang w:val="en-US" w:eastAsia="zh-CN"/>
        </w:rPr>
        <w:t>表A.2 城镇道路开挖、回填、恢复快速施工分项工程检验批质量验收记录</w:t>
      </w:r>
    </w:p>
    <w:p>
      <w:pPr>
        <w:keepNext w:val="0"/>
        <w:keepLines w:val="0"/>
        <w:pageBreakBefore w:val="0"/>
        <w:widowControl w:val="0"/>
        <w:kinsoku/>
        <w:wordWrap/>
        <w:overflowPunct/>
        <w:topLinePunct w:val="0"/>
        <w:autoSpaceDE/>
        <w:autoSpaceDN/>
        <w:bidi w:val="0"/>
        <w:adjustRightInd/>
        <w:snapToGrid/>
        <w:ind w:right="0"/>
        <w:jc w:val="center"/>
        <w:textAlignment w:val="auto"/>
        <w:rPr>
          <w:rFonts w:hint="eastAsia" w:ascii="Times New Roman" w:hAnsi="Times New Roman" w:eastAsia="楷体" w:cs="Times New Roman"/>
          <w:kern w:val="0"/>
          <w:sz w:val="21"/>
          <w:szCs w:val="21"/>
        </w:rPr>
      </w:pPr>
      <w:r>
        <w:rPr>
          <w:rFonts w:hint="eastAsia" w:ascii="Times New Roman" w:hAnsi="Times New Roman" w:eastAsia="楷体" w:cs="Times New Roman"/>
          <w:kern w:val="0"/>
          <w:sz w:val="21"/>
          <w:szCs w:val="21"/>
        </w:rPr>
        <w:t xml:space="preserve">                                                   编号：        </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3"/>
        <w:gridCol w:w="639"/>
        <w:gridCol w:w="856"/>
        <w:gridCol w:w="137"/>
        <w:gridCol w:w="1915"/>
        <w:gridCol w:w="2028"/>
        <w:gridCol w:w="2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工程名称</w:t>
            </w:r>
          </w:p>
        </w:tc>
        <w:tc>
          <w:tcPr>
            <w:tcW w:w="6424"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施工单位</w:t>
            </w:r>
          </w:p>
        </w:tc>
        <w:tc>
          <w:tcPr>
            <w:tcW w:w="6424"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分部工程名称</w:t>
            </w:r>
          </w:p>
        </w:tc>
        <w:tc>
          <w:tcPr>
            <w:tcW w:w="205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分项工程名称</w:t>
            </w: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检验批/分项系统、部位</w:t>
            </w:r>
          </w:p>
        </w:tc>
        <w:tc>
          <w:tcPr>
            <w:tcW w:w="205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检验日期</w:t>
            </w: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项目经理</w:t>
            </w:r>
          </w:p>
        </w:tc>
        <w:tc>
          <w:tcPr>
            <w:tcW w:w="205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项目技术负责人</w:t>
            </w: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检测项目</w:t>
            </w: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施工单位检查评定结果</w:t>
            </w: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监理（建设）单位验收结果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 w:type="dxa"/>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主控项目</w:t>
            </w:r>
          </w:p>
        </w:tc>
        <w:tc>
          <w:tcPr>
            <w:tcW w:w="639"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9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639"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9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639"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9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639"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9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639"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29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 w:type="dxa"/>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一般项目</w:t>
            </w:r>
          </w:p>
        </w:tc>
        <w:tc>
          <w:tcPr>
            <w:tcW w:w="639"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9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639"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9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639"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9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639"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9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639"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29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02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施工单位检查结论</w:t>
            </w:r>
          </w:p>
        </w:tc>
        <w:tc>
          <w:tcPr>
            <w:tcW w:w="628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项目专业质量检查员：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（项目技术负责人）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监理（建设）单位验收结论</w:t>
            </w:r>
          </w:p>
        </w:tc>
        <w:tc>
          <w:tcPr>
            <w:tcW w:w="628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监理工程师：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（建设单位项目负责人）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年    月    日</w:t>
            </w:r>
          </w:p>
        </w:tc>
      </w:tr>
    </w:tbl>
    <w:p>
      <w:pPr>
        <w:pStyle w:val="114"/>
        <w:keepNext w:val="0"/>
        <w:keepLines w:val="0"/>
        <w:pageBreakBefore w:val="0"/>
        <w:widowControl/>
        <w:numPr>
          <w:ilvl w:val="0"/>
          <w:numId w:val="0"/>
        </w:numPr>
        <w:kinsoku/>
        <w:wordWrap w:val="0"/>
        <w:overflowPunct w:val="0"/>
        <w:topLinePunct w:val="0"/>
        <w:autoSpaceDE w:val="0"/>
        <w:autoSpaceDN/>
        <w:bidi w:val="0"/>
        <w:adjustRightInd/>
        <w:snapToGrid/>
        <w:spacing w:before="312" w:after="312"/>
        <w:jc w:val="center"/>
        <w:textAlignment w:val="baseline"/>
        <w:outlineLvl w:val="9"/>
        <w:rPr>
          <w:rFonts w:hint="eastAsia" w:hAnsi="Times New Roman" w:cs="Times New Roman"/>
          <w:lang w:val="en-US" w:eastAsia="zh-CN"/>
        </w:rPr>
      </w:pPr>
      <w:r>
        <w:rPr>
          <w:rFonts w:hint="eastAsia" w:hAnsi="Times New Roman" w:cs="Times New Roman"/>
          <w:lang w:val="en-US" w:eastAsia="zh-CN"/>
        </w:rPr>
        <w:br w:type="page"/>
      </w:r>
      <w:r>
        <w:rPr>
          <w:rFonts w:hint="eastAsia" w:hAnsi="Times New Roman" w:cs="Times New Roman"/>
          <w:lang w:val="en-US" w:eastAsia="zh-CN"/>
        </w:rPr>
        <w:t>表A.3 城镇道路开挖、回填、恢复快速施工分项工程质量验收记录</w:t>
      </w:r>
    </w:p>
    <w:p>
      <w:pPr>
        <w:keepNext w:val="0"/>
        <w:keepLines w:val="0"/>
        <w:pageBreakBefore w:val="0"/>
        <w:widowControl w:val="0"/>
        <w:kinsoku/>
        <w:wordWrap/>
        <w:overflowPunct/>
        <w:topLinePunct w:val="0"/>
        <w:autoSpaceDE/>
        <w:autoSpaceDN/>
        <w:bidi w:val="0"/>
        <w:adjustRightInd/>
        <w:snapToGrid/>
        <w:ind w:right="0"/>
        <w:jc w:val="center"/>
        <w:textAlignment w:val="auto"/>
        <w:rPr>
          <w:rFonts w:hint="eastAsia" w:ascii="Times New Roman" w:hAnsi="Times New Roman" w:eastAsia="楷体" w:cs="Times New Roman"/>
          <w:kern w:val="0"/>
          <w:sz w:val="21"/>
          <w:szCs w:val="21"/>
        </w:rPr>
      </w:pPr>
      <w:r>
        <w:rPr>
          <w:rFonts w:hint="eastAsia" w:ascii="Times New Roman" w:hAnsi="Times New Roman" w:eastAsia="楷体" w:cs="Times New Roman"/>
          <w:kern w:val="0"/>
          <w:sz w:val="21"/>
          <w:szCs w:val="21"/>
        </w:rPr>
        <w:t xml:space="preserve">                                    </w:t>
      </w:r>
      <w:r>
        <w:rPr>
          <w:rFonts w:hint="eastAsia" w:ascii="Times New Roman" w:hAnsi="Times New Roman" w:eastAsia="楷体" w:cs="Times New Roman"/>
          <w:kern w:val="0"/>
          <w:sz w:val="21"/>
          <w:szCs w:val="21"/>
          <w:lang w:val="en-US" w:eastAsia="zh-CN"/>
        </w:rPr>
        <w:t xml:space="preserve">                </w:t>
      </w:r>
      <w:r>
        <w:rPr>
          <w:rFonts w:hint="eastAsia" w:ascii="Times New Roman" w:hAnsi="Times New Roman" w:eastAsia="楷体" w:cs="Times New Roman"/>
          <w:kern w:val="0"/>
          <w:sz w:val="21"/>
          <w:szCs w:val="21"/>
        </w:rPr>
        <w:t xml:space="preserve">   编号：</w:t>
      </w:r>
      <w:r>
        <w:rPr>
          <w:rFonts w:hint="eastAsia" w:ascii="Times New Roman" w:hAnsi="Times New Roman" w:eastAsia="楷体" w:cs="Times New Roman"/>
          <w:kern w:val="0"/>
          <w:sz w:val="21"/>
          <w:szCs w:val="21"/>
          <w:u w:val="single"/>
        </w:rPr>
        <w:t xml:space="preserve">         </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281"/>
        <w:gridCol w:w="2114"/>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工程名称</w:t>
            </w:r>
          </w:p>
        </w:tc>
        <w:tc>
          <w:tcPr>
            <w:tcW w:w="671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施工单位</w:t>
            </w:r>
          </w:p>
        </w:tc>
        <w:tc>
          <w:tcPr>
            <w:tcW w:w="671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分部工程名称</w:t>
            </w:r>
          </w:p>
        </w:tc>
        <w:tc>
          <w:tcPr>
            <w:tcW w:w="22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1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分项工程名称</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检验批数</w:t>
            </w:r>
          </w:p>
        </w:tc>
        <w:tc>
          <w:tcPr>
            <w:tcW w:w="22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1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制表人</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项目经理</w:t>
            </w:r>
          </w:p>
        </w:tc>
        <w:tc>
          <w:tcPr>
            <w:tcW w:w="22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1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项目技术负责人</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序号</w:t>
            </w:r>
          </w:p>
        </w:tc>
        <w:tc>
          <w:tcPr>
            <w:tcW w:w="22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检验批部位、区段</w:t>
            </w:r>
          </w:p>
        </w:tc>
        <w:tc>
          <w:tcPr>
            <w:tcW w:w="21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施工单位检查评定结果</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监理（建设）单位验收结果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2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1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2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1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2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1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2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1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22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1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jc w:val="center"/>
        </w:trPr>
        <w:tc>
          <w:tcPr>
            <w:tcW w:w="18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验收结论</w:t>
            </w:r>
          </w:p>
        </w:tc>
        <w:tc>
          <w:tcPr>
            <w:tcW w:w="671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jc w:val="center"/>
        </w:trPr>
        <w:tc>
          <w:tcPr>
            <w:tcW w:w="409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施工单位项目技术负责人：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年    月    日</w:t>
            </w:r>
          </w:p>
        </w:tc>
        <w:tc>
          <w:tcPr>
            <w:tcW w:w="443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监理工程师：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（建设单位项目专业技术负责人）：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年    月    日</w:t>
            </w:r>
          </w:p>
        </w:tc>
      </w:tr>
    </w:tbl>
    <w:p>
      <w:pPr>
        <w:pStyle w:val="114"/>
        <w:keepNext w:val="0"/>
        <w:keepLines w:val="0"/>
        <w:pageBreakBefore w:val="0"/>
        <w:widowControl/>
        <w:numPr>
          <w:ilvl w:val="0"/>
          <w:numId w:val="0"/>
        </w:numPr>
        <w:kinsoku/>
        <w:wordWrap w:val="0"/>
        <w:overflowPunct w:val="0"/>
        <w:topLinePunct w:val="0"/>
        <w:autoSpaceDE w:val="0"/>
        <w:autoSpaceDN/>
        <w:bidi w:val="0"/>
        <w:adjustRightInd/>
        <w:snapToGrid/>
        <w:spacing w:before="312" w:after="312"/>
        <w:jc w:val="center"/>
        <w:textAlignment w:val="baseline"/>
        <w:outlineLvl w:val="9"/>
        <w:rPr>
          <w:rFonts w:hint="eastAsia" w:hAnsi="Times New Roman" w:cs="Times New Roman"/>
          <w:lang w:val="en-US" w:eastAsia="zh-CN"/>
        </w:rPr>
      </w:pPr>
      <w:r>
        <w:rPr>
          <w:rFonts w:hint="eastAsia" w:hAnsi="Times New Roman" w:cs="Times New Roman"/>
          <w:lang w:val="en-US" w:eastAsia="zh-CN"/>
        </w:rPr>
        <w:br w:type="page"/>
      </w:r>
      <w:r>
        <w:rPr>
          <w:rFonts w:hint="eastAsia" w:hAnsi="Times New Roman" w:cs="Times New Roman"/>
          <w:lang w:val="en-US" w:eastAsia="zh-CN"/>
        </w:rPr>
        <w:t>表A.4 城镇道路开挖、回填、恢复快速施工分部工程质量验收记录</w:t>
      </w:r>
    </w:p>
    <w:p>
      <w:pPr>
        <w:ind w:right="13"/>
        <w:jc w:val="center"/>
        <w:rPr>
          <w:rFonts w:hint="eastAsia" w:ascii="Times New Roman" w:hAnsi="Times New Roman" w:eastAsia="楷体" w:cs="Times New Roman"/>
          <w:kern w:val="0"/>
          <w:sz w:val="21"/>
          <w:szCs w:val="21"/>
          <w:u w:val="single"/>
          <w:lang w:val="en-US" w:eastAsia="zh-CN"/>
        </w:rPr>
      </w:pPr>
      <w:r>
        <w:rPr>
          <w:rFonts w:hint="eastAsia" w:ascii="Times New Roman" w:hAnsi="Times New Roman" w:eastAsia="楷体" w:cs="Times New Roman"/>
          <w:kern w:val="0"/>
          <w:sz w:val="21"/>
          <w:szCs w:val="21"/>
          <w:lang w:val="en-US" w:eastAsia="zh-CN"/>
        </w:rPr>
        <w:t xml:space="preserve">                                                       编号：</w:t>
      </w:r>
      <w:r>
        <w:rPr>
          <w:rFonts w:hint="eastAsia" w:ascii="Times New Roman" w:hAnsi="Times New Roman" w:eastAsia="楷体" w:cs="Times New Roman"/>
          <w:kern w:val="0"/>
          <w:sz w:val="21"/>
          <w:szCs w:val="21"/>
          <w:u w:val="single"/>
          <w:lang w:val="en-US" w:eastAsia="zh-CN"/>
        </w:rPr>
        <w:t xml:space="preserve">        </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674"/>
        <w:gridCol w:w="1049"/>
        <w:gridCol w:w="259"/>
        <w:gridCol w:w="708"/>
        <w:gridCol w:w="595"/>
        <w:gridCol w:w="245"/>
        <w:gridCol w:w="1475"/>
        <w:gridCol w:w="971"/>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工程名称</w:t>
            </w:r>
          </w:p>
        </w:tc>
        <w:tc>
          <w:tcPr>
            <w:tcW w:w="6683"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施工单位</w:t>
            </w:r>
          </w:p>
        </w:tc>
        <w:tc>
          <w:tcPr>
            <w:tcW w:w="6683"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分部工程名称</w:t>
            </w:r>
          </w:p>
        </w:tc>
        <w:tc>
          <w:tcPr>
            <w:tcW w:w="2016" w:type="dxa"/>
            <w:gridSpan w:val="3"/>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15" w:type="dxa"/>
            <w:gridSpan w:val="3"/>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日期</w:t>
            </w:r>
          </w:p>
        </w:tc>
        <w:tc>
          <w:tcPr>
            <w:tcW w:w="2352"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项目经理</w:t>
            </w:r>
          </w:p>
        </w:tc>
        <w:tc>
          <w:tcPr>
            <w:tcW w:w="1308" w:type="dxa"/>
            <w:gridSpan w:val="2"/>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1548" w:type="dxa"/>
            <w:gridSpan w:val="3"/>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项目技术负责人</w:t>
            </w:r>
          </w:p>
        </w:tc>
        <w:tc>
          <w:tcPr>
            <w:tcW w:w="147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971"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制表人</w:t>
            </w:r>
          </w:p>
        </w:tc>
        <w:tc>
          <w:tcPr>
            <w:tcW w:w="1381"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序号</w:t>
            </w:r>
          </w:p>
        </w:tc>
        <w:tc>
          <w:tcPr>
            <w:tcW w:w="172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分项工程名称</w:t>
            </w:r>
          </w:p>
        </w:tc>
        <w:tc>
          <w:tcPr>
            <w:tcW w:w="3282" w:type="dxa"/>
            <w:gridSpan w:val="5"/>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检验批数</w:t>
            </w:r>
          </w:p>
        </w:tc>
        <w:tc>
          <w:tcPr>
            <w:tcW w:w="2352"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检验结论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172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3282" w:type="dxa"/>
            <w:gridSpan w:val="5"/>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52"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72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3282" w:type="dxa"/>
            <w:gridSpan w:val="5"/>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52"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172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3282" w:type="dxa"/>
            <w:gridSpan w:val="5"/>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52"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172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3282" w:type="dxa"/>
            <w:gridSpan w:val="5"/>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52"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172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3282" w:type="dxa"/>
            <w:gridSpan w:val="5"/>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2352"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质量控制资料</w:t>
            </w:r>
          </w:p>
        </w:tc>
        <w:tc>
          <w:tcPr>
            <w:tcW w:w="5634"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观感质量验收</w:t>
            </w:r>
          </w:p>
        </w:tc>
        <w:tc>
          <w:tcPr>
            <w:tcW w:w="5634"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分部工程检验结果</w:t>
            </w:r>
          </w:p>
        </w:tc>
        <w:tc>
          <w:tcPr>
            <w:tcW w:w="5634"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4080" w:type="dxa"/>
            <w:gridSpan w:val="6"/>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施工单位项目经理：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年    月    日</w:t>
            </w:r>
          </w:p>
        </w:tc>
        <w:tc>
          <w:tcPr>
            <w:tcW w:w="4072" w:type="dxa"/>
            <w:gridSpan w:val="4"/>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总监理工程师：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（建设单位项目专业技术负责人）：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年    月    日</w:t>
            </w:r>
          </w:p>
        </w:tc>
      </w:tr>
    </w:tbl>
    <w:p>
      <w:pPr>
        <w:ind w:right="482"/>
        <w:jc w:val="left"/>
        <w:rPr>
          <w:rFonts w:hint="eastAsia"/>
          <w:kern w:val="0"/>
          <w:szCs w:val="21"/>
        </w:rPr>
      </w:pPr>
    </w:p>
    <w:p>
      <w:pPr>
        <w:jc w:val="left"/>
      </w:pPr>
    </w:p>
    <w:p>
      <w:pPr>
        <w:pStyle w:val="25"/>
        <w:rPr>
          <w:color w:val="000000"/>
        </w:rPr>
      </w:pPr>
    </w:p>
    <w:p>
      <w:pPr>
        <w:pStyle w:val="25"/>
        <w:ind w:firstLine="210" w:firstLineChars="100"/>
        <w:rPr>
          <w:color w:val="000000"/>
        </w:rPr>
      </w:pPr>
    </w:p>
    <w:p>
      <w:pPr>
        <w:pStyle w:val="25"/>
        <w:ind w:firstLine="210" w:firstLineChars="100"/>
        <w:rPr>
          <w:color w:val="000000"/>
        </w:rPr>
      </w:pPr>
    </w:p>
    <w:p>
      <w:pPr>
        <w:pStyle w:val="25"/>
        <w:ind w:firstLine="210" w:firstLineChars="100"/>
        <w:rPr>
          <w:color w:val="000000"/>
        </w:rPr>
      </w:pPr>
    </w:p>
    <w:p>
      <w:pPr>
        <w:pStyle w:val="25"/>
        <w:ind w:firstLine="210" w:firstLineChars="100"/>
        <w:rPr>
          <w:color w:val="000000"/>
        </w:rPr>
      </w:pPr>
    </w:p>
    <w:p>
      <w:pPr>
        <w:pStyle w:val="25"/>
        <w:ind w:firstLine="210" w:firstLineChars="100"/>
        <w:rPr>
          <w:color w:val="000000"/>
        </w:rPr>
      </w:pPr>
    </w:p>
    <w:p>
      <w:pPr>
        <w:pStyle w:val="141"/>
        <w:framePr w:wrap="around"/>
      </w:pPr>
      <w:r>
        <w:t>_________________________________</w:t>
      </w:r>
    </w:p>
    <w:sectPr>
      <w:pgSz w:w="11906" w:h="16838"/>
      <w:pgMar w:top="567" w:right="1134" w:bottom="1134" w:left="1418" w:header="1418" w:footer="1134" w:gutter="0"/>
      <w:pgNumType w:fmt="decimal"/>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default"/>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rPr>
        <w:rFonts w:hint="eastAsia" w:eastAsia="黑体"/>
        <w:lang w:val="en-US" w:eastAsia="zh-CN"/>
      </w:rPr>
    </w:pPr>
    <w:r>
      <w:t>DB32/ T XXXX—202</w:t>
    </w:r>
    <w:r>
      <w:rPr>
        <w:rFonts w:hint="eastAsia"/>
        <w:lang w:val="en-US"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rPr>
        <w:rFonts w:hint="eastAsia" w:eastAsia="黑体"/>
        <w:lang w:val="en-US" w:eastAsia="zh-CN"/>
      </w:rPr>
    </w:pPr>
    <w:r>
      <w:t>DB32/T XXXX—202</w:t>
    </w:r>
    <w:r>
      <w:rPr>
        <w:rFonts w:hint="eastAsia"/>
        <w:lang w:val="en-US" w:eastAsia="zh-CN"/>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C4EF6"/>
    <w:multiLevelType w:val="multilevel"/>
    <w:tmpl w:val="825C4EF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9BE08AFD"/>
    <w:multiLevelType w:val="multilevel"/>
    <w:tmpl w:val="9BE08AF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9FF7FCF7"/>
    <w:multiLevelType w:val="multilevel"/>
    <w:tmpl w:val="9FF7FCF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A2EFEF61"/>
    <w:multiLevelType w:val="multilevel"/>
    <w:tmpl w:val="A2EFEF6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B5F67382"/>
    <w:multiLevelType w:val="multilevel"/>
    <w:tmpl w:val="B5F6738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BCDB2BB9"/>
    <w:multiLevelType w:val="multilevel"/>
    <w:tmpl w:val="BCDB2BB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BDD05581"/>
    <w:multiLevelType w:val="multilevel"/>
    <w:tmpl w:val="BDD0558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C7F02B36"/>
    <w:multiLevelType w:val="multilevel"/>
    <w:tmpl w:val="C7F02B3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CC80854E"/>
    <w:multiLevelType w:val="multilevel"/>
    <w:tmpl w:val="CC80854E"/>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CED46F6D"/>
    <w:multiLevelType w:val="multilevel"/>
    <w:tmpl w:val="CED46F6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DE7F4E7E"/>
    <w:multiLevelType w:val="multilevel"/>
    <w:tmpl w:val="DE7F4E7E"/>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E0612796"/>
    <w:multiLevelType w:val="multilevel"/>
    <w:tmpl w:val="E061279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E1603DEF"/>
    <w:multiLevelType w:val="multilevel"/>
    <w:tmpl w:val="E1603DE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F4A57974"/>
    <w:multiLevelType w:val="multilevel"/>
    <w:tmpl w:val="F4A5797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FEAC2CD0"/>
    <w:multiLevelType w:val="multilevel"/>
    <w:tmpl w:val="FEAC2CD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079102AD"/>
    <w:multiLevelType w:val="multilevel"/>
    <w:tmpl w:val="079102AD"/>
    <w:lvl w:ilvl="0" w:tentative="0">
      <w:start w:val="1"/>
      <w:numFmt w:val="decimal"/>
      <w:pStyle w:val="70"/>
      <w:suff w:val="nothing"/>
      <w:lvlText w:val="注%1："/>
      <w:lvlJc w:val="left"/>
      <w:pPr>
        <w:ind w:left="811" w:hanging="448"/>
      </w:pPr>
      <w:rPr>
        <w:rFonts w:hint="eastAsia" w:ascii="黑体" w:hAnsi="黑体" w:eastAsia="黑体" w:cs="Times New Roman"/>
        <w:b w:val="0"/>
        <w:i w:val="0"/>
        <w:sz w:val="18"/>
        <w:vertAlign w:val="baseline"/>
      </w:rPr>
    </w:lvl>
    <w:lvl w:ilvl="1" w:tentative="0">
      <w:start w:val="1"/>
      <w:numFmt w:val="lowerLetter"/>
      <w:lvlText w:val="%2)"/>
      <w:lvlJc w:val="left"/>
      <w:pPr>
        <w:tabs>
          <w:tab w:val="left" w:pos="0"/>
        </w:tabs>
        <w:ind w:left="992" w:hanging="629"/>
      </w:pPr>
      <w:rPr>
        <w:rFonts w:hint="eastAsia" w:cs="Times New Roman"/>
        <w:vertAlign w:val="baseline"/>
      </w:rPr>
    </w:lvl>
    <w:lvl w:ilvl="2" w:tentative="0">
      <w:start w:val="1"/>
      <w:numFmt w:val="lowerRoman"/>
      <w:lvlText w:val="%3."/>
      <w:lvlJc w:val="right"/>
      <w:pPr>
        <w:tabs>
          <w:tab w:val="left" w:pos="0"/>
        </w:tabs>
        <w:ind w:left="992" w:hanging="629"/>
      </w:pPr>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16">
    <w:nsid w:val="093C6778"/>
    <w:multiLevelType w:val="multilevel"/>
    <w:tmpl w:val="093C6778"/>
    <w:lvl w:ilvl="0" w:tentative="0">
      <w:start w:val="1"/>
      <w:numFmt w:val="decimal"/>
      <w:pStyle w:val="128"/>
      <w:suff w:val="nothing"/>
      <w:lvlText w:val="示例%1："/>
      <w:lvlJc w:val="left"/>
      <w:pPr>
        <w:ind w:firstLine="397"/>
      </w:pPr>
      <w:rPr>
        <w:rFonts w:hint="eastAsia" w:ascii="黑体" w:eastAsia="黑体" w:cs="Times New Roman"/>
        <w:sz w:val="18"/>
      </w:rPr>
    </w:lvl>
    <w:lvl w:ilvl="1" w:tentative="0">
      <w:start w:val="1"/>
      <w:numFmt w:val="lowerLetter"/>
      <w:lvlText w:val="%2)"/>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17">
    <w:nsid w:val="0AE367E9"/>
    <w:multiLevelType w:val="multilevel"/>
    <w:tmpl w:val="0AE367E9"/>
    <w:lvl w:ilvl="0" w:tentative="0">
      <w:start w:val="1"/>
      <w:numFmt w:val="none"/>
      <w:pStyle w:val="64"/>
      <w:suff w:val="nothing"/>
      <w:lvlText w:val="%1示例："/>
      <w:lvlJc w:val="left"/>
      <w:pPr>
        <w:ind w:firstLine="363"/>
      </w:pPr>
      <w:rPr>
        <w:rFonts w:hint="eastAsia" w:ascii="黑体" w:eastAsia="黑体" w:cs="Times New Roman"/>
        <w:b w:val="0"/>
        <w:i w:val="0"/>
        <w:sz w:val="18"/>
        <w:szCs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18">
    <w:nsid w:val="0DDE2B46"/>
    <w:multiLevelType w:val="multilevel"/>
    <w:tmpl w:val="0DDE2B46"/>
    <w:lvl w:ilvl="0" w:tentative="0">
      <w:start w:val="1"/>
      <w:numFmt w:val="lowerLetter"/>
      <w:pStyle w:val="133"/>
      <w:suff w:val="nothing"/>
      <w:lvlText w:val="%1   "/>
      <w:lvlJc w:val="left"/>
      <w:pPr>
        <w:ind w:left="544" w:hanging="181"/>
      </w:pPr>
      <w:rPr>
        <w:rFonts w:hint="eastAsia" w:ascii="宋体" w:eastAsia="宋体" w:cs="Times New Roman"/>
        <w:b w:val="0"/>
        <w:i w:val="0"/>
        <w:sz w:val="18"/>
        <w:vertAlign w:val="superscript"/>
      </w:rPr>
    </w:lvl>
    <w:lvl w:ilvl="1" w:tentative="0">
      <w:start w:val="1"/>
      <w:numFmt w:val="lowerLetter"/>
      <w:lvlText w:val="%2"/>
      <w:lvlJc w:val="left"/>
      <w:pPr>
        <w:tabs>
          <w:tab w:val="left" w:pos="57"/>
        </w:tabs>
        <w:ind w:left="363" w:hanging="363"/>
      </w:pPr>
      <w:rPr>
        <w:rFonts w:hint="eastAsia" w:cs="Times New Roman"/>
      </w:rPr>
    </w:lvl>
    <w:lvl w:ilvl="2" w:tentative="0">
      <w:start w:val="1"/>
      <w:numFmt w:val="lowerRoman"/>
      <w:lvlText w:val="%3."/>
      <w:lvlJc w:val="right"/>
      <w:pPr>
        <w:tabs>
          <w:tab w:val="left" w:pos="57"/>
        </w:tabs>
        <w:ind w:left="363" w:hanging="363"/>
      </w:pPr>
      <w:rPr>
        <w:rFonts w:hint="eastAsia" w:cs="Times New Roman"/>
      </w:rPr>
    </w:lvl>
    <w:lvl w:ilvl="3" w:tentative="0">
      <w:start w:val="1"/>
      <w:numFmt w:val="decimal"/>
      <w:lvlText w:val="%4."/>
      <w:lvlJc w:val="left"/>
      <w:pPr>
        <w:tabs>
          <w:tab w:val="left" w:pos="57"/>
        </w:tabs>
        <w:ind w:left="363" w:hanging="363"/>
      </w:pPr>
      <w:rPr>
        <w:rFonts w:hint="eastAsia" w:cs="Times New Roman"/>
      </w:rPr>
    </w:lvl>
    <w:lvl w:ilvl="4" w:tentative="0">
      <w:start w:val="1"/>
      <w:numFmt w:val="lowerLetter"/>
      <w:lvlText w:val="%5)"/>
      <w:lvlJc w:val="left"/>
      <w:pPr>
        <w:tabs>
          <w:tab w:val="left" w:pos="57"/>
        </w:tabs>
        <w:ind w:left="363" w:hanging="363"/>
      </w:pPr>
      <w:rPr>
        <w:rFonts w:hint="eastAsia" w:cs="Times New Roman"/>
      </w:rPr>
    </w:lvl>
    <w:lvl w:ilvl="5" w:tentative="0">
      <w:start w:val="1"/>
      <w:numFmt w:val="lowerRoman"/>
      <w:lvlText w:val="%6."/>
      <w:lvlJc w:val="right"/>
      <w:pPr>
        <w:tabs>
          <w:tab w:val="left" w:pos="57"/>
        </w:tabs>
        <w:ind w:left="363" w:hanging="363"/>
      </w:pPr>
      <w:rPr>
        <w:rFonts w:hint="eastAsia" w:cs="Times New Roman"/>
      </w:rPr>
    </w:lvl>
    <w:lvl w:ilvl="6" w:tentative="0">
      <w:start w:val="1"/>
      <w:numFmt w:val="decimal"/>
      <w:lvlText w:val="%7."/>
      <w:lvlJc w:val="left"/>
      <w:pPr>
        <w:tabs>
          <w:tab w:val="left" w:pos="57"/>
        </w:tabs>
        <w:ind w:left="363" w:hanging="363"/>
      </w:pPr>
      <w:rPr>
        <w:rFonts w:hint="eastAsia" w:cs="Times New Roman"/>
      </w:rPr>
    </w:lvl>
    <w:lvl w:ilvl="7" w:tentative="0">
      <w:start w:val="1"/>
      <w:numFmt w:val="lowerLetter"/>
      <w:lvlText w:val="%8)"/>
      <w:lvlJc w:val="left"/>
      <w:pPr>
        <w:tabs>
          <w:tab w:val="left" w:pos="57"/>
        </w:tabs>
        <w:ind w:left="363" w:hanging="363"/>
      </w:pPr>
      <w:rPr>
        <w:rFonts w:hint="eastAsia" w:cs="Times New Roman"/>
      </w:rPr>
    </w:lvl>
    <w:lvl w:ilvl="8" w:tentative="0">
      <w:start w:val="1"/>
      <w:numFmt w:val="lowerRoman"/>
      <w:lvlText w:val="%9."/>
      <w:lvlJc w:val="right"/>
      <w:pPr>
        <w:tabs>
          <w:tab w:val="left" w:pos="57"/>
        </w:tabs>
        <w:ind w:left="363" w:hanging="363"/>
      </w:pPr>
      <w:rPr>
        <w:rFonts w:hint="eastAsia" w:cs="Times New Roman"/>
      </w:rPr>
    </w:lvl>
  </w:abstractNum>
  <w:abstractNum w:abstractNumId="19">
    <w:nsid w:val="11D02A61"/>
    <w:multiLevelType w:val="multilevel"/>
    <w:tmpl w:val="11D02A6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187155A0"/>
    <w:multiLevelType w:val="multilevel"/>
    <w:tmpl w:val="187155A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1B5E12F9"/>
    <w:multiLevelType w:val="multilevel"/>
    <w:tmpl w:val="1B5E12F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1DBF583A"/>
    <w:multiLevelType w:val="multilevel"/>
    <w:tmpl w:val="1DBF583A"/>
    <w:lvl w:ilvl="0" w:tentative="0">
      <w:start w:val="1"/>
      <w:numFmt w:val="decimal"/>
      <w:pStyle w:val="77"/>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23">
    <w:nsid w:val="1FC91163"/>
    <w:multiLevelType w:val="multilevel"/>
    <w:tmpl w:val="1FC91163"/>
    <w:lvl w:ilvl="0" w:tentative="0">
      <w:start w:val="1"/>
      <w:numFmt w:val="decimal"/>
      <w:pStyle w:val="57"/>
      <w:suff w:val="nothing"/>
      <w:lvlText w:val="%1　"/>
      <w:lvlJc w:val="left"/>
      <w:rPr>
        <w:rFonts w:hint="eastAsia" w:ascii="黑体" w:hAnsi="Times New Roman" w:eastAsia="黑体" w:cs="Times New Roman"/>
        <w:b w:val="0"/>
        <w:i w:val="0"/>
        <w:sz w:val="21"/>
        <w:szCs w:val="21"/>
      </w:rPr>
    </w:lvl>
    <w:lvl w:ilvl="1" w:tentative="0">
      <w:start w:val="1"/>
      <w:numFmt w:val="decimal"/>
      <w:pStyle w:val="54"/>
      <w:suff w:val="nothing"/>
      <w:lvlText w:val="%1.%2　"/>
      <w:lvlJc w:val="left"/>
      <w:pPr>
        <w:ind w:left="397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8"/>
      <w:suff w:val="nothing"/>
      <w:lvlText w:val="%1.%2.%3　"/>
      <w:lvlJc w:val="left"/>
      <w:pPr>
        <w:ind w:left="284"/>
      </w:pPr>
      <w:rPr>
        <w:rFonts w:hint="eastAsia" w:ascii="黑体" w:hAnsi="Times New Roman" w:eastAsia="黑体" w:cs="Times New Roman"/>
        <w:b w:val="0"/>
        <w:i w:val="0"/>
        <w:sz w:val="21"/>
      </w:rPr>
    </w:lvl>
    <w:lvl w:ilvl="3" w:tentative="0">
      <w:start w:val="1"/>
      <w:numFmt w:val="decimal"/>
      <w:pStyle w:val="63"/>
      <w:suff w:val="nothing"/>
      <w:lvlText w:val="%1.%2.%3.%4　"/>
      <w:lvlJc w:val="left"/>
      <w:rPr>
        <w:rFonts w:hint="eastAsia" w:ascii="黑体" w:hAnsi="Times New Roman" w:eastAsia="黑体" w:cs="Times New Roman"/>
        <w:b w:val="0"/>
        <w:i w:val="0"/>
        <w:sz w:val="21"/>
      </w:rPr>
    </w:lvl>
    <w:lvl w:ilvl="4" w:tentative="0">
      <w:start w:val="1"/>
      <w:numFmt w:val="decimal"/>
      <w:pStyle w:val="67"/>
      <w:suff w:val="nothing"/>
      <w:lvlText w:val="%1.%2.%3.%4.%5　"/>
      <w:lvlJc w:val="left"/>
      <w:rPr>
        <w:rFonts w:hint="eastAsia" w:ascii="黑体" w:hAnsi="Times New Roman" w:eastAsia="黑体" w:cs="Times New Roman"/>
        <w:b w:val="0"/>
        <w:i w:val="0"/>
        <w:sz w:val="21"/>
      </w:rPr>
    </w:lvl>
    <w:lvl w:ilvl="5" w:tentative="0">
      <w:start w:val="1"/>
      <w:numFmt w:val="decimal"/>
      <w:pStyle w:val="68"/>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4">
    <w:nsid w:val="23060456"/>
    <w:multiLevelType w:val="multilevel"/>
    <w:tmpl w:val="2306045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2A8F7113"/>
    <w:multiLevelType w:val="multilevel"/>
    <w:tmpl w:val="2A8F7113"/>
    <w:lvl w:ilvl="0" w:tentative="0">
      <w:start w:val="1"/>
      <w:numFmt w:val="upperLetter"/>
      <w:pStyle w:val="110"/>
      <w:suff w:val="space"/>
      <w:lvlText w:val="%1"/>
      <w:lvlJc w:val="left"/>
      <w:pPr>
        <w:ind w:left="623" w:hanging="425"/>
      </w:pPr>
      <w:rPr>
        <w:rFonts w:hint="eastAsia" w:cs="Times New Roman"/>
      </w:rPr>
    </w:lvl>
    <w:lvl w:ilvl="1" w:tentative="0">
      <w:start w:val="1"/>
      <w:numFmt w:val="decimal"/>
      <w:pStyle w:val="111"/>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26">
    <w:nsid w:val="2C5917C3"/>
    <w:multiLevelType w:val="multilevel"/>
    <w:tmpl w:val="2C5917C3"/>
    <w:lvl w:ilvl="0" w:tentative="0">
      <w:start w:val="1"/>
      <w:numFmt w:val="none"/>
      <w:pStyle w:val="60"/>
      <w:suff w:val="nothing"/>
      <w:lvlText w:val="%1——"/>
      <w:lvlJc w:val="left"/>
      <w:pPr>
        <w:ind w:left="833" w:hanging="408"/>
      </w:pPr>
      <w:rPr>
        <w:rFonts w:hint="eastAsia" w:cs="Times New Roman"/>
      </w:rPr>
    </w:lvl>
    <w:lvl w:ilvl="1" w:tentative="0">
      <w:start w:val="1"/>
      <w:numFmt w:val="bullet"/>
      <w:pStyle w:val="61"/>
      <w:lvlText w:val=""/>
      <w:lvlJc w:val="left"/>
      <w:pPr>
        <w:tabs>
          <w:tab w:val="left" w:pos="760"/>
        </w:tabs>
        <w:ind w:left="1264" w:hanging="413"/>
      </w:pPr>
      <w:rPr>
        <w:rFonts w:hint="default" w:ascii="Symbol" w:hAnsi="Symbol"/>
        <w:color w:val="auto"/>
      </w:rPr>
    </w:lvl>
    <w:lvl w:ilvl="2" w:tentative="0">
      <w:start w:val="1"/>
      <w:numFmt w:val="bullet"/>
      <w:pStyle w:val="7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27">
    <w:nsid w:val="31A93898"/>
    <w:multiLevelType w:val="multilevel"/>
    <w:tmpl w:val="31A93898"/>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3D733618"/>
    <w:multiLevelType w:val="multilevel"/>
    <w:tmpl w:val="3D733618"/>
    <w:lvl w:ilvl="0" w:tentative="0">
      <w:start w:val="1"/>
      <w:numFmt w:val="decimal"/>
      <w:pStyle w:val="26"/>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29">
    <w:nsid w:val="40491A74"/>
    <w:multiLevelType w:val="multilevel"/>
    <w:tmpl w:val="40491A7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0">
    <w:nsid w:val="44C50F90"/>
    <w:multiLevelType w:val="multilevel"/>
    <w:tmpl w:val="44C50F90"/>
    <w:lvl w:ilvl="0" w:tentative="0">
      <w:start w:val="1"/>
      <w:numFmt w:val="lowerLetter"/>
      <w:pStyle w:val="71"/>
      <w:lvlText w:val="%1)"/>
      <w:lvlJc w:val="left"/>
      <w:pPr>
        <w:tabs>
          <w:tab w:val="left" w:pos="839"/>
        </w:tabs>
        <w:ind w:left="839" w:hanging="419"/>
      </w:pPr>
      <w:rPr>
        <w:rFonts w:hint="eastAsia" w:ascii="宋体" w:hAnsi="宋体" w:eastAsia="宋体" w:cs="Times New Roman"/>
        <w:b w:val="0"/>
        <w:i w:val="0"/>
        <w:sz w:val="21"/>
        <w:szCs w:val="21"/>
      </w:rPr>
    </w:lvl>
    <w:lvl w:ilvl="1" w:tentative="0">
      <w:start w:val="1"/>
      <w:numFmt w:val="decimal"/>
      <w:pStyle w:val="66"/>
      <w:lvlText w:val="%2)"/>
      <w:lvlJc w:val="left"/>
      <w:pPr>
        <w:tabs>
          <w:tab w:val="left" w:pos="1259"/>
        </w:tabs>
        <w:ind w:left="1259" w:hanging="420"/>
      </w:pPr>
      <w:rPr>
        <w:rFonts w:hint="eastAsia" w:ascii="宋体" w:hAnsi="宋体" w:eastAsia="宋体" w:cs="Times New Roman"/>
        <w:b w:val="0"/>
        <w:i w:val="0"/>
        <w:sz w:val="20"/>
      </w:rPr>
    </w:lvl>
    <w:lvl w:ilvl="2" w:tentative="0">
      <w:start w:val="1"/>
      <w:numFmt w:val="decimal"/>
      <w:pStyle w:val="73"/>
      <w:lvlText w:val="(%3)"/>
      <w:lvlJc w:val="left"/>
      <w:pPr>
        <w:tabs>
          <w:tab w:val="left" w:pos="0"/>
        </w:tabs>
        <w:ind w:left="1678" w:hanging="419"/>
      </w:pPr>
      <w:rPr>
        <w:rFonts w:hint="eastAsia" w:ascii="宋体" w:hAnsi="宋体" w:eastAsia="宋体" w:cs="Times New Roman"/>
        <w:b w:val="0"/>
        <w:i w:val="0"/>
        <w:sz w:val="21"/>
        <w:szCs w:val="21"/>
      </w:rPr>
    </w:lvl>
    <w:lvl w:ilvl="3" w:tentative="0">
      <w:start w:val="1"/>
      <w:numFmt w:val="decimal"/>
      <w:lvlText w:val="%4."/>
      <w:lvlJc w:val="left"/>
      <w:pPr>
        <w:tabs>
          <w:tab w:val="left" w:pos="2098"/>
        </w:tabs>
        <w:ind w:left="2098" w:hanging="420"/>
      </w:pPr>
      <w:rPr>
        <w:rFonts w:hint="eastAsia" w:cs="Times New Roman"/>
      </w:rPr>
    </w:lvl>
    <w:lvl w:ilvl="4" w:tentative="0">
      <w:start w:val="1"/>
      <w:numFmt w:val="lowerLetter"/>
      <w:lvlText w:val="%5)"/>
      <w:lvlJc w:val="left"/>
      <w:pPr>
        <w:tabs>
          <w:tab w:val="left" w:pos="2517"/>
        </w:tabs>
        <w:ind w:left="2517" w:hanging="419"/>
      </w:pPr>
      <w:rPr>
        <w:rFonts w:hint="eastAsia" w:cs="Times New Roman"/>
      </w:rPr>
    </w:lvl>
    <w:lvl w:ilvl="5" w:tentative="0">
      <w:start w:val="1"/>
      <w:numFmt w:val="lowerRoman"/>
      <w:lvlText w:val="%6."/>
      <w:lvlJc w:val="right"/>
      <w:pPr>
        <w:tabs>
          <w:tab w:val="left" w:pos="2942"/>
        </w:tabs>
        <w:ind w:left="2937" w:hanging="420"/>
      </w:pPr>
      <w:rPr>
        <w:rFonts w:hint="eastAsia" w:cs="Times New Roman"/>
      </w:rPr>
    </w:lvl>
    <w:lvl w:ilvl="6" w:tentative="0">
      <w:start w:val="1"/>
      <w:numFmt w:val="decimal"/>
      <w:lvlText w:val="%7."/>
      <w:lvlJc w:val="left"/>
      <w:pPr>
        <w:tabs>
          <w:tab w:val="left" w:pos="3362"/>
        </w:tabs>
        <w:ind w:left="3356" w:hanging="414"/>
      </w:pPr>
      <w:rPr>
        <w:rFonts w:hint="eastAsia" w:cs="Times New Roman"/>
      </w:rPr>
    </w:lvl>
    <w:lvl w:ilvl="7" w:tentative="0">
      <w:start w:val="1"/>
      <w:numFmt w:val="lowerLetter"/>
      <w:lvlText w:val="%8)"/>
      <w:lvlJc w:val="left"/>
      <w:pPr>
        <w:tabs>
          <w:tab w:val="left" w:pos="3781"/>
        </w:tabs>
        <w:ind w:left="3776" w:hanging="414"/>
      </w:pPr>
      <w:rPr>
        <w:rFonts w:hint="eastAsia" w:cs="Times New Roman"/>
      </w:rPr>
    </w:lvl>
    <w:lvl w:ilvl="8" w:tentative="0">
      <w:start w:val="1"/>
      <w:numFmt w:val="lowerRoman"/>
      <w:lvlText w:val="%9."/>
      <w:lvlJc w:val="right"/>
      <w:pPr>
        <w:tabs>
          <w:tab w:val="left" w:pos="4201"/>
        </w:tabs>
        <w:ind w:left="4201" w:hanging="420"/>
      </w:pPr>
      <w:rPr>
        <w:rFonts w:hint="eastAsia" w:cs="Times New Roman"/>
      </w:rPr>
    </w:lvl>
  </w:abstractNum>
  <w:abstractNum w:abstractNumId="31">
    <w:nsid w:val="4B733A5F"/>
    <w:multiLevelType w:val="multilevel"/>
    <w:tmpl w:val="4B733A5F"/>
    <w:lvl w:ilvl="0" w:tentative="0">
      <w:start w:val="1"/>
      <w:numFmt w:val="decimal"/>
      <w:pStyle w:val="74"/>
      <w:suff w:val="nothing"/>
      <w:lvlText w:val="示例%1："/>
      <w:lvlJc w:val="left"/>
      <w:pPr>
        <w:ind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rPr>
        <w:rFonts w:hint="eastAsia" w:cs="Times New Roman"/>
        <w:vertAlign w:val="baseline"/>
      </w:rPr>
    </w:lvl>
    <w:lvl w:ilvl="2" w:tentative="0">
      <w:start w:val="1"/>
      <w:numFmt w:val="decimal"/>
      <w:suff w:val="space"/>
      <w:lvlText w:val="2.2.%3"/>
      <w:lvlJc w:val="left"/>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32">
    <w:nsid w:val="53647D68"/>
    <w:multiLevelType w:val="multilevel"/>
    <w:tmpl w:val="53647D68"/>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557C2AF5"/>
    <w:multiLevelType w:val="multilevel"/>
    <w:tmpl w:val="557C2AF5"/>
    <w:lvl w:ilvl="0" w:tentative="0">
      <w:start w:val="1"/>
      <w:numFmt w:val="decimal"/>
      <w:pStyle w:val="140"/>
      <w:suff w:val="nothing"/>
      <w:lvlText w:val="图%1　"/>
      <w:lvlJc w:val="left"/>
      <w:rPr>
        <w:rFonts w:hint="eastAsia" w:ascii="黑体" w:hAnsi="Times New Roman" w:eastAsia="黑体" w:cs="Times New Roman"/>
        <w:b w:val="0"/>
        <w:i w:val="0"/>
        <w:sz w:val="21"/>
      </w:rPr>
    </w:lvl>
    <w:lvl w:ilvl="1" w:tentative="0">
      <w:start w:val="1"/>
      <w:numFmt w:val="decimal"/>
      <w:suff w:val="nothing"/>
      <w:lvlText w:val="%1%2　"/>
      <w:lvlJc w:val="left"/>
      <w:rPr>
        <w:rFonts w:hint="default" w:ascii="Times New Roman" w:hAnsi="Times New Roman" w:eastAsia="黑体" w:cs="Times New Roman"/>
        <w:b w:val="0"/>
        <w:i w:val="0"/>
        <w:sz w:val="21"/>
      </w:rPr>
    </w:lvl>
    <w:lvl w:ilvl="2" w:tentative="0">
      <w:start w:val="1"/>
      <w:numFmt w:val="decimal"/>
      <w:suff w:val="nothing"/>
      <w:lvlText w:val="%1%2.%3　"/>
      <w:lvlJc w:val="left"/>
      <w:rPr>
        <w:rFonts w:hint="default" w:ascii="Times New Roman" w:hAnsi="Times New Roman" w:eastAsia="黑体" w:cs="Times New Roman"/>
        <w:b w:val="0"/>
        <w:i w:val="0"/>
        <w:sz w:val="21"/>
      </w:rPr>
    </w:lvl>
    <w:lvl w:ilvl="3" w:tentative="0">
      <w:start w:val="1"/>
      <w:numFmt w:val="decimal"/>
      <w:suff w:val="nothing"/>
      <w:lvlText w:val="%1%2.%3.%4　"/>
      <w:lvlJc w:val="left"/>
      <w:rPr>
        <w:rFonts w:hint="default" w:ascii="Times New Roman" w:hAnsi="Times New Roman" w:eastAsia="黑体" w:cs="Times New Roman"/>
        <w:b w:val="0"/>
        <w:i w:val="0"/>
        <w:sz w:val="21"/>
      </w:rPr>
    </w:lvl>
    <w:lvl w:ilvl="4" w:tentative="0">
      <w:start w:val="1"/>
      <w:numFmt w:val="decimal"/>
      <w:suff w:val="nothing"/>
      <w:lvlText w:val="%1%2.%3.%4.%5　"/>
      <w:lvlJc w:val="left"/>
      <w:rPr>
        <w:rFonts w:hint="default" w:ascii="Times New Roman" w:hAnsi="Times New Roman" w:eastAsia="黑体" w:cs="Times New Roman"/>
        <w:b w:val="0"/>
        <w:i w:val="0"/>
        <w:sz w:val="21"/>
      </w:rPr>
    </w:lvl>
    <w:lvl w:ilvl="5" w:tentative="0">
      <w:start w:val="1"/>
      <w:numFmt w:val="decimal"/>
      <w:suff w:val="nothing"/>
      <w:lvlText w:val="%1%2.%3.%4.%5.%6　"/>
      <w:lvlJc w:val="left"/>
      <w:rPr>
        <w:rFonts w:hint="default" w:ascii="Times New Roman" w:hAnsi="Times New Roman" w:eastAsia="黑体" w:cs="Times New Roman"/>
        <w:b w:val="0"/>
        <w:i w:val="0"/>
        <w:sz w:val="21"/>
      </w:rPr>
    </w:lvl>
    <w:lvl w:ilvl="6" w:tentative="0">
      <w:start w:val="1"/>
      <w:numFmt w:val="decimal"/>
      <w:suff w:val="nothing"/>
      <w:lvlText w:val="%1%2.%3.%4.%5.%6.%7　"/>
      <w:lvlJc w:val="left"/>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34">
    <w:nsid w:val="598BEC38"/>
    <w:multiLevelType w:val="multilevel"/>
    <w:tmpl w:val="598BEC38"/>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5EEFD1B9"/>
    <w:multiLevelType w:val="multilevel"/>
    <w:tmpl w:val="5EEFD1B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60B55DC2"/>
    <w:multiLevelType w:val="multilevel"/>
    <w:tmpl w:val="60B55DC2"/>
    <w:lvl w:ilvl="0" w:tentative="0">
      <w:start w:val="1"/>
      <w:numFmt w:val="upperLetter"/>
      <w:pStyle w:val="98"/>
      <w:lvlText w:val="%1"/>
      <w:lvlJc w:val="left"/>
      <w:pPr>
        <w:tabs>
          <w:tab w:val="left" w:pos="0"/>
        </w:tabs>
        <w:ind w:hanging="425"/>
      </w:pPr>
      <w:rPr>
        <w:rFonts w:hint="eastAsia" w:cs="Times New Roman"/>
      </w:rPr>
    </w:lvl>
    <w:lvl w:ilvl="1" w:tentative="0">
      <w:start w:val="1"/>
      <w:numFmt w:val="decimal"/>
      <w:pStyle w:val="99"/>
      <w:suff w:val="nothing"/>
      <w:lvlText w:val="表%1.%2　"/>
      <w:lvlJc w:val="left"/>
      <w:pPr>
        <w:ind w:left="3545"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37">
    <w:nsid w:val="646260FA"/>
    <w:multiLevelType w:val="multilevel"/>
    <w:tmpl w:val="646260FA"/>
    <w:lvl w:ilvl="0" w:tentative="0">
      <w:start w:val="1"/>
      <w:numFmt w:val="decimal"/>
      <w:pStyle w:val="138"/>
      <w:suff w:val="nothing"/>
      <w:lvlText w:val="表%1　"/>
      <w:lvlJc w:val="left"/>
      <w:rPr>
        <w:rFonts w:hint="eastAsia" w:ascii="黑体" w:hAnsi="Times New Roman" w:eastAsia="黑体" w:cs="Times New Roman"/>
        <w:b w:val="0"/>
        <w:i w:val="0"/>
        <w:sz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38">
    <w:nsid w:val="657D3FBC"/>
    <w:multiLevelType w:val="multilevel"/>
    <w:tmpl w:val="657D3FBC"/>
    <w:lvl w:ilvl="0" w:tentative="0">
      <w:start w:val="1"/>
      <w:numFmt w:val="upperLetter"/>
      <w:pStyle w:val="96"/>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156"/>
      <w:suff w:val="nothing"/>
      <w:lvlText w:val="%1.%2　"/>
      <w:lvlJc w:val="left"/>
      <w:rPr>
        <w:rFonts w:hint="eastAsia" w:ascii="黑体" w:hAnsi="Times New Roman" w:eastAsia="黑体" w:cs="Times New Roman"/>
        <w:b w:val="0"/>
        <w:i w:val="0"/>
        <w:snapToGrid/>
        <w:spacing w:val="0"/>
        <w:w w:val="100"/>
        <w:kern w:val="21"/>
        <w:sz w:val="21"/>
      </w:rPr>
    </w:lvl>
    <w:lvl w:ilvl="2" w:tentative="0">
      <w:start w:val="1"/>
      <w:numFmt w:val="decimal"/>
      <w:pStyle w:val="115"/>
      <w:suff w:val="nothing"/>
      <w:lvlText w:val="%1.%2.%3　"/>
      <w:lvlJc w:val="left"/>
      <w:rPr>
        <w:rFonts w:hint="eastAsia" w:ascii="黑体" w:hAnsi="Times New Roman" w:eastAsia="黑体" w:cs="Times New Roman"/>
        <w:b w:val="0"/>
        <w:i w:val="0"/>
        <w:sz w:val="21"/>
      </w:rPr>
    </w:lvl>
    <w:lvl w:ilvl="3" w:tentative="0">
      <w:start w:val="1"/>
      <w:numFmt w:val="decimal"/>
      <w:pStyle w:val="100"/>
      <w:suff w:val="nothing"/>
      <w:lvlText w:val="%1.%2.%3.%4　"/>
      <w:lvlJc w:val="left"/>
      <w:rPr>
        <w:rFonts w:hint="eastAsia" w:ascii="黑体" w:hAnsi="Times New Roman" w:eastAsia="黑体" w:cs="Times New Roman"/>
        <w:b w:val="0"/>
        <w:i w:val="0"/>
        <w:sz w:val="21"/>
      </w:rPr>
    </w:lvl>
    <w:lvl w:ilvl="4" w:tentative="0">
      <w:start w:val="1"/>
      <w:numFmt w:val="decimal"/>
      <w:pStyle w:val="105"/>
      <w:suff w:val="nothing"/>
      <w:lvlText w:val="%1.%2.%3.%4.%5　"/>
      <w:lvlJc w:val="left"/>
      <w:rPr>
        <w:rFonts w:hint="eastAsia" w:ascii="黑体" w:hAnsi="Times New Roman" w:eastAsia="黑体" w:cs="Times New Roman"/>
        <w:b w:val="0"/>
        <w:i w:val="0"/>
        <w:sz w:val="21"/>
      </w:rPr>
    </w:lvl>
    <w:lvl w:ilvl="5" w:tentative="0">
      <w:start w:val="1"/>
      <w:numFmt w:val="decimal"/>
      <w:pStyle w:val="108"/>
      <w:suff w:val="nothing"/>
      <w:lvlText w:val="%1.%2.%3.%4.%5.%6　"/>
      <w:lvlJc w:val="left"/>
      <w:rPr>
        <w:rFonts w:hint="eastAsia" w:ascii="黑体" w:hAnsi="Times New Roman" w:eastAsia="黑体" w:cs="Times New Roman"/>
        <w:b w:val="0"/>
        <w:i w:val="0"/>
        <w:sz w:val="21"/>
      </w:rPr>
    </w:lvl>
    <w:lvl w:ilvl="6" w:tentative="0">
      <w:start w:val="1"/>
      <w:numFmt w:val="decimal"/>
      <w:pStyle w:val="112"/>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9356"/>
        </w:tabs>
        <w:ind w:left="9356" w:hanging="1418"/>
      </w:pPr>
      <w:rPr>
        <w:rFonts w:hint="eastAsia" w:cs="Times New Roman"/>
      </w:rPr>
    </w:lvl>
    <w:lvl w:ilvl="8" w:tentative="0">
      <w:start w:val="1"/>
      <w:numFmt w:val="decimal"/>
      <w:lvlText w:val="%1.%2.%3.%4.%5.%6.%7.%8.%9"/>
      <w:lvlJc w:val="left"/>
      <w:pPr>
        <w:tabs>
          <w:tab w:val="left" w:pos="10064"/>
        </w:tabs>
        <w:ind w:left="10064" w:hanging="1700"/>
      </w:pPr>
      <w:rPr>
        <w:rFonts w:hint="eastAsia" w:cs="Times New Roman"/>
      </w:rPr>
    </w:lvl>
  </w:abstractNum>
  <w:abstractNum w:abstractNumId="39">
    <w:nsid w:val="6D6C07CD"/>
    <w:multiLevelType w:val="multilevel"/>
    <w:tmpl w:val="6D6C07CD"/>
    <w:lvl w:ilvl="0" w:tentative="0">
      <w:start w:val="1"/>
      <w:numFmt w:val="lowerLetter"/>
      <w:pStyle w:val="117"/>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7"/>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40">
    <w:nsid w:val="6DBF04F4"/>
    <w:multiLevelType w:val="multilevel"/>
    <w:tmpl w:val="6DBF04F4"/>
    <w:lvl w:ilvl="0" w:tentative="0">
      <w:start w:val="1"/>
      <w:numFmt w:val="none"/>
      <w:pStyle w:val="69"/>
      <w:suff w:val="nothing"/>
      <w:lvlText w:val="%1注："/>
      <w:lvlJc w:val="left"/>
      <w:pPr>
        <w:ind w:left="726" w:hanging="363"/>
      </w:pPr>
      <w:rPr>
        <w:rFonts w:hint="eastAsia" w:ascii="黑体" w:hAnsi="Times New Roman"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num w:numId="1">
    <w:abstractNumId w:val="28"/>
  </w:num>
  <w:num w:numId="2">
    <w:abstractNumId w:val="23"/>
  </w:num>
  <w:num w:numId="3">
    <w:abstractNumId w:val="26"/>
  </w:num>
  <w:num w:numId="4">
    <w:abstractNumId w:val="17"/>
  </w:num>
  <w:num w:numId="5">
    <w:abstractNumId w:val="30"/>
  </w:num>
  <w:num w:numId="6">
    <w:abstractNumId w:val="40"/>
  </w:num>
  <w:num w:numId="7">
    <w:abstractNumId w:val="15"/>
  </w:num>
  <w:num w:numId="8">
    <w:abstractNumId w:val="31"/>
  </w:num>
  <w:num w:numId="9">
    <w:abstractNumId w:val="22"/>
  </w:num>
  <w:num w:numId="10">
    <w:abstractNumId w:val="38"/>
  </w:num>
  <w:num w:numId="11">
    <w:abstractNumId w:val="36"/>
  </w:num>
  <w:num w:numId="12">
    <w:abstractNumId w:val="39"/>
  </w:num>
  <w:num w:numId="13">
    <w:abstractNumId w:val="25"/>
  </w:num>
  <w:num w:numId="14">
    <w:abstractNumId w:val="16"/>
  </w:num>
  <w:num w:numId="15">
    <w:abstractNumId w:val="18"/>
  </w:num>
  <w:num w:numId="16">
    <w:abstractNumId w:val="37"/>
  </w:num>
  <w:num w:numId="17">
    <w:abstractNumId w:val="33"/>
  </w:num>
  <w:num w:numId="18">
    <w:abstractNumId w:val="20"/>
  </w:num>
  <w:num w:numId="19">
    <w:abstractNumId w:val="8"/>
  </w:num>
  <w:num w:numId="20">
    <w:abstractNumId w:val="21"/>
  </w:num>
  <w:num w:numId="21">
    <w:abstractNumId w:val="29"/>
  </w:num>
  <w:num w:numId="22">
    <w:abstractNumId w:val="27"/>
  </w:num>
  <w:num w:numId="23">
    <w:abstractNumId w:val="3"/>
  </w:num>
  <w:num w:numId="24">
    <w:abstractNumId w:val="4"/>
  </w:num>
  <w:num w:numId="25">
    <w:abstractNumId w:val="10"/>
  </w:num>
  <w:num w:numId="26">
    <w:abstractNumId w:val="32"/>
  </w:num>
  <w:num w:numId="27">
    <w:abstractNumId w:val="12"/>
  </w:num>
  <w:num w:numId="28">
    <w:abstractNumId w:val="9"/>
  </w:num>
  <w:num w:numId="29">
    <w:abstractNumId w:val="7"/>
  </w:num>
  <w:num w:numId="30">
    <w:abstractNumId w:val="6"/>
  </w:num>
  <w:num w:numId="31">
    <w:abstractNumId w:val="5"/>
  </w:num>
  <w:num w:numId="32">
    <w:abstractNumId w:val="19"/>
  </w:num>
  <w:num w:numId="33">
    <w:abstractNumId w:val="13"/>
  </w:num>
  <w:num w:numId="34">
    <w:abstractNumId w:val="24"/>
  </w:num>
  <w:num w:numId="35">
    <w:abstractNumId w:val="34"/>
  </w:num>
  <w:num w:numId="36">
    <w:abstractNumId w:val="11"/>
  </w:num>
  <w:num w:numId="37">
    <w:abstractNumId w:val="14"/>
  </w:num>
  <w:num w:numId="38">
    <w:abstractNumId w:val="2"/>
  </w:num>
  <w:num w:numId="39">
    <w:abstractNumId w:val="1"/>
  </w:num>
  <w:num w:numId="40">
    <w:abstractNumId w:val="0"/>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07793"/>
    <w:rsid w:val="00010F1D"/>
    <w:rsid w:val="000128B3"/>
    <w:rsid w:val="00013D86"/>
    <w:rsid w:val="00013E02"/>
    <w:rsid w:val="00014446"/>
    <w:rsid w:val="00016C19"/>
    <w:rsid w:val="00020888"/>
    <w:rsid w:val="0002143C"/>
    <w:rsid w:val="00023077"/>
    <w:rsid w:val="00025A65"/>
    <w:rsid w:val="00026C31"/>
    <w:rsid w:val="00026CB9"/>
    <w:rsid w:val="00027229"/>
    <w:rsid w:val="00027280"/>
    <w:rsid w:val="00031775"/>
    <w:rsid w:val="000320A7"/>
    <w:rsid w:val="000320EA"/>
    <w:rsid w:val="000343F4"/>
    <w:rsid w:val="00035925"/>
    <w:rsid w:val="00036B21"/>
    <w:rsid w:val="00041C82"/>
    <w:rsid w:val="00050D41"/>
    <w:rsid w:val="00051F82"/>
    <w:rsid w:val="00057E84"/>
    <w:rsid w:val="0006004B"/>
    <w:rsid w:val="00062B25"/>
    <w:rsid w:val="00067CDF"/>
    <w:rsid w:val="00071632"/>
    <w:rsid w:val="00071F8F"/>
    <w:rsid w:val="00074FBE"/>
    <w:rsid w:val="00077A67"/>
    <w:rsid w:val="00081389"/>
    <w:rsid w:val="00083A09"/>
    <w:rsid w:val="0008723F"/>
    <w:rsid w:val="0009005E"/>
    <w:rsid w:val="00092857"/>
    <w:rsid w:val="0009578A"/>
    <w:rsid w:val="000A0ADC"/>
    <w:rsid w:val="000A17CF"/>
    <w:rsid w:val="000A20A9"/>
    <w:rsid w:val="000A30C8"/>
    <w:rsid w:val="000A38FE"/>
    <w:rsid w:val="000A48B1"/>
    <w:rsid w:val="000B3143"/>
    <w:rsid w:val="000B4C8F"/>
    <w:rsid w:val="000B5D57"/>
    <w:rsid w:val="000B6283"/>
    <w:rsid w:val="000C1B89"/>
    <w:rsid w:val="000C3D43"/>
    <w:rsid w:val="000C6B05"/>
    <w:rsid w:val="000C6DD6"/>
    <w:rsid w:val="000C73D4"/>
    <w:rsid w:val="000C7FFE"/>
    <w:rsid w:val="000D35E9"/>
    <w:rsid w:val="000D3A2F"/>
    <w:rsid w:val="000D3C25"/>
    <w:rsid w:val="000D3D4C"/>
    <w:rsid w:val="000D4D83"/>
    <w:rsid w:val="000D4F51"/>
    <w:rsid w:val="000D6F23"/>
    <w:rsid w:val="000D718B"/>
    <w:rsid w:val="000D73CB"/>
    <w:rsid w:val="000E0C46"/>
    <w:rsid w:val="000E20E8"/>
    <w:rsid w:val="000E27A2"/>
    <w:rsid w:val="000E30AB"/>
    <w:rsid w:val="000E3905"/>
    <w:rsid w:val="000F030C"/>
    <w:rsid w:val="000F129C"/>
    <w:rsid w:val="000F52A6"/>
    <w:rsid w:val="000F5D5C"/>
    <w:rsid w:val="001004EB"/>
    <w:rsid w:val="0010139E"/>
    <w:rsid w:val="00102086"/>
    <w:rsid w:val="001056DE"/>
    <w:rsid w:val="00105E7B"/>
    <w:rsid w:val="0010757C"/>
    <w:rsid w:val="001124C0"/>
    <w:rsid w:val="00112D08"/>
    <w:rsid w:val="001146DE"/>
    <w:rsid w:val="00115D2F"/>
    <w:rsid w:val="00122659"/>
    <w:rsid w:val="0012423D"/>
    <w:rsid w:val="001246FA"/>
    <w:rsid w:val="0012666B"/>
    <w:rsid w:val="001266A9"/>
    <w:rsid w:val="00126D59"/>
    <w:rsid w:val="00127B98"/>
    <w:rsid w:val="0013175F"/>
    <w:rsid w:val="0013321F"/>
    <w:rsid w:val="0013609B"/>
    <w:rsid w:val="00136C27"/>
    <w:rsid w:val="00142072"/>
    <w:rsid w:val="001438F4"/>
    <w:rsid w:val="00144894"/>
    <w:rsid w:val="001512B4"/>
    <w:rsid w:val="001522E8"/>
    <w:rsid w:val="00154D9C"/>
    <w:rsid w:val="001570BB"/>
    <w:rsid w:val="001620A5"/>
    <w:rsid w:val="00162358"/>
    <w:rsid w:val="0016384C"/>
    <w:rsid w:val="00163C29"/>
    <w:rsid w:val="0016498F"/>
    <w:rsid w:val="00164A93"/>
    <w:rsid w:val="00164E53"/>
    <w:rsid w:val="001653AB"/>
    <w:rsid w:val="001662B4"/>
    <w:rsid w:val="0016699D"/>
    <w:rsid w:val="0017362C"/>
    <w:rsid w:val="00174AE7"/>
    <w:rsid w:val="00174E86"/>
    <w:rsid w:val="00175159"/>
    <w:rsid w:val="00175172"/>
    <w:rsid w:val="00176208"/>
    <w:rsid w:val="00180D37"/>
    <w:rsid w:val="0018211B"/>
    <w:rsid w:val="001840D3"/>
    <w:rsid w:val="00185338"/>
    <w:rsid w:val="001900F8"/>
    <w:rsid w:val="00190AB9"/>
    <w:rsid w:val="00191258"/>
    <w:rsid w:val="00191A6D"/>
    <w:rsid w:val="00192680"/>
    <w:rsid w:val="00193037"/>
    <w:rsid w:val="00193A2C"/>
    <w:rsid w:val="001974E5"/>
    <w:rsid w:val="001A0994"/>
    <w:rsid w:val="001A1CD4"/>
    <w:rsid w:val="001A288E"/>
    <w:rsid w:val="001A631B"/>
    <w:rsid w:val="001A7213"/>
    <w:rsid w:val="001B308B"/>
    <w:rsid w:val="001B3204"/>
    <w:rsid w:val="001B3829"/>
    <w:rsid w:val="001B6DC2"/>
    <w:rsid w:val="001C0DDE"/>
    <w:rsid w:val="001C146E"/>
    <w:rsid w:val="001C149C"/>
    <w:rsid w:val="001C21AC"/>
    <w:rsid w:val="001C47BA"/>
    <w:rsid w:val="001C59EA"/>
    <w:rsid w:val="001D1723"/>
    <w:rsid w:val="001D1C1A"/>
    <w:rsid w:val="001D21BB"/>
    <w:rsid w:val="001D406C"/>
    <w:rsid w:val="001D41EE"/>
    <w:rsid w:val="001D4ADE"/>
    <w:rsid w:val="001D4B79"/>
    <w:rsid w:val="001D675F"/>
    <w:rsid w:val="001D6CEA"/>
    <w:rsid w:val="001E0380"/>
    <w:rsid w:val="001E11E4"/>
    <w:rsid w:val="001E13B1"/>
    <w:rsid w:val="001E3364"/>
    <w:rsid w:val="001E38C9"/>
    <w:rsid w:val="001E5F9D"/>
    <w:rsid w:val="001E7D6E"/>
    <w:rsid w:val="001F143A"/>
    <w:rsid w:val="001F37BB"/>
    <w:rsid w:val="001F3A19"/>
    <w:rsid w:val="001F5150"/>
    <w:rsid w:val="001F5F51"/>
    <w:rsid w:val="0020305A"/>
    <w:rsid w:val="002063E0"/>
    <w:rsid w:val="00211EE3"/>
    <w:rsid w:val="002128DC"/>
    <w:rsid w:val="002130E9"/>
    <w:rsid w:val="0021741F"/>
    <w:rsid w:val="00217F2E"/>
    <w:rsid w:val="00221CDD"/>
    <w:rsid w:val="00222FD8"/>
    <w:rsid w:val="00223CB1"/>
    <w:rsid w:val="00224E82"/>
    <w:rsid w:val="00225D29"/>
    <w:rsid w:val="0022731F"/>
    <w:rsid w:val="0023088B"/>
    <w:rsid w:val="002323C9"/>
    <w:rsid w:val="00232E92"/>
    <w:rsid w:val="00234467"/>
    <w:rsid w:val="00237D8D"/>
    <w:rsid w:val="002400D1"/>
    <w:rsid w:val="00241DA2"/>
    <w:rsid w:val="002421D0"/>
    <w:rsid w:val="002457C8"/>
    <w:rsid w:val="00246DFB"/>
    <w:rsid w:val="00247FEE"/>
    <w:rsid w:val="00250E7D"/>
    <w:rsid w:val="0025449C"/>
    <w:rsid w:val="002565D5"/>
    <w:rsid w:val="00261409"/>
    <w:rsid w:val="002622C0"/>
    <w:rsid w:val="002631F5"/>
    <w:rsid w:val="00263736"/>
    <w:rsid w:val="00264747"/>
    <w:rsid w:val="002666DC"/>
    <w:rsid w:val="002705E9"/>
    <w:rsid w:val="002709DD"/>
    <w:rsid w:val="00270D37"/>
    <w:rsid w:val="002711C1"/>
    <w:rsid w:val="002716EB"/>
    <w:rsid w:val="00274FDA"/>
    <w:rsid w:val="00275C7E"/>
    <w:rsid w:val="002778AE"/>
    <w:rsid w:val="0028269A"/>
    <w:rsid w:val="00282CFF"/>
    <w:rsid w:val="00283590"/>
    <w:rsid w:val="0028377D"/>
    <w:rsid w:val="00286973"/>
    <w:rsid w:val="0029036D"/>
    <w:rsid w:val="00293900"/>
    <w:rsid w:val="00294E70"/>
    <w:rsid w:val="00296446"/>
    <w:rsid w:val="002A1924"/>
    <w:rsid w:val="002A4B18"/>
    <w:rsid w:val="002A52E5"/>
    <w:rsid w:val="002A555C"/>
    <w:rsid w:val="002A6B06"/>
    <w:rsid w:val="002A6E57"/>
    <w:rsid w:val="002A71F5"/>
    <w:rsid w:val="002A7420"/>
    <w:rsid w:val="002B01A9"/>
    <w:rsid w:val="002B0F12"/>
    <w:rsid w:val="002B1308"/>
    <w:rsid w:val="002B154D"/>
    <w:rsid w:val="002B3A17"/>
    <w:rsid w:val="002B4554"/>
    <w:rsid w:val="002B502B"/>
    <w:rsid w:val="002B69B1"/>
    <w:rsid w:val="002C228C"/>
    <w:rsid w:val="002C2E92"/>
    <w:rsid w:val="002C3FF7"/>
    <w:rsid w:val="002C41E4"/>
    <w:rsid w:val="002C4279"/>
    <w:rsid w:val="002C4F8D"/>
    <w:rsid w:val="002C563B"/>
    <w:rsid w:val="002C70E5"/>
    <w:rsid w:val="002C72D8"/>
    <w:rsid w:val="002D0470"/>
    <w:rsid w:val="002D0D31"/>
    <w:rsid w:val="002D11FA"/>
    <w:rsid w:val="002D1DF9"/>
    <w:rsid w:val="002D3474"/>
    <w:rsid w:val="002D7E29"/>
    <w:rsid w:val="002E0DDF"/>
    <w:rsid w:val="002E143B"/>
    <w:rsid w:val="002E1440"/>
    <w:rsid w:val="002E2906"/>
    <w:rsid w:val="002E2E6C"/>
    <w:rsid w:val="002E49D1"/>
    <w:rsid w:val="002E4F5C"/>
    <w:rsid w:val="002E5635"/>
    <w:rsid w:val="002E5CF9"/>
    <w:rsid w:val="002E64C3"/>
    <w:rsid w:val="002E6A2C"/>
    <w:rsid w:val="002E7354"/>
    <w:rsid w:val="002F1D8C"/>
    <w:rsid w:val="002F21DA"/>
    <w:rsid w:val="002F3722"/>
    <w:rsid w:val="002F4F75"/>
    <w:rsid w:val="002F7487"/>
    <w:rsid w:val="0030170F"/>
    <w:rsid w:val="00301F39"/>
    <w:rsid w:val="0030591E"/>
    <w:rsid w:val="0030631E"/>
    <w:rsid w:val="00312750"/>
    <w:rsid w:val="00312B44"/>
    <w:rsid w:val="00312DA7"/>
    <w:rsid w:val="00315BE5"/>
    <w:rsid w:val="003170A8"/>
    <w:rsid w:val="00317BCC"/>
    <w:rsid w:val="00317C2B"/>
    <w:rsid w:val="003216D5"/>
    <w:rsid w:val="00323228"/>
    <w:rsid w:val="00325926"/>
    <w:rsid w:val="00325D30"/>
    <w:rsid w:val="00327A8A"/>
    <w:rsid w:val="00336610"/>
    <w:rsid w:val="00337B0B"/>
    <w:rsid w:val="00341EB6"/>
    <w:rsid w:val="00341FD7"/>
    <w:rsid w:val="00343F73"/>
    <w:rsid w:val="00345060"/>
    <w:rsid w:val="00345A2E"/>
    <w:rsid w:val="00350DB9"/>
    <w:rsid w:val="0035116B"/>
    <w:rsid w:val="00352742"/>
    <w:rsid w:val="0035323B"/>
    <w:rsid w:val="00353431"/>
    <w:rsid w:val="00356784"/>
    <w:rsid w:val="003609D2"/>
    <w:rsid w:val="00360DD2"/>
    <w:rsid w:val="00362867"/>
    <w:rsid w:val="00362B37"/>
    <w:rsid w:val="00362DCF"/>
    <w:rsid w:val="00363F22"/>
    <w:rsid w:val="003646CD"/>
    <w:rsid w:val="00365EA6"/>
    <w:rsid w:val="003663F5"/>
    <w:rsid w:val="00374C8B"/>
    <w:rsid w:val="00375564"/>
    <w:rsid w:val="00376D8E"/>
    <w:rsid w:val="003776A0"/>
    <w:rsid w:val="00383134"/>
    <w:rsid w:val="00383191"/>
    <w:rsid w:val="003867B7"/>
    <w:rsid w:val="00386DED"/>
    <w:rsid w:val="003912E7"/>
    <w:rsid w:val="00393947"/>
    <w:rsid w:val="00394A10"/>
    <w:rsid w:val="00394EF6"/>
    <w:rsid w:val="003972FE"/>
    <w:rsid w:val="0039795B"/>
    <w:rsid w:val="003A0C2A"/>
    <w:rsid w:val="003A1535"/>
    <w:rsid w:val="003A2275"/>
    <w:rsid w:val="003A393E"/>
    <w:rsid w:val="003A6A4F"/>
    <w:rsid w:val="003A7088"/>
    <w:rsid w:val="003B00DF"/>
    <w:rsid w:val="003B1275"/>
    <w:rsid w:val="003B1778"/>
    <w:rsid w:val="003B2E09"/>
    <w:rsid w:val="003B2F1C"/>
    <w:rsid w:val="003C07A9"/>
    <w:rsid w:val="003C0D54"/>
    <w:rsid w:val="003C11CB"/>
    <w:rsid w:val="003C477C"/>
    <w:rsid w:val="003C57AC"/>
    <w:rsid w:val="003C57B3"/>
    <w:rsid w:val="003C75F3"/>
    <w:rsid w:val="003C78A3"/>
    <w:rsid w:val="003C7E95"/>
    <w:rsid w:val="003D0E5F"/>
    <w:rsid w:val="003D341D"/>
    <w:rsid w:val="003E1140"/>
    <w:rsid w:val="003E1267"/>
    <w:rsid w:val="003E1867"/>
    <w:rsid w:val="003E40BE"/>
    <w:rsid w:val="003E5729"/>
    <w:rsid w:val="003E721C"/>
    <w:rsid w:val="003E7D72"/>
    <w:rsid w:val="003F07DE"/>
    <w:rsid w:val="003F1381"/>
    <w:rsid w:val="003F46B8"/>
    <w:rsid w:val="003F4E15"/>
    <w:rsid w:val="003F4EE0"/>
    <w:rsid w:val="004008AF"/>
    <w:rsid w:val="00402153"/>
    <w:rsid w:val="00402FC1"/>
    <w:rsid w:val="00404E4D"/>
    <w:rsid w:val="0040633F"/>
    <w:rsid w:val="004076AD"/>
    <w:rsid w:val="00410CF8"/>
    <w:rsid w:val="00411CB0"/>
    <w:rsid w:val="0041471D"/>
    <w:rsid w:val="00421B04"/>
    <w:rsid w:val="00422AF0"/>
    <w:rsid w:val="00425082"/>
    <w:rsid w:val="004308A6"/>
    <w:rsid w:val="004309A9"/>
    <w:rsid w:val="00431DEB"/>
    <w:rsid w:val="00432504"/>
    <w:rsid w:val="00433692"/>
    <w:rsid w:val="00433F39"/>
    <w:rsid w:val="004360DF"/>
    <w:rsid w:val="0044623F"/>
    <w:rsid w:val="00446B29"/>
    <w:rsid w:val="0045004D"/>
    <w:rsid w:val="00453F9A"/>
    <w:rsid w:val="00453FE6"/>
    <w:rsid w:val="0045567B"/>
    <w:rsid w:val="0045638A"/>
    <w:rsid w:val="004576E3"/>
    <w:rsid w:val="004649D8"/>
    <w:rsid w:val="004655C7"/>
    <w:rsid w:val="0046625D"/>
    <w:rsid w:val="004673F0"/>
    <w:rsid w:val="00467958"/>
    <w:rsid w:val="004719BE"/>
    <w:rsid w:val="00471E91"/>
    <w:rsid w:val="00473EC9"/>
    <w:rsid w:val="004744E1"/>
    <w:rsid w:val="00474675"/>
    <w:rsid w:val="0047470C"/>
    <w:rsid w:val="004748F5"/>
    <w:rsid w:val="00475AA9"/>
    <w:rsid w:val="0047693B"/>
    <w:rsid w:val="00476D37"/>
    <w:rsid w:val="00480305"/>
    <w:rsid w:val="00484BFC"/>
    <w:rsid w:val="004A0CE6"/>
    <w:rsid w:val="004A1526"/>
    <w:rsid w:val="004A35F9"/>
    <w:rsid w:val="004A5D46"/>
    <w:rsid w:val="004A6881"/>
    <w:rsid w:val="004B057B"/>
    <w:rsid w:val="004B0D82"/>
    <w:rsid w:val="004B24C1"/>
    <w:rsid w:val="004B262F"/>
    <w:rsid w:val="004B2D99"/>
    <w:rsid w:val="004B49BE"/>
    <w:rsid w:val="004C292F"/>
    <w:rsid w:val="004C4866"/>
    <w:rsid w:val="004C563A"/>
    <w:rsid w:val="004C770E"/>
    <w:rsid w:val="004D232B"/>
    <w:rsid w:val="004D420D"/>
    <w:rsid w:val="004E1E37"/>
    <w:rsid w:val="004E3084"/>
    <w:rsid w:val="004E38B8"/>
    <w:rsid w:val="004E4D5E"/>
    <w:rsid w:val="004E7204"/>
    <w:rsid w:val="004F588F"/>
    <w:rsid w:val="004F6DD2"/>
    <w:rsid w:val="004F78CB"/>
    <w:rsid w:val="00502A68"/>
    <w:rsid w:val="00510280"/>
    <w:rsid w:val="00513679"/>
    <w:rsid w:val="0051367C"/>
    <w:rsid w:val="00513D73"/>
    <w:rsid w:val="00514A43"/>
    <w:rsid w:val="005174E5"/>
    <w:rsid w:val="00517BFA"/>
    <w:rsid w:val="00522393"/>
    <w:rsid w:val="00522620"/>
    <w:rsid w:val="0052324B"/>
    <w:rsid w:val="00525656"/>
    <w:rsid w:val="00530E66"/>
    <w:rsid w:val="00533FDA"/>
    <w:rsid w:val="00534C02"/>
    <w:rsid w:val="00541EDF"/>
    <w:rsid w:val="0054264B"/>
    <w:rsid w:val="00543786"/>
    <w:rsid w:val="00547306"/>
    <w:rsid w:val="005522F5"/>
    <w:rsid w:val="00552C8C"/>
    <w:rsid w:val="005533D7"/>
    <w:rsid w:val="00555B10"/>
    <w:rsid w:val="00557203"/>
    <w:rsid w:val="00560363"/>
    <w:rsid w:val="005631F7"/>
    <w:rsid w:val="00565962"/>
    <w:rsid w:val="00567B00"/>
    <w:rsid w:val="005703DE"/>
    <w:rsid w:val="00574B07"/>
    <w:rsid w:val="00576594"/>
    <w:rsid w:val="0058464E"/>
    <w:rsid w:val="0058558C"/>
    <w:rsid w:val="005870C5"/>
    <w:rsid w:val="00590EDC"/>
    <w:rsid w:val="00593D90"/>
    <w:rsid w:val="0059446D"/>
    <w:rsid w:val="00594590"/>
    <w:rsid w:val="00595CA2"/>
    <w:rsid w:val="00597C2D"/>
    <w:rsid w:val="005A01CB"/>
    <w:rsid w:val="005A07A5"/>
    <w:rsid w:val="005A4C33"/>
    <w:rsid w:val="005A58FF"/>
    <w:rsid w:val="005A5EAF"/>
    <w:rsid w:val="005A6115"/>
    <w:rsid w:val="005A64C0"/>
    <w:rsid w:val="005A70E0"/>
    <w:rsid w:val="005B1883"/>
    <w:rsid w:val="005B2E12"/>
    <w:rsid w:val="005B3077"/>
    <w:rsid w:val="005B3835"/>
    <w:rsid w:val="005B3C11"/>
    <w:rsid w:val="005B40BC"/>
    <w:rsid w:val="005B67B2"/>
    <w:rsid w:val="005C1349"/>
    <w:rsid w:val="005C1C28"/>
    <w:rsid w:val="005C2C9E"/>
    <w:rsid w:val="005C3ADE"/>
    <w:rsid w:val="005C3E3E"/>
    <w:rsid w:val="005C4697"/>
    <w:rsid w:val="005C4ACC"/>
    <w:rsid w:val="005C5B87"/>
    <w:rsid w:val="005C6DB5"/>
    <w:rsid w:val="005C7E9D"/>
    <w:rsid w:val="005D27AF"/>
    <w:rsid w:val="005D2B02"/>
    <w:rsid w:val="005D37B4"/>
    <w:rsid w:val="005D60F1"/>
    <w:rsid w:val="005E0325"/>
    <w:rsid w:val="005E079C"/>
    <w:rsid w:val="005E19E7"/>
    <w:rsid w:val="005E342D"/>
    <w:rsid w:val="005E4244"/>
    <w:rsid w:val="005E62CE"/>
    <w:rsid w:val="005E647D"/>
    <w:rsid w:val="005E6C23"/>
    <w:rsid w:val="005F2A8B"/>
    <w:rsid w:val="005F383B"/>
    <w:rsid w:val="005F3ED7"/>
    <w:rsid w:val="005F4727"/>
    <w:rsid w:val="005F4E1D"/>
    <w:rsid w:val="005F728A"/>
    <w:rsid w:val="00601E40"/>
    <w:rsid w:val="00601FCE"/>
    <w:rsid w:val="00602558"/>
    <w:rsid w:val="006043BD"/>
    <w:rsid w:val="00606BEE"/>
    <w:rsid w:val="006101C4"/>
    <w:rsid w:val="0061122B"/>
    <w:rsid w:val="00611D45"/>
    <w:rsid w:val="00611F71"/>
    <w:rsid w:val="00616EA1"/>
    <w:rsid w:val="0061716C"/>
    <w:rsid w:val="006172E4"/>
    <w:rsid w:val="006241FD"/>
    <w:rsid w:val="006243A1"/>
    <w:rsid w:val="00624CED"/>
    <w:rsid w:val="00625D76"/>
    <w:rsid w:val="00630EF5"/>
    <w:rsid w:val="00632E56"/>
    <w:rsid w:val="00633567"/>
    <w:rsid w:val="00634310"/>
    <w:rsid w:val="00634D9C"/>
    <w:rsid w:val="00635CBA"/>
    <w:rsid w:val="00637E22"/>
    <w:rsid w:val="00637EBE"/>
    <w:rsid w:val="0064338B"/>
    <w:rsid w:val="006434C0"/>
    <w:rsid w:val="00646542"/>
    <w:rsid w:val="00646896"/>
    <w:rsid w:val="006504F4"/>
    <w:rsid w:val="00654BC9"/>
    <w:rsid w:val="006552FD"/>
    <w:rsid w:val="00655319"/>
    <w:rsid w:val="0065615E"/>
    <w:rsid w:val="00656D1B"/>
    <w:rsid w:val="006573F9"/>
    <w:rsid w:val="00661256"/>
    <w:rsid w:val="0066177D"/>
    <w:rsid w:val="00662A52"/>
    <w:rsid w:val="006630E6"/>
    <w:rsid w:val="00663AF3"/>
    <w:rsid w:val="006666FA"/>
    <w:rsid w:val="00666B6C"/>
    <w:rsid w:val="0067101C"/>
    <w:rsid w:val="00671215"/>
    <w:rsid w:val="00671E19"/>
    <w:rsid w:val="00672ACD"/>
    <w:rsid w:val="006737AE"/>
    <w:rsid w:val="00674692"/>
    <w:rsid w:val="00674F50"/>
    <w:rsid w:val="006761C0"/>
    <w:rsid w:val="00676237"/>
    <w:rsid w:val="00677052"/>
    <w:rsid w:val="006801D7"/>
    <w:rsid w:val="00682682"/>
    <w:rsid w:val="00682702"/>
    <w:rsid w:val="00685A38"/>
    <w:rsid w:val="0068629D"/>
    <w:rsid w:val="00690847"/>
    <w:rsid w:val="00692368"/>
    <w:rsid w:val="00694241"/>
    <w:rsid w:val="006957CC"/>
    <w:rsid w:val="00696B12"/>
    <w:rsid w:val="00696C73"/>
    <w:rsid w:val="00697C14"/>
    <w:rsid w:val="006A092B"/>
    <w:rsid w:val="006A1003"/>
    <w:rsid w:val="006A1F4D"/>
    <w:rsid w:val="006A2EBC"/>
    <w:rsid w:val="006A2F06"/>
    <w:rsid w:val="006A316F"/>
    <w:rsid w:val="006A5EA0"/>
    <w:rsid w:val="006A783B"/>
    <w:rsid w:val="006A7B33"/>
    <w:rsid w:val="006A7FAE"/>
    <w:rsid w:val="006B0FED"/>
    <w:rsid w:val="006B25E7"/>
    <w:rsid w:val="006B3101"/>
    <w:rsid w:val="006B4E13"/>
    <w:rsid w:val="006B7442"/>
    <w:rsid w:val="006B75DD"/>
    <w:rsid w:val="006C1E4C"/>
    <w:rsid w:val="006C67E0"/>
    <w:rsid w:val="006C6EB6"/>
    <w:rsid w:val="006C7094"/>
    <w:rsid w:val="006C71C9"/>
    <w:rsid w:val="006C7ABA"/>
    <w:rsid w:val="006D0D60"/>
    <w:rsid w:val="006D1122"/>
    <w:rsid w:val="006D22B3"/>
    <w:rsid w:val="006D2352"/>
    <w:rsid w:val="006D3C00"/>
    <w:rsid w:val="006D5FB8"/>
    <w:rsid w:val="006D6E16"/>
    <w:rsid w:val="006D7215"/>
    <w:rsid w:val="006E1D89"/>
    <w:rsid w:val="006E3675"/>
    <w:rsid w:val="006E4A7F"/>
    <w:rsid w:val="006E6BBF"/>
    <w:rsid w:val="006F2C27"/>
    <w:rsid w:val="006F44EC"/>
    <w:rsid w:val="00700A20"/>
    <w:rsid w:val="00700A91"/>
    <w:rsid w:val="00701E8C"/>
    <w:rsid w:val="007022A3"/>
    <w:rsid w:val="007043E7"/>
    <w:rsid w:val="00704DF6"/>
    <w:rsid w:val="0070651C"/>
    <w:rsid w:val="00712600"/>
    <w:rsid w:val="007132A3"/>
    <w:rsid w:val="00716421"/>
    <w:rsid w:val="007215C3"/>
    <w:rsid w:val="00724EFB"/>
    <w:rsid w:val="0072549A"/>
    <w:rsid w:val="00726E30"/>
    <w:rsid w:val="00730126"/>
    <w:rsid w:val="00730585"/>
    <w:rsid w:val="00732F88"/>
    <w:rsid w:val="00733136"/>
    <w:rsid w:val="00733161"/>
    <w:rsid w:val="00733C09"/>
    <w:rsid w:val="00734A51"/>
    <w:rsid w:val="00736831"/>
    <w:rsid w:val="007373A7"/>
    <w:rsid w:val="007419C3"/>
    <w:rsid w:val="007467A7"/>
    <w:rsid w:val="007469DD"/>
    <w:rsid w:val="0074741B"/>
    <w:rsid w:val="0074759E"/>
    <w:rsid w:val="007478EA"/>
    <w:rsid w:val="0075415C"/>
    <w:rsid w:val="0075457F"/>
    <w:rsid w:val="007550A7"/>
    <w:rsid w:val="00757F08"/>
    <w:rsid w:val="007624F2"/>
    <w:rsid w:val="00762B09"/>
    <w:rsid w:val="00763502"/>
    <w:rsid w:val="00763BEE"/>
    <w:rsid w:val="007657CE"/>
    <w:rsid w:val="00766BB6"/>
    <w:rsid w:val="00767419"/>
    <w:rsid w:val="00767ED3"/>
    <w:rsid w:val="00781B42"/>
    <w:rsid w:val="0078392A"/>
    <w:rsid w:val="00783C0F"/>
    <w:rsid w:val="00784816"/>
    <w:rsid w:val="00784FFA"/>
    <w:rsid w:val="007913AB"/>
    <w:rsid w:val="007914F7"/>
    <w:rsid w:val="00791EB6"/>
    <w:rsid w:val="00794DDB"/>
    <w:rsid w:val="00796407"/>
    <w:rsid w:val="00797DE0"/>
    <w:rsid w:val="007A1425"/>
    <w:rsid w:val="007A3609"/>
    <w:rsid w:val="007A54B6"/>
    <w:rsid w:val="007A74AB"/>
    <w:rsid w:val="007A74E3"/>
    <w:rsid w:val="007B1625"/>
    <w:rsid w:val="007B170B"/>
    <w:rsid w:val="007B706E"/>
    <w:rsid w:val="007B71EB"/>
    <w:rsid w:val="007C6205"/>
    <w:rsid w:val="007C686A"/>
    <w:rsid w:val="007C728E"/>
    <w:rsid w:val="007D1661"/>
    <w:rsid w:val="007D2C53"/>
    <w:rsid w:val="007D3D60"/>
    <w:rsid w:val="007D5A11"/>
    <w:rsid w:val="007D5F98"/>
    <w:rsid w:val="007E1980"/>
    <w:rsid w:val="007E2C51"/>
    <w:rsid w:val="007E3111"/>
    <w:rsid w:val="007E356D"/>
    <w:rsid w:val="007E44C9"/>
    <w:rsid w:val="007E4765"/>
    <w:rsid w:val="007E4B76"/>
    <w:rsid w:val="007E4C16"/>
    <w:rsid w:val="007E5329"/>
    <w:rsid w:val="007E5B80"/>
    <w:rsid w:val="007E5EA8"/>
    <w:rsid w:val="007E72C7"/>
    <w:rsid w:val="007F0CF1"/>
    <w:rsid w:val="007F12A5"/>
    <w:rsid w:val="007F1EF5"/>
    <w:rsid w:val="007F2FD1"/>
    <w:rsid w:val="007F3202"/>
    <w:rsid w:val="007F37A4"/>
    <w:rsid w:val="007F4CF1"/>
    <w:rsid w:val="007F758D"/>
    <w:rsid w:val="007F7B67"/>
    <w:rsid w:val="007F7D52"/>
    <w:rsid w:val="00802137"/>
    <w:rsid w:val="008047AB"/>
    <w:rsid w:val="0080654C"/>
    <w:rsid w:val="008071C6"/>
    <w:rsid w:val="0081040C"/>
    <w:rsid w:val="0081381D"/>
    <w:rsid w:val="008139E8"/>
    <w:rsid w:val="00814DE0"/>
    <w:rsid w:val="00814F14"/>
    <w:rsid w:val="00817A00"/>
    <w:rsid w:val="00821366"/>
    <w:rsid w:val="0082267D"/>
    <w:rsid w:val="00823CF0"/>
    <w:rsid w:val="0083044F"/>
    <w:rsid w:val="00833B27"/>
    <w:rsid w:val="0083400D"/>
    <w:rsid w:val="00835C56"/>
    <w:rsid w:val="00835DB3"/>
    <w:rsid w:val="0083617B"/>
    <w:rsid w:val="008371BD"/>
    <w:rsid w:val="0084350D"/>
    <w:rsid w:val="00844072"/>
    <w:rsid w:val="008504A8"/>
    <w:rsid w:val="00850D51"/>
    <w:rsid w:val="0085282E"/>
    <w:rsid w:val="008538F5"/>
    <w:rsid w:val="008544A2"/>
    <w:rsid w:val="00855546"/>
    <w:rsid w:val="00863D8B"/>
    <w:rsid w:val="00865A53"/>
    <w:rsid w:val="00866CEA"/>
    <w:rsid w:val="0087198C"/>
    <w:rsid w:val="00872C1F"/>
    <w:rsid w:val="0087315A"/>
    <w:rsid w:val="0087395C"/>
    <w:rsid w:val="00873B42"/>
    <w:rsid w:val="00877A95"/>
    <w:rsid w:val="00880237"/>
    <w:rsid w:val="008806CD"/>
    <w:rsid w:val="0088226C"/>
    <w:rsid w:val="00884276"/>
    <w:rsid w:val="008856D8"/>
    <w:rsid w:val="008860C8"/>
    <w:rsid w:val="00886C9A"/>
    <w:rsid w:val="008874B2"/>
    <w:rsid w:val="00890892"/>
    <w:rsid w:val="00892E82"/>
    <w:rsid w:val="00894268"/>
    <w:rsid w:val="0089557D"/>
    <w:rsid w:val="00896147"/>
    <w:rsid w:val="008A115C"/>
    <w:rsid w:val="008A3204"/>
    <w:rsid w:val="008A3C2D"/>
    <w:rsid w:val="008A3E75"/>
    <w:rsid w:val="008A4F00"/>
    <w:rsid w:val="008B4037"/>
    <w:rsid w:val="008B4056"/>
    <w:rsid w:val="008C1094"/>
    <w:rsid w:val="008C1B58"/>
    <w:rsid w:val="008C1FD4"/>
    <w:rsid w:val="008C39AE"/>
    <w:rsid w:val="008C3FD1"/>
    <w:rsid w:val="008C590D"/>
    <w:rsid w:val="008C5E2F"/>
    <w:rsid w:val="008C6B94"/>
    <w:rsid w:val="008D240A"/>
    <w:rsid w:val="008D3F22"/>
    <w:rsid w:val="008D7B31"/>
    <w:rsid w:val="008E031B"/>
    <w:rsid w:val="008E65C4"/>
    <w:rsid w:val="008E7029"/>
    <w:rsid w:val="008E7EF6"/>
    <w:rsid w:val="008F06E0"/>
    <w:rsid w:val="008F1142"/>
    <w:rsid w:val="008F1F98"/>
    <w:rsid w:val="008F58D5"/>
    <w:rsid w:val="008F6758"/>
    <w:rsid w:val="008F7A61"/>
    <w:rsid w:val="009040DD"/>
    <w:rsid w:val="009046C5"/>
    <w:rsid w:val="00905B47"/>
    <w:rsid w:val="0091331C"/>
    <w:rsid w:val="009203BF"/>
    <w:rsid w:val="00921EC4"/>
    <w:rsid w:val="009279DE"/>
    <w:rsid w:val="00930116"/>
    <w:rsid w:val="00934AA9"/>
    <w:rsid w:val="00935A99"/>
    <w:rsid w:val="00937C9B"/>
    <w:rsid w:val="009416A7"/>
    <w:rsid w:val="0094212C"/>
    <w:rsid w:val="00942399"/>
    <w:rsid w:val="00945C8B"/>
    <w:rsid w:val="00947100"/>
    <w:rsid w:val="00954689"/>
    <w:rsid w:val="009553A3"/>
    <w:rsid w:val="009555A0"/>
    <w:rsid w:val="00955D97"/>
    <w:rsid w:val="00955D98"/>
    <w:rsid w:val="0096171D"/>
    <w:rsid w:val="009617C9"/>
    <w:rsid w:val="00961C93"/>
    <w:rsid w:val="0096287D"/>
    <w:rsid w:val="00962952"/>
    <w:rsid w:val="00965324"/>
    <w:rsid w:val="00966270"/>
    <w:rsid w:val="00970305"/>
    <w:rsid w:val="0097091E"/>
    <w:rsid w:val="0097095A"/>
    <w:rsid w:val="009732DD"/>
    <w:rsid w:val="009760D3"/>
    <w:rsid w:val="00977132"/>
    <w:rsid w:val="0098165D"/>
    <w:rsid w:val="00981A4B"/>
    <w:rsid w:val="00982501"/>
    <w:rsid w:val="009850B2"/>
    <w:rsid w:val="00986757"/>
    <w:rsid w:val="009877D3"/>
    <w:rsid w:val="0099237C"/>
    <w:rsid w:val="00993224"/>
    <w:rsid w:val="009937D2"/>
    <w:rsid w:val="00994897"/>
    <w:rsid w:val="00994E8F"/>
    <w:rsid w:val="009951DC"/>
    <w:rsid w:val="009959BB"/>
    <w:rsid w:val="00996E18"/>
    <w:rsid w:val="00997158"/>
    <w:rsid w:val="009A2453"/>
    <w:rsid w:val="009A3A7C"/>
    <w:rsid w:val="009A4811"/>
    <w:rsid w:val="009A632B"/>
    <w:rsid w:val="009B1938"/>
    <w:rsid w:val="009B26A1"/>
    <w:rsid w:val="009B2ADB"/>
    <w:rsid w:val="009B3777"/>
    <w:rsid w:val="009B3EE4"/>
    <w:rsid w:val="009B603A"/>
    <w:rsid w:val="009B6A9F"/>
    <w:rsid w:val="009B6B41"/>
    <w:rsid w:val="009B793A"/>
    <w:rsid w:val="009C021F"/>
    <w:rsid w:val="009C23D6"/>
    <w:rsid w:val="009C2D0E"/>
    <w:rsid w:val="009C3269"/>
    <w:rsid w:val="009C332C"/>
    <w:rsid w:val="009C3DAC"/>
    <w:rsid w:val="009C42E0"/>
    <w:rsid w:val="009C5448"/>
    <w:rsid w:val="009C6BD5"/>
    <w:rsid w:val="009D0364"/>
    <w:rsid w:val="009D1887"/>
    <w:rsid w:val="009D1B14"/>
    <w:rsid w:val="009D31F5"/>
    <w:rsid w:val="009D41E5"/>
    <w:rsid w:val="009D4A3E"/>
    <w:rsid w:val="009D5362"/>
    <w:rsid w:val="009D76B6"/>
    <w:rsid w:val="009E1415"/>
    <w:rsid w:val="009E37D6"/>
    <w:rsid w:val="009E6116"/>
    <w:rsid w:val="009F0127"/>
    <w:rsid w:val="009F69F7"/>
    <w:rsid w:val="00A0117B"/>
    <w:rsid w:val="00A01556"/>
    <w:rsid w:val="00A01842"/>
    <w:rsid w:val="00A02E43"/>
    <w:rsid w:val="00A03C60"/>
    <w:rsid w:val="00A06340"/>
    <w:rsid w:val="00A065F9"/>
    <w:rsid w:val="00A07F34"/>
    <w:rsid w:val="00A11ECD"/>
    <w:rsid w:val="00A13D17"/>
    <w:rsid w:val="00A162F9"/>
    <w:rsid w:val="00A16A1A"/>
    <w:rsid w:val="00A2148E"/>
    <w:rsid w:val="00A22154"/>
    <w:rsid w:val="00A25C38"/>
    <w:rsid w:val="00A31C96"/>
    <w:rsid w:val="00A32C27"/>
    <w:rsid w:val="00A32C8E"/>
    <w:rsid w:val="00A335CD"/>
    <w:rsid w:val="00A3432C"/>
    <w:rsid w:val="00A36BBE"/>
    <w:rsid w:val="00A36F8C"/>
    <w:rsid w:val="00A41943"/>
    <w:rsid w:val="00A41B6F"/>
    <w:rsid w:val="00A4307A"/>
    <w:rsid w:val="00A43EE6"/>
    <w:rsid w:val="00A47EBB"/>
    <w:rsid w:val="00A50211"/>
    <w:rsid w:val="00A51CDD"/>
    <w:rsid w:val="00A5504E"/>
    <w:rsid w:val="00A552A7"/>
    <w:rsid w:val="00A56765"/>
    <w:rsid w:val="00A66C06"/>
    <w:rsid w:val="00A6730D"/>
    <w:rsid w:val="00A71625"/>
    <w:rsid w:val="00A71B9B"/>
    <w:rsid w:val="00A74C0A"/>
    <w:rsid w:val="00A751C7"/>
    <w:rsid w:val="00A7636D"/>
    <w:rsid w:val="00A777B1"/>
    <w:rsid w:val="00A804EE"/>
    <w:rsid w:val="00A808FF"/>
    <w:rsid w:val="00A82469"/>
    <w:rsid w:val="00A8363F"/>
    <w:rsid w:val="00A83EF5"/>
    <w:rsid w:val="00A84858"/>
    <w:rsid w:val="00A86625"/>
    <w:rsid w:val="00A87844"/>
    <w:rsid w:val="00A87C2D"/>
    <w:rsid w:val="00A903BD"/>
    <w:rsid w:val="00A92A1D"/>
    <w:rsid w:val="00A95B4A"/>
    <w:rsid w:val="00A963B1"/>
    <w:rsid w:val="00A96E10"/>
    <w:rsid w:val="00A974AD"/>
    <w:rsid w:val="00AA038C"/>
    <w:rsid w:val="00AA247B"/>
    <w:rsid w:val="00AA7A09"/>
    <w:rsid w:val="00AB0EFB"/>
    <w:rsid w:val="00AB1CE9"/>
    <w:rsid w:val="00AB23A0"/>
    <w:rsid w:val="00AB3B50"/>
    <w:rsid w:val="00AB52CB"/>
    <w:rsid w:val="00AC05B1"/>
    <w:rsid w:val="00AC0976"/>
    <w:rsid w:val="00AC135A"/>
    <w:rsid w:val="00AC3382"/>
    <w:rsid w:val="00AC4529"/>
    <w:rsid w:val="00AC470B"/>
    <w:rsid w:val="00AC4F17"/>
    <w:rsid w:val="00AC52BF"/>
    <w:rsid w:val="00AC5945"/>
    <w:rsid w:val="00AC605F"/>
    <w:rsid w:val="00AC6AAB"/>
    <w:rsid w:val="00AD0508"/>
    <w:rsid w:val="00AD07AB"/>
    <w:rsid w:val="00AD0F08"/>
    <w:rsid w:val="00AD1B37"/>
    <w:rsid w:val="00AD2EB2"/>
    <w:rsid w:val="00AD340A"/>
    <w:rsid w:val="00AD356C"/>
    <w:rsid w:val="00AD3A45"/>
    <w:rsid w:val="00AD5D09"/>
    <w:rsid w:val="00AE06F4"/>
    <w:rsid w:val="00AE2914"/>
    <w:rsid w:val="00AE6D15"/>
    <w:rsid w:val="00AE7764"/>
    <w:rsid w:val="00AE7B31"/>
    <w:rsid w:val="00AF0395"/>
    <w:rsid w:val="00AF311B"/>
    <w:rsid w:val="00AF484F"/>
    <w:rsid w:val="00AF69BC"/>
    <w:rsid w:val="00B04182"/>
    <w:rsid w:val="00B05871"/>
    <w:rsid w:val="00B07AE3"/>
    <w:rsid w:val="00B11430"/>
    <w:rsid w:val="00B11AA7"/>
    <w:rsid w:val="00B1256F"/>
    <w:rsid w:val="00B12573"/>
    <w:rsid w:val="00B13B41"/>
    <w:rsid w:val="00B17F85"/>
    <w:rsid w:val="00B20D10"/>
    <w:rsid w:val="00B24091"/>
    <w:rsid w:val="00B25E1F"/>
    <w:rsid w:val="00B277B7"/>
    <w:rsid w:val="00B31538"/>
    <w:rsid w:val="00B31D84"/>
    <w:rsid w:val="00B3323A"/>
    <w:rsid w:val="00B353EB"/>
    <w:rsid w:val="00B376F1"/>
    <w:rsid w:val="00B37748"/>
    <w:rsid w:val="00B42088"/>
    <w:rsid w:val="00B439C4"/>
    <w:rsid w:val="00B44073"/>
    <w:rsid w:val="00B44D65"/>
    <w:rsid w:val="00B4535E"/>
    <w:rsid w:val="00B46434"/>
    <w:rsid w:val="00B47CE3"/>
    <w:rsid w:val="00B51802"/>
    <w:rsid w:val="00B51962"/>
    <w:rsid w:val="00B529D4"/>
    <w:rsid w:val="00B52A8C"/>
    <w:rsid w:val="00B53BFF"/>
    <w:rsid w:val="00B54061"/>
    <w:rsid w:val="00B56996"/>
    <w:rsid w:val="00B60DE7"/>
    <w:rsid w:val="00B632C4"/>
    <w:rsid w:val="00B636A8"/>
    <w:rsid w:val="00B665C6"/>
    <w:rsid w:val="00B6723A"/>
    <w:rsid w:val="00B71E85"/>
    <w:rsid w:val="00B72F5D"/>
    <w:rsid w:val="00B73699"/>
    <w:rsid w:val="00B73FAE"/>
    <w:rsid w:val="00B74B4C"/>
    <w:rsid w:val="00B755C7"/>
    <w:rsid w:val="00B75AE3"/>
    <w:rsid w:val="00B7614B"/>
    <w:rsid w:val="00B803B2"/>
    <w:rsid w:val="00B805AF"/>
    <w:rsid w:val="00B81E26"/>
    <w:rsid w:val="00B83C35"/>
    <w:rsid w:val="00B86870"/>
    <w:rsid w:val="00B869EC"/>
    <w:rsid w:val="00B9397A"/>
    <w:rsid w:val="00B945E4"/>
    <w:rsid w:val="00B9633D"/>
    <w:rsid w:val="00BA0352"/>
    <w:rsid w:val="00BA252B"/>
    <w:rsid w:val="00BA2EBE"/>
    <w:rsid w:val="00BA38EE"/>
    <w:rsid w:val="00BA3D56"/>
    <w:rsid w:val="00BA61C6"/>
    <w:rsid w:val="00BA6B14"/>
    <w:rsid w:val="00BB0F28"/>
    <w:rsid w:val="00BB2175"/>
    <w:rsid w:val="00BB2749"/>
    <w:rsid w:val="00BB458A"/>
    <w:rsid w:val="00BB69EC"/>
    <w:rsid w:val="00BC0AF3"/>
    <w:rsid w:val="00BC3D16"/>
    <w:rsid w:val="00BC4482"/>
    <w:rsid w:val="00BC7090"/>
    <w:rsid w:val="00BC7735"/>
    <w:rsid w:val="00BD00D3"/>
    <w:rsid w:val="00BD1659"/>
    <w:rsid w:val="00BD1FA2"/>
    <w:rsid w:val="00BD3AA9"/>
    <w:rsid w:val="00BD497C"/>
    <w:rsid w:val="00BD4A18"/>
    <w:rsid w:val="00BD6C7B"/>
    <w:rsid w:val="00BD6DB2"/>
    <w:rsid w:val="00BE0A73"/>
    <w:rsid w:val="00BE11CF"/>
    <w:rsid w:val="00BE1267"/>
    <w:rsid w:val="00BE21AB"/>
    <w:rsid w:val="00BE27A8"/>
    <w:rsid w:val="00BE28A4"/>
    <w:rsid w:val="00BE55CB"/>
    <w:rsid w:val="00BE5DEC"/>
    <w:rsid w:val="00BE6743"/>
    <w:rsid w:val="00BE6E65"/>
    <w:rsid w:val="00BE7566"/>
    <w:rsid w:val="00BF2269"/>
    <w:rsid w:val="00BF3A04"/>
    <w:rsid w:val="00BF3E5F"/>
    <w:rsid w:val="00BF406E"/>
    <w:rsid w:val="00BF461A"/>
    <w:rsid w:val="00BF6039"/>
    <w:rsid w:val="00BF617A"/>
    <w:rsid w:val="00C02409"/>
    <w:rsid w:val="00C0379D"/>
    <w:rsid w:val="00C03931"/>
    <w:rsid w:val="00C05FE3"/>
    <w:rsid w:val="00C07A05"/>
    <w:rsid w:val="00C10880"/>
    <w:rsid w:val="00C10E93"/>
    <w:rsid w:val="00C11A4C"/>
    <w:rsid w:val="00C12F20"/>
    <w:rsid w:val="00C212F2"/>
    <w:rsid w:val="00C2136D"/>
    <w:rsid w:val="00C214EE"/>
    <w:rsid w:val="00C2314B"/>
    <w:rsid w:val="00C23CB9"/>
    <w:rsid w:val="00C24971"/>
    <w:rsid w:val="00C26BE5"/>
    <w:rsid w:val="00C26E4D"/>
    <w:rsid w:val="00C27909"/>
    <w:rsid w:val="00C27B03"/>
    <w:rsid w:val="00C314E1"/>
    <w:rsid w:val="00C32D96"/>
    <w:rsid w:val="00C34397"/>
    <w:rsid w:val="00C370D9"/>
    <w:rsid w:val="00C3774B"/>
    <w:rsid w:val="00C40004"/>
    <w:rsid w:val="00C4095D"/>
    <w:rsid w:val="00C41C35"/>
    <w:rsid w:val="00C4686B"/>
    <w:rsid w:val="00C46FC3"/>
    <w:rsid w:val="00C474F7"/>
    <w:rsid w:val="00C47F65"/>
    <w:rsid w:val="00C51F16"/>
    <w:rsid w:val="00C577A2"/>
    <w:rsid w:val="00C601D2"/>
    <w:rsid w:val="00C635D7"/>
    <w:rsid w:val="00C639C8"/>
    <w:rsid w:val="00C650BC"/>
    <w:rsid w:val="00C65BCC"/>
    <w:rsid w:val="00C66970"/>
    <w:rsid w:val="00C669F5"/>
    <w:rsid w:val="00C742F2"/>
    <w:rsid w:val="00C74B08"/>
    <w:rsid w:val="00C74CA3"/>
    <w:rsid w:val="00C74D18"/>
    <w:rsid w:val="00C7702D"/>
    <w:rsid w:val="00C779EA"/>
    <w:rsid w:val="00C80E5D"/>
    <w:rsid w:val="00C826BD"/>
    <w:rsid w:val="00C8691C"/>
    <w:rsid w:val="00C86979"/>
    <w:rsid w:val="00C927C0"/>
    <w:rsid w:val="00C92D13"/>
    <w:rsid w:val="00C932EC"/>
    <w:rsid w:val="00C9782D"/>
    <w:rsid w:val="00CA168A"/>
    <w:rsid w:val="00CA357E"/>
    <w:rsid w:val="00CA44F9"/>
    <w:rsid w:val="00CA4A69"/>
    <w:rsid w:val="00CA7329"/>
    <w:rsid w:val="00CB2CB7"/>
    <w:rsid w:val="00CB786F"/>
    <w:rsid w:val="00CC1EC0"/>
    <w:rsid w:val="00CC3318"/>
    <w:rsid w:val="00CC3E0C"/>
    <w:rsid w:val="00CC4836"/>
    <w:rsid w:val="00CC58D3"/>
    <w:rsid w:val="00CC6947"/>
    <w:rsid w:val="00CC784D"/>
    <w:rsid w:val="00CD5B3B"/>
    <w:rsid w:val="00CD64FC"/>
    <w:rsid w:val="00CE136C"/>
    <w:rsid w:val="00CE1620"/>
    <w:rsid w:val="00CE1A5B"/>
    <w:rsid w:val="00CE34B0"/>
    <w:rsid w:val="00CE3CD1"/>
    <w:rsid w:val="00CE4039"/>
    <w:rsid w:val="00CE7023"/>
    <w:rsid w:val="00CF0D98"/>
    <w:rsid w:val="00CF0DDE"/>
    <w:rsid w:val="00CF19D7"/>
    <w:rsid w:val="00CF5474"/>
    <w:rsid w:val="00CF5EA0"/>
    <w:rsid w:val="00D001CC"/>
    <w:rsid w:val="00D01B62"/>
    <w:rsid w:val="00D0337B"/>
    <w:rsid w:val="00D035BD"/>
    <w:rsid w:val="00D05AF9"/>
    <w:rsid w:val="00D06C2A"/>
    <w:rsid w:val="00D0795B"/>
    <w:rsid w:val="00D079B2"/>
    <w:rsid w:val="00D114E9"/>
    <w:rsid w:val="00D123E3"/>
    <w:rsid w:val="00D12CFB"/>
    <w:rsid w:val="00D16BFA"/>
    <w:rsid w:val="00D2341D"/>
    <w:rsid w:val="00D26AF6"/>
    <w:rsid w:val="00D319DE"/>
    <w:rsid w:val="00D31AD4"/>
    <w:rsid w:val="00D33CEB"/>
    <w:rsid w:val="00D33E23"/>
    <w:rsid w:val="00D40BD2"/>
    <w:rsid w:val="00D40F7E"/>
    <w:rsid w:val="00D4164A"/>
    <w:rsid w:val="00D429C6"/>
    <w:rsid w:val="00D4495A"/>
    <w:rsid w:val="00D44BC9"/>
    <w:rsid w:val="00D45661"/>
    <w:rsid w:val="00D46881"/>
    <w:rsid w:val="00D47748"/>
    <w:rsid w:val="00D5273D"/>
    <w:rsid w:val="00D54CC3"/>
    <w:rsid w:val="00D5538B"/>
    <w:rsid w:val="00D57661"/>
    <w:rsid w:val="00D57C18"/>
    <w:rsid w:val="00D60193"/>
    <w:rsid w:val="00D6041A"/>
    <w:rsid w:val="00D60ED8"/>
    <w:rsid w:val="00D613D5"/>
    <w:rsid w:val="00D633EB"/>
    <w:rsid w:val="00D6375C"/>
    <w:rsid w:val="00D63C9F"/>
    <w:rsid w:val="00D65453"/>
    <w:rsid w:val="00D6575B"/>
    <w:rsid w:val="00D65F39"/>
    <w:rsid w:val="00D66B01"/>
    <w:rsid w:val="00D71080"/>
    <w:rsid w:val="00D7119D"/>
    <w:rsid w:val="00D7447C"/>
    <w:rsid w:val="00D7509E"/>
    <w:rsid w:val="00D752E6"/>
    <w:rsid w:val="00D7653F"/>
    <w:rsid w:val="00D76B3D"/>
    <w:rsid w:val="00D8057C"/>
    <w:rsid w:val="00D82FF7"/>
    <w:rsid w:val="00D83623"/>
    <w:rsid w:val="00D847FE"/>
    <w:rsid w:val="00D87521"/>
    <w:rsid w:val="00D91A22"/>
    <w:rsid w:val="00D921EC"/>
    <w:rsid w:val="00D93BEE"/>
    <w:rsid w:val="00D95555"/>
    <w:rsid w:val="00D964EA"/>
    <w:rsid w:val="00D966D0"/>
    <w:rsid w:val="00D976A4"/>
    <w:rsid w:val="00DA03D4"/>
    <w:rsid w:val="00DA0C59"/>
    <w:rsid w:val="00DA3991"/>
    <w:rsid w:val="00DB23D6"/>
    <w:rsid w:val="00DB3228"/>
    <w:rsid w:val="00DB3364"/>
    <w:rsid w:val="00DB5540"/>
    <w:rsid w:val="00DB76DC"/>
    <w:rsid w:val="00DB7E6C"/>
    <w:rsid w:val="00DC06F8"/>
    <w:rsid w:val="00DC1383"/>
    <w:rsid w:val="00DC48C4"/>
    <w:rsid w:val="00DC5982"/>
    <w:rsid w:val="00DC6B15"/>
    <w:rsid w:val="00DC7633"/>
    <w:rsid w:val="00DD17A2"/>
    <w:rsid w:val="00DD2244"/>
    <w:rsid w:val="00DD5854"/>
    <w:rsid w:val="00DD5A29"/>
    <w:rsid w:val="00DD5D9D"/>
    <w:rsid w:val="00DD5DE5"/>
    <w:rsid w:val="00DE1540"/>
    <w:rsid w:val="00DE35CB"/>
    <w:rsid w:val="00DE373A"/>
    <w:rsid w:val="00DE47D1"/>
    <w:rsid w:val="00DE49CF"/>
    <w:rsid w:val="00DF14C9"/>
    <w:rsid w:val="00DF193A"/>
    <w:rsid w:val="00DF21E9"/>
    <w:rsid w:val="00DF3231"/>
    <w:rsid w:val="00DF3F46"/>
    <w:rsid w:val="00DF5A98"/>
    <w:rsid w:val="00DF6666"/>
    <w:rsid w:val="00DF7763"/>
    <w:rsid w:val="00E00F14"/>
    <w:rsid w:val="00E0176F"/>
    <w:rsid w:val="00E03A86"/>
    <w:rsid w:val="00E06281"/>
    <w:rsid w:val="00E06386"/>
    <w:rsid w:val="00E07A84"/>
    <w:rsid w:val="00E11490"/>
    <w:rsid w:val="00E12819"/>
    <w:rsid w:val="00E24148"/>
    <w:rsid w:val="00E24EB4"/>
    <w:rsid w:val="00E312DA"/>
    <w:rsid w:val="00E320ED"/>
    <w:rsid w:val="00E32163"/>
    <w:rsid w:val="00E3264D"/>
    <w:rsid w:val="00E3362A"/>
    <w:rsid w:val="00E33AFB"/>
    <w:rsid w:val="00E33B2F"/>
    <w:rsid w:val="00E33C4D"/>
    <w:rsid w:val="00E34218"/>
    <w:rsid w:val="00E34AD0"/>
    <w:rsid w:val="00E4102A"/>
    <w:rsid w:val="00E41790"/>
    <w:rsid w:val="00E42C02"/>
    <w:rsid w:val="00E436A1"/>
    <w:rsid w:val="00E45222"/>
    <w:rsid w:val="00E46282"/>
    <w:rsid w:val="00E46680"/>
    <w:rsid w:val="00E46BD4"/>
    <w:rsid w:val="00E51778"/>
    <w:rsid w:val="00E5216E"/>
    <w:rsid w:val="00E5381D"/>
    <w:rsid w:val="00E54486"/>
    <w:rsid w:val="00E5614E"/>
    <w:rsid w:val="00E57BDE"/>
    <w:rsid w:val="00E61644"/>
    <w:rsid w:val="00E6188F"/>
    <w:rsid w:val="00E63050"/>
    <w:rsid w:val="00E64AA4"/>
    <w:rsid w:val="00E70162"/>
    <w:rsid w:val="00E72650"/>
    <w:rsid w:val="00E72ADB"/>
    <w:rsid w:val="00E73B55"/>
    <w:rsid w:val="00E74249"/>
    <w:rsid w:val="00E772CE"/>
    <w:rsid w:val="00E81A6A"/>
    <w:rsid w:val="00E81AAC"/>
    <w:rsid w:val="00E82344"/>
    <w:rsid w:val="00E82CF5"/>
    <w:rsid w:val="00E8451E"/>
    <w:rsid w:val="00E84C82"/>
    <w:rsid w:val="00E84D00"/>
    <w:rsid w:val="00E84D3F"/>
    <w:rsid w:val="00E84D64"/>
    <w:rsid w:val="00E867D6"/>
    <w:rsid w:val="00E87408"/>
    <w:rsid w:val="00E914C4"/>
    <w:rsid w:val="00E91641"/>
    <w:rsid w:val="00E934F5"/>
    <w:rsid w:val="00E93C21"/>
    <w:rsid w:val="00E96961"/>
    <w:rsid w:val="00E9704D"/>
    <w:rsid w:val="00EA72EC"/>
    <w:rsid w:val="00EB11CB"/>
    <w:rsid w:val="00EB275A"/>
    <w:rsid w:val="00EB3EFE"/>
    <w:rsid w:val="00EB612A"/>
    <w:rsid w:val="00EB786A"/>
    <w:rsid w:val="00EC1578"/>
    <w:rsid w:val="00EC1C72"/>
    <w:rsid w:val="00EC2B5A"/>
    <w:rsid w:val="00EC3CC9"/>
    <w:rsid w:val="00EC680A"/>
    <w:rsid w:val="00EC7195"/>
    <w:rsid w:val="00ED078F"/>
    <w:rsid w:val="00ED2E5F"/>
    <w:rsid w:val="00ED30FF"/>
    <w:rsid w:val="00ED5E53"/>
    <w:rsid w:val="00ED7F5E"/>
    <w:rsid w:val="00EE13B6"/>
    <w:rsid w:val="00EE2BED"/>
    <w:rsid w:val="00EE374B"/>
    <w:rsid w:val="00EE40ED"/>
    <w:rsid w:val="00EE4F04"/>
    <w:rsid w:val="00EF0996"/>
    <w:rsid w:val="00EF267A"/>
    <w:rsid w:val="00EF3833"/>
    <w:rsid w:val="00F040AE"/>
    <w:rsid w:val="00F10C54"/>
    <w:rsid w:val="00F11BB5"/>
    <w:rsid w:val="00F1417B"/>
    <w:rsid w:val="00F1513D"/>
    <w:rsid w:val="00F158AA"/>
    <w:rsid w:val="00F16C52"/>
    <w:rsid w:val="00F27A46"/>
    <w:rsid w:val="00F30291"/>
    <w:rsid w:val="00F30681"/>
    <w:rsid w:val="00F32FF0"/>
    <w:rsid w:val="00F34B99"/>
    <w:rsid w:val="00F36E91"/>
    <w:rsid w:val="00F37453"/>
    <w:rsid w:val="00F379EA"/>
    <w:rsid w:val="00F429F5"/>
    <w:rsid w:val="00F45923"/>
    <w:rsid w:val="00F46438"/>
    <w:rsid w:val="00F47177"/>
    <w:rsid w:val="00F47ECD"/>
    <w:rsid w:val="00F52DAB"/>
    <w:rsid w:val="00F53714"/>
    <w:rsid w:val="00F543F0"/>
    <w:rsid w:val="00F55F2E"/>
    <w:rsid w:val="00F61034"/>
    <w:rsid w:val="00F61DAA"/>
    <w:rsid w:val="00F620CB"/>
    <w:rsid w:val="00F642F4"/>
    <w:rsid w:val="00F71A07"/>
    <w:rsid w:val="00F76E9E"/>
    <w:rsid w:val="00F805E4"/>
    <w:rsid w:val="00F81D29"/>
    <w:rsid w:val="00F838E2"/>
    <w:rsid w:val="00F83D7F"/>
    <w:rsid w:val="00F848FF"/>
    <w:rsid w:val="00F84F4C"/>
    <w:rsid w:val="00F856DB"/>
    <w:rsid w:val="00F87C55"/>
    <w:rsid w:val="00F91C4D"/>
    <w:rsid w:val="00F92FD9"/>
    <w:rsid w:val="00F941FE"/>
    <w:rsid w:val="00FA082F"/>
    <w:rsid w:val="00FA198C"/>
    <w:rsid w:val="00FA492D"/>
    <w:rsid w:val="00FA6684"/>
    <w:rsid w:val="00FA731E"/>
    <w:rsid w:val="00FA7504"/>
    <w:rsid w:val="00FB2B38"/>
    <w:rsid w:val="00FB41B4"/>
    <w:rsid w:val="00FC1020"/>
    <w:rsid w:val="00FC187A"/>
    <w:rsid w:val="00FC272C"/>
    <w:rsid w:val="00FC308D"/>
    <w:rsid w:val="00FC3ECB"/>
    <w:rsid w:val="00FC433C"/>
    <w:rsid w:val="00FC6358"/>
    <w:rsid w:val="00FC655E"/>
    <w:rsid w:val="00FC67DD"/>
    <w:rsid w:val="00FC7898"/>
    <w:rsid w:val="00FC7E52"/>
    <w:rsid w:val="00FD320D"/>
    <w:rsid w:val="00FD6216"/>
    <w:rsid w:val="00FD6FB6"/>
    <w:rsid w:val="00FE23DE"/>
    <w:rsid w:val="00FE52EE"/>
    <w:rsid w:val="00FF3744"/>
    <w:rsid w:val="00FF46F8"/>
    <w:rsid w:val="00FF49AC"/>
    <w:rsid w:val="00FF544B"/>
    <w:rsid w:val="00FF62C6"/>
    <w:rsid w:val="019F4ED9"/>
    <w:rsid w:val="02772E98"/>
    <w:rsid w:val="03064892"/>
    <w:rsid w:val="07532C9B"/>
    <w:rsid w:val="09873306"/>
    <w:rsid w:val="09A12B8C"/>
    <w:rsid w:val="0B26508D"/>
    <w:rsid w:val="0B363277"/>
    <w:rsid w:val="0C633565"/>
    <w:rsid w:val="0D143634"/>
    <w:rsid w:val="0E4F7BF5"/>
    <w:rsid w:val="0F1F5D64"/>
    <w:rsid w:val="1036301A"/>
    <w:rsid w:val="10485C8D"/>
    <w:rsid w:val="114323F5"/>
    <w:rsid w:val="1177069C"/>
    <w:rsid w:val="11F658EF"/>
    <w:rsid w:val="123151EF"/>
    <w:rsid w:val="133C5254"/>
    <w:rsid w:val="162D5766"/>
    <w:rsid w:val="177068FC"/>
    <w:rsid w:val="184B04E5"/>
    <w:rsid w:val="1A6B5476"/>
    <w:rsid w:val="1C6F215C"/>
    <w:rsid w:val="1DF504CA"/>
    <w:rsid w:val="1EBF7B1B"/>
    <w:rsid w:val="1F184CA4"/>
    <w:rsid w:val="1F801921"/>
    <w:rsid w:val="1F820F95"/>
    <w:rsid w:val="20D7181A"/>
    <w:rsid w:val="2200263C"/>
    <w:rsid w:val="223149C6"/>
    <w:rsid w:val="237B6481"/>
    <w:rsid w:val="23F64151"/>
    <w:rsid w:val="264C627D"/>
    <w:rsid w:val="29133D46"/>
    <w:rsid w:val="296F26A3"/>
    <w:rsid w:val="29B63676"/>
    <w:rsid w:val="2A1A3C94"/>
    <w:rsid w:val="2AD07AEA"/>
    <w:rsid w:val="2D1A6F83"/>
    <w:rsid w:val="2D2A02B5"/>
    <w:rsid w:val="2D610CF0"/>
    <w:rsid w:val="2F4A783E"/>
    <w:rsid w:val="2FB1662C"/>
    <w:rsid w:val="2FD55A33"/>
    <w:rsid w:val="304B48AF"/>
    <w:rsid w:val="311404DD"/>
    <w:rsid w:val="31E335CB"/>
    <w:rsid w:val="328110C9"/>
    <w:rsid w:val="32944DC3"/>
    <w:rsid w:val="36B92241"/>
    <w:rsid w:val="38E65111"/>
    <w:rsid w:val="3B660DE1"/>
    <w:rsid w:val="3C5E0D34"/>
    <w:rsid w:val="3CB745C6"/>
    <w:rsid w:val="3D5C793E"/>
    <w:rsid w:val="3D636E04"/>
    <w:rsid w:val="421B3967"/>
    <w:rsid w:val="42422F40"/>
    <w:rsid w:val="424A17CB"/>
    <w:rsid w:val="45765693"/>
    <w:rsid w:val="45CA2C86"/>
    <w:rsid w:val="472A44AC"/>
    <w:rsid w:val="47886AE8"/>
    <w:rsid w:val="47FF7EA6"/>
    <w:rsid w:val="489579DD"/>
    <w:rsid w:val="4A822CAB"/>
    <w:rsid w:val="4B1F41EC"/>
    <w:rsid w:val="4B1F6BC3"/>
    <w:rsid w:val="4B3D7B62"/>
    <w:rsid w:val="4B797820"/>
    <w:rsid w:val="4E3271BB"/>
    <w:rsid w:val="4EA92CBD"/>
    <w:rsid w:val="523B71C8"/>
    <w:rsid w:val="545315DB"/>
    <w:rsid w:val="556F4756"/>
    <w:rsid w:val="56160264"/>
    <w:rsid w:val="562746E5"/>
    <w:rsid w:val="56891322"/>
    <w:rsid w:val="56FF37D0"/>
    <w:rsid w:val="5787178B"/>
    <w:rsid w:val="58044EBE"/>
    <w:rsid w:val="5C046769"/>
    <w:rsid w:val="5C824667"/>
    <w:rsid w:val="5D1B16CB"/>
    <w:rsid w:val="5EAD2FFA"/>
    <w:rsid w:val="5F481D8D"/>
    <w:rsid w:val="608C4F74"/>
    <w:rsid w:val="609847AF"/>
    <w:rsid w:val="61AD4D06"/>
    <w:rsid w:val="6289597C"/>
    <w:rsid w:val="62B74A7A"/>
    <w:rsid w:val="64303F60"/>
    <w:rsid w:val="65384A4C"/>
    <w:rsid w:val="6783523D"/>
    <w:rsid w:val="687321DB"/>
    <w:rsid w:val="689D21BA"/>
    <w:rsid w:val="6B1E050B"/>
    <w:rsid w:val="6B3D408A"/>
    <w:rsid w:val="6B6B5BF4"/>
    <w:rsid w:val="6C525A1E"/>
    <w:rsid w:val="6E401D2E"/>
    <w:rsid w:val="6EFA7D3F"/>
    <w:rsid w:val="6F027CED"/>
    <w:rsid w:val="718740A7"/>
    <w:rsid w:val="72213DC9"/>
    <w:rsid w:val="72432D5D"/>
    <w:rsid w:val="741A6726"/>
    <w:rsid w:val="75A203E3"/>
    <w:rsid w:val="75E95774"/>
    <w:rsid w:val="76485F98"/>
    <w:rsid w:val="76643C5E"/>
    <w:rsid w:val="776A0B91"/>
    <w:rsid w:val="78BF1B86"/>
    <w:rsid w:val="794B401A"/>
    <w:rsid w:val="797D52B5"/>
    <w:rsid w:val="7ABD2C4B"/>
    <w:rsid w:val="7D6325E8"/>
    <w:rsid w:val="7F5C2D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name="toc 2"/>
    <w:lsdException w:qFormat="1" w:unhideWhenUsed="0" w:uiPriority="99" w:semiHidden="0" w:name="toc 3"/>
    <w:lsdException w:qFormat="1" w:unhideWhenUsed="0" w:uiPriority="99" w:semiHidden="0"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99" w:semiHidden="0" w:name="Emphasis"/>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99"/>
    <w:pPr>
      <w:keepNext/>
      <w:keepLines/>
      <w:spacing w:before="340" w:after="330" w:line="578" w:lineRule="auto"/>
      <w:outlineLvl w:val="0"/>
    </w:pPr>
    <w:rPr>
      <w:b/>
      <w:bCs/>
      <w:kern w:val="44"/>
      <w:sz w:val="44"/>
      <w:szCs w:val="44"/>
    </w:rPr>
  </w:style>
  <w:style w:type="paragraph" w:styleId="3">
    <w:name w:val="heading 3"/>
    <w:basedOn w:val="1"/>
    <w:next w:val="1"/>
    <w:link w:val="153"/>
    <w:semiHidden/>
    <w:unhideWhenUsed/>
    <w:qFormat/>
    <w:locked/>
    <w:uiPriority w:val="0"/>
    <w:pPr>
      <w:keepNext/>
      <w:keepLines/>
      <w:spacing w:before="260" w:after="260" w:line="416" w:lineRule="auto"/>
      <w:outlineLvl w:val="2"/>
    </w:pPr>
    <w:rPr>
      <w:b/>
      <w:bCs/>
      <w:sz w:val="32"/>
      <w:szCs w:val="32"/>
    </w:rPr>
  </w:style>
  <w:style w:type="character" w:default="1" w:styleId="36">
    <w:name w:val="Default Paragraph Font"/>
    <w:semiHidden/>
    <w:unhideWhenUsed/>
    <w:qFormat/>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styleId="4">
    <w:name w:val="toc 7"/>
    <w:basedOn w:val="1"/>
    <w:next w:val="1"/>
    <w:semiHidden/>
    <w:qFormat/>
    <w:uiPriority w:val="99"/>
    <w:pPr>
      <w:tabs>
        <w:tab w:val="right" w:leader="dot" w:pos="9241"/>
      </w:tabs>
      <w:ind w:firstLine="505" w:firstLineChars="500"/>
      <w:jc w:val="left"/>
    </w:pPr>
    <w:rPr>
      <w:rFonts w:ascii="宋体"/>
      <w:szCs w:val="21"/>
    </w:rPr>
  </w:style>
  <w:style w:type="paragraph" w:styleId="5">
    <w:name w:val="index 8"/>
    <w:basedOn w:val="1"/>
    <w:next w:val="1"/>
    <w:qFormat/>
    <w:uiPriority w:val="99"/>
    <w:pPr>
      <w:ind w:left="1680" w:hanging="210"/>
      <w:jc w:val="left"/>
    </w:pPr>
    <w:rPr>
      <w:rFonts w:ascii="Calibri" w:hAnsi="Calibri"/>
      <w:sz w:val="20"/>
      <w:szCs w:val="20"/>
    </w:rPr>
  </w:style>
  <w:style w:type="paragraph" w:styleId="6">
    <w:name w:val="caption"/>
    <w:basedOn w:val="1"/>
    <w:next w:val="1"/>
    <w:qFormat/>
    <w:uiPriority w:val="99"/>
    <w:pPr>
      <w:spacing w:before="152" w:after="160"/>
    </w:pPr>
    <w:rPr>
      <w:rFonts w:ascii="Arial" w:hAnsi="Arial" w:eastAsia="黑体" w:cs="Arial"/>
      <w:sz w:val="20"/>
      <w:szCs w:val="20"/>
    </w:rPr>
  </w:style>
  <w:style w:type="paragraph" w:styleId="7">
    <w:name w:val="index 5"/>
    <w:basedOn w:val="1"/>
    <w:next w:val="1"/>
    <w:qFormat/>
    <w:uiPriority w:val="99"/>
    <w:pPr>
      <w:ind w:left="1050" w:hanging="210"/>
      <w:jc w:val="left"/>
    </w:pPr>
    <w:rPr>
      <w:rFonts w:ascii="Calibri" w:hAnsi="Calibri"/>
      <w:sz w:val="20"/>
      <w:szCs w:val="20"/>
    </w:rPr>
  </w:style>
  <w:style w:type="paragraph" w:styleId="8">
    <w:name w:val="Document Map"/>
    <w:basedOn w:val="1"/>
    <w:link w:val="45"/>
    <w:semiHidden/>
    <w:qFormat/>
    <w:uiPriority w:val="99"/>
    <w:pPr>
      <w:shd w:val="clear" w:color="auto" w:fill="000080"/>
    </w:pPr>
  </w:style>
  <w:style w:type="paragraph" w:styleId="9">
    <w:name w:val="annotation text"/>
    <w:basedOn w:val="1"/>
    <w:link w:val="46"/>
    <w:qFormat/>
    <w:uiPriority w:val="99"/>
    <w:pPr>
      <w:jc w:val="left"/>
    </w:pPr>
  </w:style>
  <w:style w:type="paragraph" w:styleId="10">
    <w:name w:val="index 6"/>
    <w:basedOn w:val="1"/>
    <w:next w:val="1"/>
    <w:qFormat/>
    <w:uiPriority w:val="99"/>
    <w:pPr>
      <w:ind w:left="1260" w:hanging="210"/>
      <w:jc w:val="left"/>
    </w:pPr>
    <w:rPr>
      <w:rFonts w:ascii="Calibri" w:hAnsi="Calibri"/>
      <w:sz w:val="20"/>
      <w:szCs w:val="20"/>
    </w:rPr>
  </w:style>
  <w:style w:type="paragraph" w:styleId="11">
    <w:name w:val="Body Text"/>
    <w:basedOn w:val="1"/>
    <w:link w:val="47"/>
    <w:qFormat/>
    <w:uiPriority w:val="99"/>
    <w:rPr>
      <w:rFonts w:ascii="宋体" w:hAnsi="宋体" w:cs="宋体"/>
      <w:szCs w:val="21"/>
      <w:lang w:val="ca-ES" w:eastAsia="ca-ES"/>
    </w:rPr>
  </w:style>
  <w:style w:type="paragraph" w:styleId="12">
    <w:name w:val="index 4"/>
    <w:basedOn w:val="1"/>
    <w:next w:val="1"/>
    <w:qFormat/>
    <w:uiPriority w:val="99"/>
    <w:pPr>
      <w:ind w:left="840" w:hanging="210"/>
      <w:jc w:val="left"/>
    </w:pPr>
    <w:rPr>
      <w:rFonts w:ascii="Calibri" w:hAnsi="Calibri"/>
      <w:sz w:val="20"/>
      <w:szCs w:val="20"/>
    </w:rPr>
  </w:style>
  <w:style w:type="paragraph" w:styleId="13">
    <w:name w:val="toc 5"/>
    <w:basedOn w:val="1"/>
    <w:next w:val="1"/>
    <w:semiHidden/>
    <w:qFormat/>
    <w:uiPriority w:val="99"/>
    <w:pPr>
      <w:tabs>
        <w:tab w:val="right" w:leader="dot" w:pos="9241"/>
      </w:tabs>
      <w:ind w:firstLine="300" w:firstLineChars="300"/>
      <w:jc w:val="left"/>
    </w:pPr>
    <w:rPr>
      <w:rFonts w:ascii="宋体"/>
      <w:szCs w:val="21"/>
    </w:rPr>
  </w:style>
  <w:style w:type="paragraph" w:styleId="14">
    <w:name w:val="toc 3"/>
    <w:basedOn w:val="1"/>
    <w:next w:val="1"/>
    <w:qFormat/>
    <w:uiPriority w:val="99"/>
    <w:pPr>
      <w:tabs>
        <w:tab w:val="right" w:leader="dot" w:pos="9241"/>
      </w:tabs>
      <w:ind w:firstLine="102" w:firstLineChars="100"/>
      <w:jc w:val="left"/>
    </w:pPr>
    <w:rPr>
      <w:rFonts w:ascii="宋体"/>
      <w:szCs w:val="21"/>
    </w:rPr>
  </w:style>
  <w:style w:type="paragraph" w:styleId="15">
    <w:name w:val="toc 8"/>
    <w:basedOn w:val="1"/>
    <w:next w:val="1"/>
    <w:semiHidden/>
    <w:qFormat/>
    <w:uiPriority w:val="99"/>
    <w:pPr>
      <w:tabs>
        <w:tab w:val="right" w:leader="dot" w:pos="9241"/>
      </w:tabs>
      <w:ind w:firstLine="607" w:firstLineChars="600"/>
      <w:jc w:val="left"/>
    </w:pPr>
    <w:rPr>
      <w:rFonts w:ascii="宋体"/>
      <w:szCs w:val="21"/>
    </w:rPr>
  </w:style>
  <w:style w:type="paragraph" w:styleId="16">
    <w:name w:val="index 3"/>
    <w:basedOn w:val="1"/>
    <w:next w:val="1"/>
    <w:qFormat/>
    <w:uiPriority w:val="99"/>
    <w:pPr>
      <w:ind w:left="630" w:hanging="210"/>
      <w:jc w:val="left"/>
    </w:pPr>
    <w:rPr>
      <w:rFonts w:ascii="Calibri" w:hAnsi="Calibri"/>
      <w:sz w:val="20"/>
      <w:szCs w:val="20"/>
    </w:rPr>
  </w:style>
  <w:style w:type="paragraph" w:styleId="17">
    <w:name w:val="endnote text"/>
    <w:basedOn w:val="1"/>
    <w:link w:val="48"/>
    <w:semiHidden/>
    <w:qFormat/>
    <w:uiPriority w:val="99"/>
    <w:pPr>
      <w:snapToGrid w:val="0"/>
      <w:jc w:val="left"/>
    </w:pPr>
  </w:style>
  <w:style w:type="paragraph" w:styleId="18">
    <w:name w:val="Balloon Text"/>
    <w:basedOn w:val="1"/>
    <w:link w:val="49"/>
    <w:qFormat/>
    <w:uiPriority w:val="99"/>
    <w:rPr>
      <w:sz w:val="18"/>
      <w:szCs w:val="18"/>
    </w:rPr>
  </w:style>
  <w:style w:type="paragraph" w:styleId="19">
    <w:name w:val="footer"/>
    <w:basedOn w:val="1"/>
    <w:link w:val="50"/>
    <w:qFormat/>
    <w:uiPriority w:val="99"/>
    <w:pPr>
      <w:snapToGrid w:val="0"/>
      <w:ind w:right="210" w:rightChars="100"/>
      <w:jc w:val="right"/>
    </w:pPr>
    <w:rPr>
      <w:sz w:val="18"/>
      <w:szCs w:val="18"/>
    </w:rPr>
  </w:style>
  <w:style w:type="paragraph" w:styleId="20">
    <w:name w:val="header"/>
    <w:basedOn w:val="1"/>
    <w:link w:val="51"/>
    <w:qFormat/>
    <w:uiPriority w:val="99"/>
    <w:pPr>
      <w:snapToGrid w:val="0"/>
      <w:jc w:val="left"/>
    </w:pPr>
    <w:rPr>
      <w:sz w:val="18"/>
      <w:szCs w:val="18"/>
    </w:rPr>
  </w:style>
  <w:style w:type="paragraph" w:styleId="21">
    <w:name w:val="toc 1"/>
    <w:basedOn w:val="1"/>
    <w:next w:val="1"/>
    <w:qFormat/>
    <w:uiPriority w:val="99"/>
    <w:pPr>
      <w:tabs>
        <w:tab w:val="right" w:leader="dot" w:pos="9241"/>
      </w:tabs>
      <w:spacing w:beforeLines="25" w:afterLines="25"/>
      <w:jc w:val="left"/>
    </w:pPr>
    <w:rPr>
      <w:rFonts w:ascii="宋体"/>
      <w:szCs w:val="21"/>
    </w:rPr>
  </w:style>
  <w:style w:type="paragraph" w:styleId="22">
    <w:name w:val="toc 4"/>
    <w:basedOn w:val="1"/>
    <w:next w:val="1"/>
    <w:qFormat/>
    <w:uiPriority w:val="99"/>
    <w:pPr>
      <w:tabs>
        <w:tab w:val="right" w:leader="dot" w:pos="9241"/>
      </w:tabs>
      <w:ind w:firstLine="198" w:firstLineChars="200"/>
      <w:jc w:val="left"/>
    </w:pPr>
    <w:rPr>
      <w:rFonts w:ascii="宋体"/>
      <w:szCs w:val="21"/>
    </w:rPr>
  </w:style>
  <w:style w:type="paragraph" w:styleId="23">
    <w:name w:val="index heading"/>
    <w:basedOn w:val="1"/>
    <w:next w:val="24"/>
    <w:qFormat/>
    <w:uiPriority w:val="99"/>
    <w:pPr>
      <w:spacing w:before="120" w:after="120"/>
      <w:jc w:val="center"/>
    </w:pPr>
    <w:rPr>
      <w:rFonts w:ascii="Calibri" w:hAnsi="Calibri"/>
      <w:b/>
      <w:bCs/>
      <w:iCs/>
      <w:szCs w:val="20"/>
    </w:rPr>
  </w:style>
  <w:style w:type="paragraph" w:styleId="24">
    <w:name w:val="index 1"/>
    <w:basedOn w:val="1"/>
    <w:next w:val="25"/>
    <w:qFormat/>
    <w:uiPriority w:val="99"/>
    <w:pPr>
      <w:tabs>
        <w:tab w:val="right" w:leader="dot" w:pos="9299"/>
      </w:tabs>
      <w:jc w:val="left"/>
    </w:pPr>
    <w:rPr>
      <w:rFonts w:ascii="宋体"/>
      <w:szCs w:val="21"/>
    </w:rPr>
  </w:style>
  <w:style w:type="paragraph" w:customStyle="1" w:styleId="25">
    <w:name w:val="段"/>
    <w:link w:val="5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link w:val="52"/>
    <w:qFormat/>
    <w:uiPriority w:val="99"/>
    <w:pPr>
      <w:numPr>
        <w:ilvl w:val="0"/>
        <w:numId w:val="1"/>
      </w:numPr>
      <w:snapToGrid w:val="0"/>
      <w:jc w:val="left"/>
    </w:pPr>
    <w:rPr>
      <w:rFonts w:ascii="宋体"/>
      <w:sz w:val="18"/>
      <w:szCs w:val="18"/>
    </w:rPr>
  </w:style>
  <w:style w:type="paragraph" w:styleId="27">
    <w:name w:val="toc 6"/>
    <w:basedOn w:val="1"/>
    <w:next w:val="1"/>
    <w:semiHidden/>
    <w:qFormat/>
    <w:uiPriority w:val="99"/>
    <w:pPr>
      <w:tabs>
        <w:tab w:val="right" w:leader="dot" w:pos="9241"/>
      </w:tabs>
      <w:ind w:firstLine="403" w:firstLineChars="400"/>
      <w:jc w:val="left"/>
    </w:pPr>
    <w:rPr>
      <w:rFonts w:ascii="宋体"/>
      <w:szCs w:val="21"/>
    </w:rPr>
  </w:style>
  <w:style w:type="paragraph" w:styleId="28">
    <w:name w:val="index 7"/>
    <w:basedOn w:val="1"/>
    <w:next w:val="1"/>
    <w:qFormat/>
    <w:uiPriority w:val="99"/>
    <w:pPr>
      <w:ind w:left="1470" w:hanging="210"/>
      <w:jc w:val="left"/>
    </w:pPr>
    <w:rPr>
      <w:rFonts w:ascii="Calibri" w:hAnsi="Calibri"/>
      <w:sz w:val="20"/>
      <w:szCs w:val="20"/>
    </w:rPr>
  </w:style>
  <w:style w:type="paragraph" w:styleId="29">
    <w:name w:val="index 9"/>
    <w:basedOn w:val="1"/>
    <w:next w:val="1"/>
    <w:qFormat/>
    <w:uiPriority w:val="99"/>
    <w:pPr>
      <w:ind w:left="1890" w:hanging="210"/>
      <w:jc w:val="left"/>
    </w:pPr>
    <w:rPr>
      <w:rFonts w:ascii="Calibri" w:hAnsi="Calibri"/>
      <w:sz w:val="20"/>
      <w:szCs w:val="20"/>
    </w:rPr>
  </w:style>
  <w:style w:type="paragraph" w:styleId="30">
    <w:name w:val="toc 2"/>
    <w:basedOn w:val="1"/>
    <w:next w:val="1"/>
    <w:semiHidden/>
    <w:qFormat/>
    <w:uiPriority w:val="99"/>
    <w:pPr>
      <w:tabs>
        <w:tab w:val="right" w:leader="dot" w:pos="9241"/>
      </w:tabs>
    </w:pPr>
    <w:rPr>
      <w:rFonts w:ascii="宋体"/>
      <w:szCs w:val="21"/>
    </w:rPr>
  </w:style>
  <w:style w:type="paragraph" w:styleId="31">
    <w:name w:val="toc 9"/>
    <w:basedOn w:val="1"/>
    <w:next w:val="1"/>
    <w:semiHidden/>
    <w:qFormat/>
    <w:uiPriority w:val="99"/>
    <w:pPr>
      <w:ind w:left="1470"/>
      <w:jc w:val="left"/>
    </w:pPr>
    <w:rPr>
      <w:sz w:val="20"/>
      <w:szCs w:val="20"/>
    </w:rPr>
  </w:style>
  <w:style w:type="paragraph" w:styleId="32">
    <w:name w:val="index 2"/>
    <w:basedOn w:val="1"/>
    <w:next w:val="1"/>
    <w:qFormat/>
    <w:uiPriority w:val="99"/>
    <w:pPr>
      <w:ind w:left="420" w:hanging="210"/>
      <w:jc w:val="left"/>
    </w:pPr>
    <w:rPr>
      <w:rFonts w:ascii="Calibri" w:hAnsi="Calibri"/>
      <w:sz w:val="20"/>
      <w:szCs w:val="20"/>
    </w:rPr>
  </w:style>
  <w:style w:type="paragraph" w:styleId="33">
    <w:name w:val="annotation subject"/>
    <w:basedOn w:val="9"/>
    <w:next w:val="9"/>
    <w:link w:val="152"/>
    <w:semiHidden/>
    <w:unhideWhenUsed/>
    <w:qFormat/>
    <w:uiPriority w:val="99"/>
    <w:rPr>
      <w:b/>
      <w:bCs/>
    </w:rPr>
  </w:style>
  <w:style w:type="table" w:styleId="35">
    <w:name w:val="Table Grid"/>
    <w:basedOn w:val="34"/>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7">
    <w:name w:val="endnote reference"/>
    <w:basedOn w:val="36"/>
    <w:semiHidden/>
    <w:qFormat/>
    <w:uiPriority w:val="99"/>
    <w:rPr>
      <w:rFonts w:cs="Times New Roman"/>
      <w:vertAlign w:val="superscript"/>
    </w:rPr>
  </w:style>
  <w:style w:type="character" w:styleId="38">
    <w:name w:val="page number"/>
    <w:basedOn w:val="36"/>
    <w:qFormat/>
    <w:uiPriority w:val="99"/>
    <w:rPr>
      <w:rFonts w:ascii="Times New Roman" w:hAnsi="Times New Roman" w:eastAsia="宋体" w:cs="Times New Roman"/>
      <w:sz w:val="18"/>
    </w:rPr>
  </w:style>
  <w:style w:type="character" w:styleId="39">
    <w:name w:val="FollowedHyperlink"/>
    <w:basedOn w:val="36"/>
    <w:qFormat/>
    <w:uiPriority w:val="99"/>
    <w:rPr>
      <w:rFonts w:cs="Times New Roman"/>
      <w:color w:val="800080"/>
      <w:u w:val="single"/>
    </w:rPr>
  </w:style>
  <w:style w:type="character" w:styleId="40">
    <w:name w:val="Emphasis"/>
    <w:basedOn w:val="36"/>
    <w:qFormat/>
    <w:uiPriority w:val="99"/>
    <w:rPr>
      <w:rFonts w:cs="Times New Roman"/>
      <w:i/>
    </w:rPr>
  </w:style>
  <w:style w:type="character" w:styleId="41">
    <w:name w:val="Hyperlink"/>
    <w:basedOn w:val="36"/>
    <w:qFormat/>
    <w:uiPriority w:val="99"/>
    <w:rPr>
      <w:rFonts w:cs="Times New Roman"/>
      <w:color w:val="0000FF"/>
      <w:spacing w:val="0"/>
      <w:w w:val="100"/>
      <w:sz w:val="21"/>
      <w:u w:val="single"/>
    </w:rPr>
  </w:style>
  <w:style w:type="character" w:styleId="42">
    <w:name w:val="annotation reference"/>
    <w:basedOn w:val="36"/>
    <w:qFormat/>
    <w:uiPriority w:val="99"/>
    <w:rPr>
      <w:rFonts w:cs="Times New Roman"/>
      <w:sz w:val="21"/>
    </w:rPr>
  </w:style>
  <w:style w:type="character" w:styleId="43">
    <w:name w:val="footnote reference"/>
    <w:basedOn w:val="36"/>
    <w:semiHidden/>
    <w:qFormat/>
    <w:uiPriority w:val="99"/>
    <w:rPr>
      <w:rFonts w:cs="Times New Roman"/>
      <w:vertAlign w:val="superscript"/>
    </w:rPr>
  </w:style>
  <w:style w:type="character" w:customStyle="1" w:styleId="44">
    <w:name w:val="标题 1 Char"/>
    <w:basedOn w:val="36"/>
    <w:link w:val="2"/>
    <w:qFormat/>
    <w:locked/>
    <w:uiPriority w:val="99"/>
    <w:rPr>
      <w:b/>
      <w:kern w:val="44"/>
      <w:sz w:val="44"/>
    </w:rPr>
  </w:style>
  <w:style w:type="character" w:customStyle="1" w:styleId="45">
    <w:name w:val="文档结构图 Char"/>
    <w:basedOn w:val="36"/>
    <w:link w:val="8"/>
    <w:semiHidden/>
    <w:qFormat/>
    <w:uiPriority w:val="99"/>
    <w:rPr>
      <w:sz w:val="0"/>
      <w:szCs w:val="0"/>
    </w:rPr>
  </w:style>
  <w:style w:type="character" w:customStyle="1" w:styleId="46">
    <w:name w:val="批注文字 Char"/>
    <w:basedOn w:val="36"/>
    <w:link w:val="9"/>
    <w:qFormat/>
    <w:locked/>
    <w:uiPriority w:val="99"/>
    <w:rPr>
      <w:kern w:val="2"/>
      <w:sz w:val="24"/>
    </w:rPr>
  </w:style>
  <w:style w:type="character" w:customStyle="1" w:styleId="47">
    <w:name w:val="正文文本 Char"/>
    <w:basedOn w:val="36"/>
    <w:link w:val="11"/>
    <w:semiHidden/>
    <w:qFormat/>
    <w:uiPriority w:val="99"/>
    <w:rPr>
      <w:szCs w:val="24"/>
    </w:rPr>
  </w:style>
  <w:style w:type="character" w:customStyle="1" w:styleId="48">
    <w:name w:val="尾注文本 Char"/>
    <w:basedOn w:val="36"/>
    <w:link w:val="17"/>
    <w:semiHidden/>
    <w:qFormat/>
    <w:uiPriority w:val="99"/>
    <w:rPr>
      <w:szCs w:val="24"/>
    </w:rPr>
  </w:style>
  <w:style w:type="character" w:customStyle="1" w:styleId="49">
    <w:name w:val="批注框文本 Char"/>
    <w:basedOn w:val="36"/>
    <w:link w:val="18"/>
    <w:qFormat/>
    <w:locked/>
    <w:uiPriority w:val="99"/>
    <w:rPr>
      <w:kern w:val="2"/>
      <w:sz w:val="18"/>
    </w:rPr>
  </w:style>
  <w:style w:type="character" w:customStyle="1" w:styleId="50">
    <w:name w:val="页脚 Char"/>
    <w:basedOn w:val="36"/>
    <w:link w:val="19"/>
    <w:semiHidden/>
    <w:qFormat/>
    <w:uiPriority w:val="99"/>
    <w:rPr>
      <w:sz w:val="18"/>
      <w:szCs w:val="18"/>
    </w:rPr>
  </w:style>
  <w:style w:type="character" w:customStyle="1" w:styleId="51">
    <w:name w:val="页眉 Char"/>
    <w:basedOn w:val="36"/>
    <w:link w:val="20"/>
    <w:semiHidden/>
    <w:qFormat/>
    <w:uiPriority w:val="99"/>
    <w:rPr>
      <w:sz w:val="18"/>
      <w:szCs w:val="18"/>
    </w:rPr>
  </w:style>
  <w:style w:type="character" w:customStyle="1" w:styleId="52">
    <w:name w:val="脚注文本 Char"/>
    <w:basedOn w:val="36"/>
    <w:link w:val="26"/>
    <w:semiHidden/>
    <w:qFormat/>
    <w:uiPriority w:val="99"/>
    <w:rPr>
      <w:sz w:val="18"/>
      <w:szCs w:val="18"/>
    </w:rPr>
  </w:style>
  <w:style w:type="character" w:customStyle="1" w:styleId="53">
    <w:name w:val="段 Char"/>
    <w:link w:val="25"/>
    <w:qFormat/>
    <w:locked/>
    <w:uiPriority w:val="0"/>
    <w:rPr>
      <w:rFonts w:ascii="宋体"/>
      <w:sz w:val="21"/>
      <w:lang w:val="en-US" w:eastAsia="zh-CN"/>
    </w:rPr>
  </w:style>
  <w:style w:type="paragraph" w:customStyle="1" w:styleId="54">
    <w:name w:val="一级条标题"/>
    <w:next w:val="25"/>
    <w:qFormat/>
    <w:uiPriority w:val="99"/>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55">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56">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7">
    <w:name w:val="章标题"/>
    <w:next w:val="25"/>
    <w:qFormat/>
    <w:uiPriority w:val="99"/>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8">
    <w:name w:val="二级条标题"/>
    <w:basedOn w:val="54"/>
    <w:next w:val="25"/>
    <w:qFormat/>
    <w:uiPriority w:val="99"/>
    <w:pPr>
      <w:numPr>
        <w:ilvl w:val="2"/>
      </w:numPr>
      <w:spacing w:before="50" w:after="50"/>
      <w:ind w:left="567"/>
      <w:outlineLvl w:val="3"/>
    </w:pPr>
  </w:style>
  <w:style w:type="paragraph" w:customStyle="1" w:styleId="59">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0">
    <w:name w:val="列项——（一级）"/>
    <w:qFormat/>
    <w:uiPriority w:val="99"/>
    <w:pPr>
      <w:widowControl w:val="0"/>
      <w:numPr>
        <w:ilvl w:val="0"/>
        <w:numId w:val="3"/>
      </w:numPr>
      <w:jc w:val="both"/>
    </w:pPr>
    <w:rPr>
      <w:rFonts w:ascii="宋体" w:hAnsi="Times New Roman" w:eastAsia="宋体" w:cs="Times New Roman"/>
      <w:sz w:val="21"/>
      <w:lang w:val="en-US" w:eastAsia="zh-CN" w:bidi="ar-SA"/>
    </w:rPr>
  </w:style>
  <w:style w:type="paragraph" w:customStyle="1" w:styleId="61">
    <w:name w:val="列项●（二级）"/>
    <w:qFormat/>
    <w:uiPriority w:val="99"/>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2">
    <w:name w:val="目次、标准名称标题"/>
    <w:basedOn w:val="1"/>
    <w:next w:val="25"/>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3">
    <w:name w:val="三级条标题"/>
    <w:basedOn w:val="58"/>
    <w:next w:val="25"/>
    <w:qFormat/>
    <w:uiPriority w:val="99"/>
    <w:pPr>
      <w:numPr>
        <w:ilvl w:val="3"/>
      </w:numPr>
      <w:ind w:left="0"/>
      <w:outlineLvl w:val="4"/>
    </w:pPr>
  </w:style>
  <w:style w:type="paragraph" w:customStyle="1" w:styleId="64">
    <w:name w:val="示例"/>
    <w:next w:val="65"/>
    <w:qFormat/>
    <w:uiPriority w:val="99"/>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5">
    <w:name w:val="示例内容"/>
    <w:qFormat/>
    <w:uiPriority w:val="99"/>
    <w:pPr>
      <w:ind w:firstLine="200" w:firstLineChars="200"/>
    </w:pPr>
    <w:rPr>
      <w:rFonts w:ascii="宋体" w:hAnsi="Times New Roman" w:eastAsia="宋体" w:cs="Times New Roman"/>
      <w:sz w:val="18"/>
      <w:szCs w:val="18"/>
      <w:lang w:val="en-US" w:eastAsia="zh-CN" w:bidi="ar-SA"/>
    </w:rPr>
  </w:style>
  <w:style w:type="paragraph" w:customStyle="1" w:styleId="66">
    <w:name w:val="数字编号列项（二级）"/>
    <w:qFormat/>
    <w:uiPriority w:val="99"/>
    <w:pPr>
      <w:numPr>
        <w:ilvl w:val="1"/>
        <w:numId w:val="5"/>
      </w:numPr>
      <w:jc w:val="both"/>
    </w:pPr>
    <w:rPr>
      <w:rFonts w:ascii="宋体" w:hAnsi="Times New Roman" w:eastAsia="宋体" w:cs="Times New Roman"/>
      <w:sz w:val="21"/>
      <w:lang w:val="en-US" w:eastAsia="zh-CN" w:bidi="ar-SA"/>
    </w:rPr>
  </w:style>
  <w:style w:type="paragraph" w:customStyle="1" w:styleId="67">
    <w:name w:val="四级条标题"/>
    <w:basedOn w:val="63"/>
    <w:next w:val="25"/>
    <w:qFormat/>
    <w:uiPriority w:val="99"/>
    <w:pPr>
      <w:numPr>
        <w:ilvl w:val="4"/>
      </w:numPr>
      <w:outlineLvl w:val="5"/>
    </w:pPr>
  </w:style>
  <w:style w:type="paragraph" w:customStyle="1" w:styleId="68">
    <w:name w:val="五级条标题"/>
    <w:basedOn w:val="67"/>
    <w:next w:val="25"/>
    <w:qFormat/>
    <w:uiPriority w:val="99"/>
    <w:pPr>
      <w:numPr>
        <w:ilvl w:val="5"/>
      </w:numPr>
      <w:outlineLvl w:val="6"/>
    </w:pPr>
  </w:style>
  <w:style w:type="paragraph" w:customStyle="1" w:styleId="69">
    <w:name w:val="注："/>
    <w:next w:val="25"/>
    <w:qFormat/>
    <w:uiPriority w:val="99"/>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70">
    <w:name w:val="注×："/>
    <w:qFormat/>
    <w:uiPriority w:val="99"/>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71">
    <w:name w:val="字母编号列项（一级）"/>
    <w:qFormat/>
    <w:uiPriority w:val="99"/>
    <w:pPr>
      <w:numPr>
        <w:ilvl w:val="0"/>
        <w:numId w:val="5"/>
      </w:numPr>
      <w:jc w:val="both"/>
    </w:pPr>
    <w:rPr>
      <w:rFonts w:ascii="宋体" w:hAnsi="Times New Roman" w:eastAsia="宋体" w:cs="Times New Roman"/>
      <w:sz w:val="21"/>
      <w:lang w:val="en-US" w:eastAsia="zh-CN" w:bidi="ar-SA"/>
    </w:rPr>
  </w:style>
  <w:style w:type="paragraph" w:customStyle="1" w:styleId="72">
    <w:name w:val="列项◆（三级）"/>
    <w:basedOn w:val="1"/>
    <w:qFormat/>
    <w:uiPriority w:val="99"/>
    <w:pPr>
      <w:numPr>
        <w:ilvl w:val="2"/>
        <w:numId w:val="3"/>
      </w:numPr>
    </w:pPr>
    <w:rPr>
      <w:rFonts w:ascii="宋体"/>
      <w:szCs w:val="21"/>
    </w:rPr>
  </w:style>
  <w:style w:type="paragraph" w:customStyle="1" w:styleId="73">
    <w:name w:val="编号列项（三级）"/>
    <w:qFormat/>
    <w:uiPriority w:val="99"/>
    <w:pPr>
      <w:numPr>
        <w:ilvl w:val="2"/>
        <w:numId w:val="5"/>
      </w:numPr>
    </w:pPr>
    <w:rPr>
      <w:rFonts w:ascii="宋体" w:hAnsi="Times New Roman" w:eastAsia="宋体" w:cs="Times New Roman"/>
      <w:sz w:val="21"/>
      <w:lang w:val="en-US" w:eastAsia="zh-CN" w:bidi="ar-SA"/>
    </w:rPr>
  </w:style>
  <w:style w:type="paragraph" w:customStyle="1" w:styleId="74">
    <w:name w:val="示例×："/>
    <w:basedOn w:val="57"/>
    <w:qFormat/>
    <w:uiPriority w:val="99"/>
    <w:pPr>
      <w:numPr>
        <w:numId w:val="8"/>
      </w:numPr>
      <w:spacing w:beforeLines="0" w:afterLines="0"/>
      <w:outlineLvl w:val="9"/>
    </w:pPr>
    <w:rPr>
      <w:rFonts w:ascii="宋体" w:eastAsia="宋体"/>
      <w:sz w:val="18"/>
      <w:szCs w:val="18"/>
    </w:rPr>
  </w:style>
  <w:style w:type="paragraph" w:customStyle="1" w:styleId="75">
    <w:name w:val="二级无"/>
    <w:basedOn w:val="58"/>
    <w:qFormat/>
    <w:uiPriority w:val="99"/>
    <w:pPr>
      <w:spacing w:beforeLines="0" w:afterLines="0"/>
    </w:pPr>
    <w:rPr>
      <w:rFonts w:ascii="宋体" w:eastAsia="宋体"/>
    </w:rPr>
  </w:style>
  <w:style w:type="paragraph" w:customStyle="1" w:styleId="76">
    <w:name w:val="注：（正文）"/>
    <w:basedOn w:val="69"/>
    <w:next w:val="25"/>
    <w:qFormat/>
    <w:uiPriority w:val="99"/>
  </w:style>
  <w:style w:type="paragraph" w:customStyle="1" w:styleId="77">
    <w:name w:val="注×：（正文）"/>
    <w:qFormat/>
    <w:uiPriority w:val="99"/>
    <w:pPr>
      <w:numPr>
        <w:ilvl w:val="0"/>
        <w:numId w:val="9"/>
      </w:numPr>
      <w:jc w:val="both"/>
    </w:pPr>
    <w:rPr>
      <w:rFonts w:ascii="宋体" w:hAnsi="Times New Roman" w:eastAsia="宋体" w:cs="Times New Roman"/>
      <w:sz w:val="18"/>
      <w:szCs w:val="18"/>
      <w:lang w:val="en-US" w:eastAsia="zh-CN" w:bidi="ar-SA"/>
    </w:rPr>
  </w:style>
  <w:style w:type="paragraph" w:customStyle="1" w:styleId="78">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79">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48"/>
      <w:lang w:val="en-US" w:eastAsia="zh-CN" w:bidi="ar-SA"/>
    </w:rPr>
  </w:style>
  <w:style w:type="paragraph" w:customStyle="1" w:styleId="80">
    <w:name w:val="标准书脚_偶数页"/>
    <w:qFormat/>
    <w:uiPriority w:val="99"/>
    <w:pPr>
      <w:spacing w:before="120"/>
      <w:ind w:left="221"/>
    </w:pPr>
    <w:rPr>
      <w:rFonts w:ascii="宋体" w:hAnsi="Times New Roman" w:eastAsia="宋体" w:cs="Times New Roman"/>
      <w:sz w:val="18"/>
      <w:szCs w:val="18"/>
      <w:lang w:val="en-US" w:eastAsia="zh-CN" w:bidi="ar-SA"/>
    </w:rPr>
  </w:style>
  <w:style w:type="paragraph" w:customStyle="1" w:styleId="81">
    <w:name w:val="标准书眉_偶数页"/>
    <w:basedOn w:val="56"/>
    <w:next w:val="1"/>
    <w:qFormat/>
    <w:uiPriority w:val="99"/>
    <w:pPr>
      <w:jc w:val="left"/>
    </w:pPr>
  </w:style>
  <w:style w:type="paragraph" w:customStyle="1" w:styleId="82">
    <w:name w:val="标准书眉一"/>
    <w:qFormat/>
    <w:uiPriority w:val="99"/>
    <w:pPr>
      <w:jc w:val="both"/>
    </w:pPr>
    <w:rPr>
      <w:rFonts w:ascii="Times New Roman" w:hAnsi="Times New Roman" w:eastAsia="宋体" w:cs="Times New Roman"/>
      <w:lang w:val="en-US" w:eastAsia="zh-CN" w:bidi="ar-SA"/>
    </w:rPr>
  </w:style>
  <w:style w:type="paragraph" w:customStyle="1" w:styleId="83">
    <w:name w:val="参考文献"/>
    <w:basedOn w:val="1"/>
    <w:next w:val="25"/>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4">
    <w:name w:val="参考文献、索引标题"/>
    <w:basedOn w:val="1"/>
    <w:next w:val="25"/>
    <w:qFormat/>
    <w:uiPriority w:val="99"/>
    <w:pPr>
      <w:keepNext/>
      <w:pageBreakBefore/>
      <w:widowControl/>
      <w:shd w:val="clear" w:color="FFFFFF" w:fill="FFFFFF"/>
      <w:spacing w:before="640" w:after="200"/>
      <w:jc w:val="center"/>
      <w:outlineLvl w:val="0"/>
    </w:pPr>
    <w:rPr>
      <w:rFonts w:ascii="黑体" w:eastAsia="黑体"/>
      <w:kern w:val="0"/>
      <w:szCs w:val="20"/>
    </w:rPr>
  </w:style>
  <w:style w:type="character" w:customStyle="1" w:styleId="85">
    <w:name w:val="发布"/>
    <w:qFormat/>
    <w:uiPriority w:val="99"/>
    <w:rPr>
      <w:rFonts w:ascii="黑体" w:eastAsia="黑体"/>
      <w:spacing w:val="85"/>
      <w:w w:val="100"/>
      <w:position w:val="3"/>
      <w:sz w:val="28"/>
    </w:rPr>
  </w:style>
  <w:style w:type="paragraph" w:customStyle="1" w:styleId="86">
    <w:name w:val="发布部门"/>
    <w:next w:val="25"/>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7">
    <w:name w:val="发布日期"/>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8">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9">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0">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1">
    <w:name w:val="封面标准英文名称"/>
    <w:basedOn w:val="90"/>
    <w:qFormat/>
    <w:uiPriority w:val="99"/>
    <w:pPr>
      <w:framePr w:wrap="around"/>
      <w:spacing w:before="370" w:line="400" w:lineRule="exact"/>
    </w:pPr>
    <w:rPr>
      <w:rFonts w:ascii="Times New Roman"/>
      <w:sz w:val="28"/>
      <w:szCs w:val="28"/>
    </w:rPr>
  </w:style>
  <w:style w:type="paragraph" w:customStyle="1" w:styleId="92">
    <w:name w:val="封面一致性程度标识"/>
    <w:basedOn w:val="91"/>
    <w:qFormat/>
    <w:uiPriority w:val="99"/>
    <w:pPr>
      <w:framePr w:wrap="around"/>
      <w:spacing w:before="440"/>
    </w:pPr>
    <w:rPr>
      <w:rFonts w:ascii="宋体" w:eastAsia="宋体"/>
    </w:rPr>
  </w:style>
  <w:style w:type="paragraph" w:customStyle="1" w:styleId="93">
    <w:name w:val="封面标准文稿类别"/>
    <w:basedOn w:val="92"/>
    <w:qFormat/>
    <w:uiPriority w:val="99"/>
    <w:pPr>
      <w:framePr w:wrap="around"/>
      <w:spacing w:after="160" w:line="240" w:lineRule="auto"/>
    </w:pPr>
    <w:rPr>
      <w:sz w:val="24"/>
    </w:rPr>
  </w:style>
  <w:style w:type="paragraph" w:customStyle="1" w:styleId="94">
    <w:name w:val="封面标准文稿编辑信息"/>
    <w:basedOn w:val="93"/>
    <w:qFormat/>
    <w:uiPriority w:val="99"/>
    <w:pPr>
      <w:framePr w:wrap="around"/>
      <w:spacing w:before="180" w:line="180" w:lineRule="exact"/>
    </w:pPr>
    <w:rPr>
      <w:sz w:val="21"/>
    </w:rPr>
  </w:style>
  <w:style w:type="paragraph" w:customStyle="1" w:styleId="95">
    <w:name w:val="封面正文"/>
    <w:qFormat/>
    <w:uiPriority w:val="99"/>
    <w:pPr>
      <w:jc w:val="both"/>
    </w:pPr>
    <w:rPr>
      <w:rFonts w:ascii="Times New Roman" w:hAnsi="Times New Roman" w:eastAsia="宋体" w:cs="Times New Roman"/>
      <w:lang w:val="en-US" w:eastAsia="zh-CN" w:bidi="ar-SA"/>
    </w:rPr>
  </w:style>
  <w:style w:type="paragraph" w:customStyle="1" w:styleId="96">
    <w:name w:val="附录标识"/>
    <w:basedOn w:val="1"/>
    <w:next w:val="25"/>
    <w:qFormat/>
    <w:uiPriority w:val="99"/>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7">
    <w:name w:val="附录标题"/>
    <w:basedOn w:val="25"/>
    <w:next w:val="25"/>
    <w:qFormat/>
    <w:uiPriority w:val="99"/>
    <w:pPr>
      <w:ind w:firstLine="0" w:firstLineChars="0"/>
      <w:jc w:val="center"/>
    </w:pPr>
    <w:rPr>
      <w:rFonts w:ascii="黑体" w:eastAsia="黑体"/>
    </w:rPr>
  </w:style>
  <w:style w:type="paragraph" w:customStyle="1" w:styleId="98">
    <w:name w:val="附录表标号"/>
    <w:basedOn w:val="1"/>
    <w:next w:val="25"/>
    <w:qFormat/>
    <w:uiPriority w:val="99"/>
    <w:pPr>
      <w:numPr>
        <w:ilvl w:val="0"/>
        <w:numId w:val="11"/>
      </w:numPr>
      <w:spacing w:line="14" w:lineRule="exact"/>
      <w:ind w:left="811" w:hanging="448"/>
      <w:jc w:val="center"/>
      <w:outlineLvl w:val="0"/>
    </w:pPr>
    <w:rPr>
      <w:color w:val="FFFFFF"/>
    </w:rPr>
  </w:style>
  <w:style w:type="paragraph" w:customStyle="1" w:styleId="99">
    <w:name w:val="附录表标题"/>
    <w:basedOn w:val="1"/>
    <w:next w:val="25"/>
    <w:qFormat/>
    <w:uiPriority w:val="99"/>
    <w:pPr>
      <w:numPr>
        <w:ilvl w:val="1"/>
        <w:numId w:val="11"/>
      </w:numPr>
      <w:tabs>
        <w:tab w:val="left" w:pos="180"/>
      </w:tabs>
      <w:spacing w:beforeLines="50" w:afterLines="50"/>
      <w:jc w:val="center"/>
    </w:pPr>
    <w:rPr>
      <w:rFonts w:ascii="黑体" w:eastAsia="黑体"/>
      <w:szCs w:val="21"/>
    </w:rPr>
  </w:style>
  <w:style w:type="paragraph" w:customStyle="1" w:styleId="100">
    <w:name w:val="附录二级条标题"/>
    <w:basedOn w:val="1"/>
    <w:next w:val="25"/>
    <w:qFormat/>
    <w:uiPriority w:val="99"/>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1">
    <w:name w:val="附录二级无"/>
    <w:basedOn w:val="100"/>
    <w:qFormat/>
    <w:uiPriority w:val="99"/>
    <w:pPr>
      <w:tabs>
        <w:tab w:val="clear" w:pos="360"/>
      </w:tabs>
      <w:spacing w:beforeLines="0" w:afterLines="0"/>
    </w:pPr>
    <w:rPr>
      <w:rFonts w:ascii="宋体" w:eastAsia="宋体"/>
      <w:szCs w:val="21"/>
    </w:rPr>
  </w:style>
  <w:style w:type="paragraph" w:customStyle="1" w:styleId="102">
    <w:name w:val="附录公式"/>
    <w:basedOn w:val="25"/>
    <w:next w:val="25"/>
    <w:link w:val="103"/>
    <w:qFormat/>
    <w:uiPriority w:val="99"/>
  </w:style>
  <w:style w:type="character" w:customStyle="1" w:styleId="103">
    <w:name w:val="附录公式 Char"/>
    <w:basedOn w:val="53"/>
    <w:link w:val="102"/>
    <w:qFormat/>
    <w:locked/>
    <w:uiPriority w:val="99"/>
    <w:rPr>
      <w:rFonts w:ascii="宋体" w:cs="Times New Roman"/>
      <w:sz w:val="21"/>
      <w:lang w:val="en-US" w:eastAsia="zh-CN" w:bidi="ar-SA"/>
    </w:rPr>
  </w:style>
  <w:style w:type="paragraph" w:customStyle="1" w:styleId="104">
    <w:name w:val="附录公式编号制表符"/>
    <w:basedOn w:val="1"/>
    <w:next w:val="25"/>
    <w:qFormat/>
    <w:uiPriority w:val="99"/>
    <w:pPr>
      <w:widowControl/>
      <w:tabs>
        <w:tab w:val="center" w:pos="4201"/>
        <w:tab w:val="right" w:leader="dot" w:pos="9298"/>
      </w:tabs>
      <w:autoSpaceDE w:val="0"/>
      <w:autoSpaceDN w:val="0"/>
    </w:pPr>
    <w:rPr>
      <w:rFonts w:ascii="宋体"/>
      <w:kern w:val="0"/>
      <w:szCs w:val="20"/>
    </w:rPr>
  </w:style>
  <w:style w:type="paragraph" w:customStyle="1" w:styleId="105">
    <w:name w:val="附录三级条标题"/>
    <w:basedOn w:val="100"/>
    <w:next w:val="25"/>
    <w:qFormat/>
    <w:uiPriority w:val="99"/>
    <w:pPr>
      <w:numPr>
        <w:ilvl w:val="4"/>
      </w:numPr>
      <w:outlineLvl w:val="4"/>
    </w:pPr>
  </w:style>
  <w:style w:type="paragraph" w:customStyle="1" w:styleId="106">
    <w:name w:val="附录三级无"/>
    <w:basedOn w:val="105"/>
    <w:qFormat/>
    <w:uiPriority w:val="99"/>
    <w:pPr>
      <w:tabs>
        <w:tab w:val="clear" w:pos="360"/>
      </w:tabs>
      <w:spacing w:beforeLines="0" w:afterLines="0"/>
    </w:pPr>
    <w:rPr>
      <w:rFonts w:ascii="宋体" w:eastAsia="宋体"/>
      <w:szCs w:val="21"/>
    </w:rPr>
  </w:style>
  <w:style w:type="paragraph" w:customStyle="1" w:styleId="107">
    <w:name w:val="附录数字编号列项（二级）"/>
    <w:qFormat/>
    <w:uiPriority w:val="99"/>
    <w:pPr>
      <w:numPr>
        <w:ilvl w:val="1"/>
        <w:numId w:val="12"/>
      </w:numPr>
    </w:pPr>
    <w:rPr>
      <w:rFonts w:ascii="宋体" w:hAnsi="Times New Roman" w:eastAsia="宋体" w:cs="Times New Roman"/>
      <w:sz w:val="21"/>
      <w:lang w:val="en-US" w:eastAsia="zh-CN" w:bidi="ar-SA"/>
    </w:rPr>
  </w:style>
  <w:style w:type="paragraph" w:customStyle="1" w:styleId="108">
    <w:name w:val="附录四级条标题"/>
    <w:basedOn w:val="105"/>
    <w:next w:val="25"/>
    <w:qFormat/>
    <w:uiPriority w:val="99"/>
    <w:pPr>
      <w:numPr>
        <w:ilvl w:val="5"/>
      </w:numPr>
      <w:outlineLvl w:val="5"/>
    </w:pPr>
  </w:style>
  <w:style w:type="paragraph" w:customStyle="1" w:styleId="109">
    <w:name w:val="附录四级无"/>
    <w:basedOn w:val="108"/>
    <w:qFormat/>
    <w:uiPriority w:val="99"/>
    <w:pPr>
      <w:tabs>
        <w:tab w:val="clear" w:pos="360"/>
      </w:tabs>
      <w:spacing w:beforeLines="0" w:afterLines="0"/>
    </w:pPr>
    <w:rPr>
      <w:rFonts w:ascii="宋体" w:eastAsia="宋体"/>
      <w:szCs w:val="21"/>
    </w:rPr>
  </w:style>
  <w:style w:type="paragraph" w:customStyle="1" w:styleId="110">
    <w:name w:val="附录图标号"/>
    <w:basedOn w:val="1"/>
    <w:qFormat/>
    <w:uiPriority w:val="99"/>
    <w:pPr>
      <w:keepNext/>
      <w:pageBreakBefore/>
      <w:widowControl/>
      <w:numPr>
        <w:ilvl w:val="0"/>
        <w:numId w:val="13"/>
      </w:numPr>
      <w:spacing w:line="14" w:lineRule="exact"/>
      <w:ind w:firstLine="363"/>
      <w:jc w:val="center"/>
      <w:outlineLvl w:val="0"/>
    </w:pPr>
    <w:rPr>
      <w:color w:val="FFFFFF"/>
    </w:rPr>
  </w:style>
  <w:style w:type="paragraph" w:customStyle="1" w:styleId="111">
    <w:name w:val="附录图标题"/>
    <w:basedOn w:val="1"/>
    <w:next w:val="25"/>
    <w:qFormat/>
    <w:uiPriority w:val="99"/>
    <w:pPr>
      <w:numPr>
        <w:ilvl w:val="1"/>
        <w:numId w:val="13"/>
      </w:numPr>
      <w:tabs>
        <w:tab w:val="left" w:pos="363"/>
      </w:tabs>
      <w:spacing w:beforeLines="50" w:afterLines="50"/>
      <w:jc w:val="center"/>
    </w:pPr>
    <w:rPr>
      <w:rFonts w:ascii="黑体" w:eastAsia="黑体"/>
      <w:szCs w:val="21"/>
    </w:rPr>
  </w:style>
  <w:style w:type="paragraph" w:customStyle="1" w:styleId="112">
    <w:name w:val="附录五级条标题"/>
    <w:basedOn w:val="108"/>
    <w:next w:val="25"/>
    <w:qFormat/>
    <w:uiPriority w:val="99"/>
    <w:pPr>
      <w:numPr>
        <w:ilvl w:val="6"/>
      </w:numPr>
      <w:outlineLvl w:val="6"/>
    </w:pPr>
  </w:style>
  <w:style w:type="paragraph" w:customStyle="1" w:styleId="113">
    <w:name w:val="附录五级无"/>
    <w:basedOn w:val="112"/>
    <w:qFormat/>
    <w:uiPriority w:val="99"/>
    <w:pPr>
      <w:tabs>
        <w:tab w:val="clear" w:pos="360"/>
      </w:tabs>
      <w:spacing w:beforeLines="0" w:afterLines="0"/>
    </w:pPr>
    <w:rPr>
      <w:rFonts w:ascii="宋体" w:eastAsia="宋体"/>
      <w:szCs w:val="21"/>
    </w:rPr>
  </w:style>
  <w:style w:type="paragraph" w:customStyle="1" w:styleId="114">
    <w:name w:val="附录章标题"/>
    <w:next w:val="25"/>
    <w:qFormat/>
    <w:uiPriority w:val="99"/>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5">
    <w:name w:val="附录一级条标题"/>
    <w:basedOn w:val="114"/>
    <w:next w:val="25"/>
    <w:qFormat/>
    <w:uiPriority w:val="99"/>
    <w:pPr>
      <w:numPr>
        <w:ilvl w:val="2"/>
      </w:numPr>
      <w:autoSpaceDN w:val="0"/>
      <w:spacing w:beforeLines="50" w:afterLines="50"/>
      <w:outlineLvl w:val="2"/>
    </w:pPr>
  </w:style>
  <w:style w:type="paragraph" w:customStyle="1" w:styleId="116">
    <w:name w:val="附录一级无"/>
    <w:basedOn w:val="115"/>
    <w:qFormat/>
    <w:uiPriority w:val="99"/>
    <w:pPr>
      <w:tabs>
        <w:tab w:val="clear" w:pos="360"/>
      </w:tabs>
      <w:spacing w:beforeLines="0" w:afterLines="0"/>
    </w:pPr>
    <w:rPr>
      <w:rFonts w:ascii="宋体" w:eastAsia="宋体"/>
      <w:szCs w:val="21"/>
    </w:rPr>
  </w:style>
  <w:style w:type="paragraph" w:customStyle="1" w:styleId="117">
    <w:name w:val="附录字母编号列项（一级）"/>
    <w:qFormat/>
    <w:uiPriority w:val="99"/>
    <w:pPr>
      <w:numPr>
        <w:ilvl w:val="0"/>
        <w:numId w:val="12"/>
      </w:numPr>
    </w:pPr>
    <w:rPr>
      <w:rFonts w:ascii="宋体" w:hAnsi="Times New Roman" w:eastAsia="宋体" w:cs="Times New Roman"/>
      <w:sz w:val="21"/>
      <w:lang w:val="en-US" w:eastAsia="zh-CN" w:bidi="ar-SA"/>
    </w:rPr>
  </w:style>
  <w:style w:type="paragraph" w:customStyle="1" w:styleId="118">
    <w:name w:val="列项说明"/>
    <w:basedOn w:val="1"/>
    <w:qFormat/>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19">
    <w:name w:val="列项说明数字编号"/>
    <w:qFormat/>
    <w:uiPriority w:val="99"/>
    <w:pPr>
      <w:ind w:left="600" w:leftChars="400" w:hanging="200" w:hangingChars="200"/>
    </w:pPr>
    <w:rPr>
      <w:rFonts w:ascii="宋体" w:hAnsi="Times New Roman" w:eastAsia="宋体" w:cs="Times New Roman"/>
      <w:sz w:val="21"/>
      <w:lang w:val="en-US" w:eastAsia="zh-CN" w:bidi="ar-SA"/>
    </w:rPr>
  </w:style>
  <w:style w:type="paragraph" w:customStyle="1" w:styleId="120">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21">
    <w:name w:val="其他标准标志"/>
    <w:basedOn w:val="78"/>
    <w:qFormat/>
    <w:uiPriority w:val="99"/>
    <w:pPr>
      <w:framePr w:w="6101" w:wrap="around" w:vAnchor="page" w:hAnchor="page" w:x="4673" w:y="942"/>
    </w:pPr>
    <w:rPr>
      <w:w w:val="130"/>
    </w:rPr>
  </w:style>
  <w:style w:type="paragraph" w:customStyle="1" w:styleId="122">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23">
    <w:name w:val="其他发布部门"/>
    <w:basedOn w:val="86"/>
    <w:qFormat/>
    <w:uiPriority w:val="99"/>
    <w:pPr>
      <w:framePr w:wrap="around" w:y="15310"/>
      <w:spacing w:line="240" w:lineRule="atLeast"/>
    </w:pPr>
    <w:rPr>
      <w:rFonts w:ascii="黑体" w:eastAsia="黑体"/>
      <w:b w:val="0"/>
    </w:rPr>
  </w:style>
  <w:style w:type="paragraph" w:customStyle="1" w:styleId="124">
    <w:name w:val="前言、引言标题"/>
    <w:next w:val="25"/>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5">
    <w:name w:val="三级无"/>
    <w:basedOn w:val="63"/>
    <w:qFormat/>
    <w:uiPriority w:val="99"/>
    <w:pPr>
      <w:spacing w:beforeLines="0" w:afterLines="0"/>
    </w:pPr>
    <w:rPr>
      <w:rFonts w:ascii="宋体" w:eastAsia="宋体"/>
    </w:rPr>
  </w:style>
  <w:style w:type="paragraph" w:customStyle="1" w:styleId="126">
    <w:name w:val="实施日期"/>
    <w:basedOn w:val="87"/>
    <w:qFormat/>
    <w:uiPriority w:val="99"/>
    <w:pPr>
      <w:framePr w:wrap="around" w:vAnchor="page" w:hAnchor="text"/>
      <w:jc w:val="right"/>
    </w:pPr>
  </w:style>
  <w:style w:type="paragraph" w:customStyle="1" w:styleId="127">
    <w:name w:val="示例后文字"/>
    <w:basedOn w:val="25"/>
    <w:next w:val="25"/>
    <w:qFormat/>
    <w:uiPriority w:val="99"/>
    <w:pPr>
      <w:ind w:firstLine="360"/>
    </w:pPr>
    <w:rPr>
      <w:sz w:val="18"/>
    </w:rPr>
  </w:style>
  <w:style w:type="paragraph" w:customStyle="1" w:styleId="128">
    <w:name w:val="首示例"/>
    <w:next w:val="25"/>
    <w:link w:val="129"/>
    <w:qFormat/>
    <w:uiPriority w:val="99"/>
    <w:pPr>
      <w:numPr>
        <w:ilvl w:val="0"/>
        <w:numId w:val="14"/>
      </w:numPr>
      <w:tabs>
        <w:tab w:val="left" w:pos="360"/>
      </w:tabs>
    </w:pPr>
    <w:rPr>
      <w:rFonts w:ascii="宋体" w:hAnsi="宋体" w:eastAsia="宋体" w:cs="Times New Roman"/>
      <w:kern w:val="2"/>
      <w:sz w:val="18"/>
      <w:szCs w:val="18"/>
      <w:lang w:val="en-US" w:eastAsia="zh-CN" w:bidi="ar-SA"/>
    </w:rPr>
  </w:style>
  <w:style w:type="character" w:customStyle="1" w:styleId="129">
    <w:name w:val="首示例 Char"/>
    <w:link w:val="128"/>
    <w:qFormat/>
    <w:locked/>
    <w:uiPriority w:val="99"/>
    <w:rPr>
      <w:rFonts w:ascii="宋体" w:eastAsia="宋体"/>
      <w:kern w:val="2"/>
      <w:sz w:val="18"/>
      <w:lang w:val="en-US" w:eastAsia="zh-CN"/>
    </w:rPr>
  </w:style>
  <w:style w:type="paragraph" w:customStyle="1" w:styleId="130">
    <w:name w:val="四级无"/>
    <w:basedOn w:val="67"/>
    <w:qFormat/>
    <w:uiPriority w:val="99"/>
    <w:pPr>
      <w:spacing w:beforeLines="0" w:afterLines="0"/>
    </w:pPr>
    <w:rPr>
      <w:rFonts w:ascii="宋体" w:eastAsia="宋体"/>
    </w:rPr>
  </w:style>
  <w:style w:type="paragraph" w:customStyle="1" w:styleId="131">
    <w:name w:val="条文脚注"/>
    <w:basedOn w:val="26"/>
    <w:qFormat/>
    <w:uiPriority w:val="99"/>
    <w:pPr>
      <w:numPr>
        <w:numId w:val="0"/>
      </w:numPr>
      <w:jc w:val="both"/>
    </w:pPr>
  </w:style>
  <w:style w:type="paragraph" w:customStyle="1" w:styleId="132">
    <w:name w:val="图标脚注说明"/>
    <w:basedOn w:val="25"/>
    <w:qFormat/>
    <w:uiPriority w:val="99"/>
    <w:pPr>
      <w:ind w:left="840" w:hanging="420" w:firstLineChars="0"/>
    </w:pPr>
    <w:rPr>
      <w:sz w:val="18"/>
      <w:szCs w:val="18"/>
    </w:rPr>
  </w:style>
  <w:style w:type="paragraph" w:customStyle="1" w:styleId="133">
    <w:name w:val="图表脚注说明"/>
    <w:basedOn w:val="1"/>
    <w:qFormat/>
    <w:uiPriority w:val="99"/>
    <w:pPr>
      <w:numPr>
        <w:ilvl w:val="0"/>
        <w:numId w:val="15"/>
      </w:numPr>
    </w:pPr>
    <w:rPr>
      <w:rFonts w:ascii="宋体"/>
      <w:sz w:val="18"/>
      <w:szCs w:val="18"/>
    </w:rPr>
  </w:style>
  <w:style w:type="paragraph" w:customStyle="1" w:styleId="134">
    <w:name w:val="图的脚注"/>
    <w:next w:val="25"/>
    <w:qFormat/>
    <w:uiPriority w:val="99"/>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5">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6">
    <w:name w:val="五级无"/>
    <w:basedOn w:val="68"/>
    <w:qFormat/>
    <w:uiPriority w:val="99"/>
    <w:pPr>
      <w:spacing w:beforeLines="0" w:afterLines="0"/>
    </w:pPr>
    <w:rPr>
      <w:rFonts w:ascii="宋体" w:eastAsia="宋体"/>
    </w:rPr>
  </w:style>
  <w:style w:type="paragraph" w:customStyle="1" w:styleId="137">
    <w:name w:val="一级无"/>
    <w:basedOn w:val="54"/>
    <w:qFormat/>
    <w:uiPriority w:val="99"/>
    <w:pPr>
      <w:spacing w:beforeLines="0" w:afterLines="0"/>
    </w:pPr>
    <w:rPr>
      <w:rFonts w:ascii="宋体" w:eastAsia="宋体"/>
    </w:rPr>
  </w:style>
  <w:style w:type="paragraph" w:customStyle="1" w:styleId="138">
    <w:name w:val="正文表标题"/>
    <w:next w:val="25"/>
    <w:qFormat/>
    <w:uiPriority w:val="99"/>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9">
    <w:name w:val="正文公式编号制表符"/>
    <w:basedOn w:val="25"/>
    <w:next w:val="25"/>
    <w:qFormat/>
    <w:uiPriority w:val="99"/>
    <w:pPr>
      <w:ind w:firstLine="0" w:firstLineChars="0"/>
    </w:pPr>
  </w:style>
  <w:style w:type="paragraph" w:customStyle="1" w:styleId="140">
    <w:name w:val="正文图标题"/>
    <w:next w:val="25"/>
    <w:qFormat/>
    <w:uiPriority w:val="99"/>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1">
    <w:name w:val="终结线"/>
    <w:basedOn w:val="1"/>
    <w:qFormat/>
    <w:uiPriority w:val="99"/>
    <w:pPr>
      <w:framePr w:hSpace="181" w:vSpace="181" w:wrap="around" w:vAnchor="text" w:hAnchor="margin" w:xAlign="center" w:y="285"/>
    </w:pPr>
  </w:style>
  <w:style w:type="paragraph" w:customStyle="1" w:styleId="142">
    <w:name w:val="其他发布日期"/>
    <w:basedOn w:val="87"/>
    <w:qFormat/>
    <w:uiPriority w:val="99"/>
    <w:pPr>
      <w:framePr w:wrap="around" w:vAnchor="page" w:hAnchor="text" w:x="1419"/>
    </w:pPr>
  </w:style>
  <w:style w:type="paragraph" w:customStyle="1" w:styleId="143">
    <w:name w:val="其他实施日期"/>
    <w:basedOn w:val="126"/>
    <w:qFormat/>
    <w:uiPriority w:val="99"/>
    <w:pPr>
      <w:framePr w:wrap="around"/>
    </w:pPr>
  </w:style>
  <w:style w:type="paragraph" w:customStyle="1" w:styleId="144">
    <w:name w:val="封面标准名称2"/>
    <w:basedOn w:val="90"/>
    <w:qFormat/>
    <w:uiPriority w:val="99"/>
    <w:pPr>
      <w:framePr w:wrap="around" w:y="4469"/>
      <w:spacing w:beforeLines="630"/>
    </w:pPr>
  </w:style>
  <w:style w:type="paragraph" w:customStyle="1" w:styleId="145">
    <w:name w:val="封面标准英文名称2"/>
    <w:basedOn w:val="91"/>
    <w:qFormat/>
    <w:uiPriority w:val="99"/>
    <w:pPr>
      <w:framePr w:wrap="around" w:y="4469"/>
    </w:pPr>
  </w:style>
  <w:style w:type="paragraph" w:customStyle="1" w:styleId="146">
    <w:name w:val="封面一致性程度标识2"/>
    <w:basedOn w:val="92"/>
    <w:qFormat/>
    <w:uiPriority w:val="99"/>
    <w:pPr>
      <w:framePr w:wrap="around" w:y="4469"/>
    </w:pPr>
  </w:style>
  <w:style w:type="paragraph" w:customStyle="1" w:styleId="147">
    <w:name w:val="封面标准文稿类别2"/>
    <w:basedOn w:val="93"/>
    <w:qFormat/>
    <w:uiPriority w:val="99"/>
    <w:pPr>
      <w:framePr w:wrap="around" w:y="4469"/>
    </w:pPr>
  </w:style>
  <w:style w:type="paragraph" w:customStyle="1" w:styleId="148">
    <w:name w:val="封面标准文稿编辑信息2"/>
    <w:basedOn w:val="94"/>
    <w:qFormat/>
    <w:uiPriority w:val="99"/>
    <w:pPr>
      <w:framePr w:wrap="around" w:y="4469"/>
    </w:pPr>
  </w:style>
  <w:style w:type="paragraph" w:styleId="149">
    <w:name w:val="List Paragraph"/>
    <w:basedOn w:val="1"/>
    <w:qFormat/>
    <w:uiPriority w:val="99"/>
    <w:pPr>
      <w:ind w:left="953" w:hanging="527"/>
    </w:pPr>
    <w:rPr>
      <w:rFonts w:ascii="宋体" w:hAnsi="宋体" w:cs="宋体"/>
      <w:lang w:val="ca-ES" w:eastAsia="ca-ES"/>
    </w:rPr>
  </w:style>
  <w:style w:type="paragraph" w:customStyle="1" w:styleId="150">
    <w:name w:val="Table Paragraph"/>
    <w:basedOn w:val="1"/>
    <w:qFormat/>
    <w:uiPriority w:val="99"/>
    <w:rPr>
      <w:rFonts w:ascii="宋体" w:hAnsi="宋体" w:cs="宋体"/>
      <w:lang w:val="ca-ES" w:eastAsia="ca-ES"/>
    </w:rPr>
  </w:style>
  <w:style w:type="paragraph" w:customStyle="1" w:styleId="151">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2">
    <w:name w:val="批注主题 Char"/>
    <w:basedOn w:val="46"/>
    <w:link w:val="33"/>
    <w:semiHidden/>
    <w:qFormat/>
    <w:uiPriority w:val="99"/>
    <w:rPr>
      <w:b/>
      <w:bCs/>
      <w:kern w:val="2"/>
      <w:sz w:val="24"/>
      <w:szCs w:val="24"/>
    </w:rPr>
  </w:style>
  <w:style w:type="character" w:customStyle="1" w:styleId="153">
    <w:name w:val="标题 3 Char"/>
    <w:basedOn w:val="36"/>
    <w:link w:val="3"/>
    <w:semiHidden/>
    <w:qFormat/>
    <w:uiPriority w:val="0"/>
    <w:rPr>
      <w:b/>
      <w:bCs/>
      <w:sz w:val="32"/>
      <w:szCs w:val="32"/>
    </w:rPr>
  </w:style>
  <w:style w:type="paragraph" w:customStyle="1" w:styleId="15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5">
    <w:name w:val="标准文件_附录一级无标题"/>
    <w:basedOn w:val="156"/>
    <w:qFormat/>
    <w:uiPriority w:val="0"/>
    <w:pPr>
      <w:spacing w:beforeLines="0" w:afterLines="0" w:line="276" w:lineRule="auto"/>
      <w:outlineLvl w:val="9"/>
    </w:pPr>
    <w:rPr>
      <w:rFonts w:ascii="宋体" w:eastAsia="宋体"/>
    </w:rPr>
  </w:style>
  <w:style w:type="paragraph" w:customStyle="1" w:styleId="156">
    <w:name w:val="标准文件_附录一级条标题"/>
    <w:next w:val="154"/>
    <w:qFormat/>
    <w:uiPriority w:val="0"/>
    <w:pPr>
      <w:widowControl w:val="0"/>
      <w:numPr>
        <w:ilvl w:val="1"/>
        <w:numId w:val="10"/>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157">
    <w:name w:val="标准文件_目录标题"/>
    <w:basedOn w:val="1"/>
    <w:qFormat/>
    <w:uiPriority w:val="0"/>
    <w:pPr>
      <w:spacing w:afterLines="150" w:line="240" w:lineRule="auto"/>
      <w:jc w:val="center"/>
    </w:pPr>
    <w:rPr>
      <w:rFonts w:ascii="黑体" w:eastAsia="黑体"/>
      <w:sz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9A0A6D-8E26-4872-B2BD-21BD88CF5A6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704</Words>
  <Characters>4013</Characters>
  <Lines>33</Lines>
  <Paragraphs>9</Paragraphs>
  <TotalTime>2</TotalTime>
  <ScaleCrop>false</ScaleCrop>
  <LinksUpToDate>false</LinksUpToDate>
  <CharactersWithSpaces>4708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2020-06-22T07:19:00Z</dcterms:created>
  <dc:creator>CNIS</dc:creator>
  <cp:lastModifiedBy>我</cp:lastModifiedBy>
  <cp:lastPrinted>2020-06-22T02:37:00Z</cp:lastPrinted>
  <dcterms:modified xsi:type="dcterms:W3CDTF">2021-05-12T03:29:17Z</dcterms:modified>
  <dc:title>标准名称</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78BCD308D78F4A02B7436C3F07F4E4CA</vt:lpwstr>
  </property>
</Properties>
</file>