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5"/>
        <w:framePr w:wrap="around"/>
      </w:pPr>
      <w:r>
        <w:rPr>
          <w:rFonts w:ascii="Times New Roman"/>
        </w:rPr>
        <w:t>ICS</w:t>
      </w:r>
      <w:r>
        <w:rPr>
          <w:rFonts w:hint="eastAsia" w:ascii="MS Mincho" w:hAnsi="MS Mincho" w:eastAsia="MS Mincho" w:cs="MS Mincho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t>03.120.20</w:t>
      </w:r>
      <w:r>
        <w:fldChar w:fldCharType="end"/>
      </w:r>
      <w:bookmarkEnd w:id="0"/>
    </w:p>
    <w:p>
      <w:pPr>
        <w:pStyle w:val="135"/>
        <w:framePr w:wrap="around"/>
      </w:pPr>
      <w:bookmarkStart w:id="1" w:name="WXFLH"/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t>A 00</w:t>
      </w:r>
      <w:r>
        <w:fldChar w:fldCharType="end"/>
      </w:r>
      <w:bookmarkEnd w:id="1"/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5"/>
              <w:framePr w:wrap="around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10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wrap="square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iuL+zVAAAABwEAAA8AAAAAAAAAAQAgAAAAIgAAAGRycy9kb3ducmV2LnhtbFBLAQIUABQA&#10;AAAIAIdO4kDOpyKDugEAAIEDAAAOAAAAAAAAAAEAIAAAACQBAABkcnMvZTJvRG9jLnhtbFBLBQYA&#10;AAAABgAGAFkBAABQ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121"/>
        <w:framePr w:wrap="around"/>
      </w:pPr>
      <w:bookmarkStart w:id="2" w:name="c3"/>
      <w:r>
        <w:rPr>
          <w:rFonts w:hint="eastAsia"/>
          <w:lang w:val="en-US" w:eastAsia="zh-CN"/>
        </w:rPr>
        <w:t>DB</w:t>
      </w:r>
      <w:r>
        <w:fldChar w:fldCharType="begin">
          <w:ffData>
            <w:name w:val="c3"/>
            <w:enabled/>
            <w:calcOnExit w:val="0"/>
            <w:entryMacro w:val="ShowHelp16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t>32</w:t>
      </w:r>
      <w:r>
        <w:fldChar w:fldCharType="end"/>
      </w:r>
      <w:bookmarkEnd w:id="2"/>
    </w:p>
    <w:p>
      <w:pPr>
        <w:pStyle w:val="122"/>
        <w:framePr w:wrap="around"/>
      </w:pPr>
      <w:bookmarkStart w:id="3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江苏省</w:t>
      </w:r>
      <w:r>
        <w:fldChar w:fldCharType="end"/>
      </w:r>
      <w:bookmarkEnd w:id="3"/>
      <w:r>
        <w:rPr>
          <w:rFonts w:hint="eastAsia"/>
          <w:lang w:val="en-US" w:eastAsia="zh-CN"/>
        </w:rPr>
        <w:t>地方</w:t>
      </w:r>
      <w:r>
        <w:rPr>
          <w:rFonts w:hint="eastAsia"/>
        </w:rPr>
        <w:t>标准</w:t>
      </w:r>
    </w:p>
    <w:p>
      <w:pPr>
        <w:pStyle w:val="59"/>
        <w:framePr w:wrap="around"/>
        <w:wordWrap w:val="0"/>
        <w:rPr>
          <w:rFonts w:hint="eastAsia" w:hAnsi="黑体" w:eastAsia="黑体"/>
          <w:lang w:val="en-US" w:eastAsia="zh-CN"/>
        </w:rPr>
      </w:pPr>
      <w:r>
        <w:rPr>
          <w:rFonts w:hint="eastAsia" w:ascii="Times New Roman"/>
          <w:lang w:val="en-US" w:eastAsia="zh-CN"/>
        </w:rPr>
        <w:t>DB</w:t>
      </w:r>
      <w:r>
        <w:rPr>
          <w:rFonts w:ascii="Times New Roman"/>
        </w:rPr>
        <w:t xml:space="preserve"> </w:t>
      </w:r>
      <w:bookmarkStart w:id="4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32</w:t>
      </w:r>
      <w:r>
        <w:rPr>
          <w:rFonts w:hAnsi="黑体"/>
        </w:rPr>
        <w:fldChar w:fldCharType="end"/>
      </w:r>
      <w:bookmarkEnd w:id="4"/>
      <w:r>
        <w:rPr>
          <w:rFonts w:hAnsi="黑体"/>
        </w:rPr>
        <w:t>/</w:t>
      </w:r>
      <w:bookmarkStart w:id="5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T XXXX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>—202</w:t>
      </w:r>
      <w:r>
        <w:rPr>
          <w:rFonts w:hint="eastAsia" w:hAnsi="黑体"/>
          <w:lang w:val="en-US" w:eastAsia="zh-CN"/>
        </w:rPr>
        <w:t>1</w:t>
      </w:r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88"/>
              <w:framePr w:wrap="around"/>
            </w:pPr>
            <w:bookmarkStart w:id="6" w:name="DT"/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9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wrap="square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HmDyy9YAAAAIAQAADwAAAAAAAAABACAAAAAiAAAAZHJzL2Rvd25yZXYueG1sUEsBAhQAFAAAAAgA&#10;h07iQLGYlMC1AQAAgAMAAA4AAAAAAAAAAQAgAAAAJQEAAGRycy9lMm9Eb2MueG1sUEsFBgAAAAAG&#10;AAYAWQEAAEw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bookmarkEnd w:id="6"/>
            <w:r>
              <w:t xml:space="preserve"> </w:t>
            </w:r>
          </w:p>
        </w:tc>
      </w:tr>
    </w:tbl>
    <w:p>
      <w:pPr>
        <w:pStyle w:val="59"/>
        <w:framePr w:wrap="around"/>
        <w:rPr>
          <w:rFonts w:hAnsi="黑体"/>
        </w:rPr>
      </w:pPr>
    </w:p>
    <w:p>
      <w:pPr>
        <w:pStyle w:val="59"/>
        <w:framePr w:wrap="around"/>
        <w:rPr>
          <w:rFonts w:hAnsi="黑体"/>
        </w:rPr>
      </w:pPr>
    </w:p>
    <w:p>
      <w:pPr>
        <w:pStyle w:val="90"/>
        <w:framePr w:wrap="around"/>
      </w:pPr>
      <w:r>
        <w:rPr>
          <w:rFonts w:hint="eastAsia"/>
        </w:rPr>
        <w:t>智慧家居工程设计标准</w:t>
      </w:r>
    </w:p>
    <w:p>
      <w:pPr>
        <w:pStyle w:val="91"/>
        <w:framePr w:wrap="around"/>
      </w:pPr>
      <w:r>
        <w:rPr>
          <w:rFonts w:hint="eastAsia"/>
        </w:rPr>
        <w:t>Standard for engineering design of smart home</w:t>
      </w:r>
      <w:bookmarkStart w:id="120" w:name="_GoBack"/>
      <w:bookmarkEnd w:id="120"/>
    </w:p>
    <w:p>
      <w:pPr>
        <w:pStyle w:val="92"/>
        <w:framePr w:wrap="around"/>
      </w:pPr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93"/>
              <w:framePr w:wrap="around"/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wrap="square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F&#10;ia6S1QAAAAoBAAAPAAAAAAAAAAEAIAAAACIAAABkcnMvZG93bnJldi54bWxQSwECFAAUAAAACACH&#10;TuJAtsrEvbUBAACAAwAADgAAAAAAAAABACAAAAAkAQAAZHJzL2Uyb0RvYy54bWxQSwUGAAAAAAYA&#10;BgBZAQAASw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6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wrap="square" anchor="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A+GL5dYAAAAJAQAADwAAAAAAAAABACAAAAAiAAAAZHJzL2Rvd25yZXYueG1sUEsBAhQAFAAAAAgA&#10;h07iQDHtFlu1AQAAgAMAAA4AAAAAAAAAAQAgAAAAJQEAAGRycy9lMm9Eb2MueG1sUEsFBgAAAAAG&#10;AAYAWQEAAEw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94"/>
              <w:framePr w:wrap="around"/>
            </w:pPr>
          </w:p>
        </w:tc>
      </w:tr>
    </w:tbl>
    <w:p>
      <w:pPr>
        <w:pStyle w:val="142"/>
        <w:framePr w:wrap="around" w:hAnchor="page" w:x="1213" w:y="14161"/>
      </w:pPr>
      <w:r>
        <w:rPr>
          <w:rFonts w:hint="eastAsia" w:ascii="黑体"/>
          <w:lang w:val="en-US" w:eastAsia="zh-CN"/>
        </w:rPr>
        <w:t>2021</w:t>
      </w:r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rPr>
          <w:rFonts w:ascii="黑体"/>
        </w:rPr>
        <w:t>-</w:t>
      </w:r>
      <w:bookmarkStart w:id="7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7"/>
      <w:r>
        <w:rPr>
          <w:rFonts w:hint="eastAsia"/>
          <w:highlight w:val="none"/>
        </w:rPr>
        <w:t>发布</w:t>
      </w:r>
      <w: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-244475</wp:posOffset>
                </wp:positionH>
                <wp:positionV relativeFrom="page">
                  <wp:posOffset>9363710</wp:posOffset>
                </wp:positionV>
                <wp:extent cx="6120130" cy="0"/>
                <wp:effectExtent l="0" t="0" r="13970" b="1905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-19.25pt;margin-top:737.3pt;height:0pt;width:481.9pt;mso-position-vertical-relative:page;z-index:251659264;mso-width-relative:page;mso-height-relative:page;" filled="f" stroked="t" coordsize="21600,21600" o:gfxdata="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dVMezZAAAA&#10;DQEAAA8AAAAAAAAAAQAgAAAAIgAAAGRycy9kb3ducmV2LnhtbFBLAQIUABQAAAAIAIdO4kCYvGVF&#10;4wEAAN4DAAAOAAAAAAAAAAEAIAAAACg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43"/>
        <w:framePr w:wrap="around" w:hAnchor="page" w:x="6385" w:y="14173"/>
      </w:pPr>
      <w:r>
        <w:rPr>
          <w:rFonts w:hint="eastAsia" w:ascii="黑体"/>
          <w:lang w:val="en-US" w:eastAsia="zh-CN"/>
        </w:rPr>
        <w:t>2021</w:t>
      </w:r>
      <w:r>
        <w:rPr>
          <w:rFonts w:ascii="黑体"/>
        </w:rPr>
        <w:t>-</w:t>
      </w:r>
      <w:bookmarkStart w:id="8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8"/>
      <w:r>
        <w:rPr>
          <w:rFonts w:ascii="黑体"/>
        </w:rPr>
        <w:t>-</w:t>
      </w:r>
      <w:bookmarkStart w:id="9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9"/>
      <w:r>
        <w:rPr>
          <w:rFonts w:hint="eastAsia"/>
        </w:rPr>
        <w:t>实施</w:t>
      </w:r>
    </w:p>
    <w:p>
      <w:pPr>
        <w:pStyle w:val="123"/>
        <w:framePr w:wrap="around"/>
        <w:rPr>
          <w:rStyle w:val="85"/>
          <w:rFonts w:hint="eastAsia"/>
          <w:szCs w:val="28"/>
        </w:rPr>
      </w:pPr>
      <w:bookmarkStart w:id="10" w:name="fm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江苏省市场监督管理局</w:t>
      </w:r>
      <w:r>
        <w:fldChar w:fldCharType="end"/>
      </w:r>
      <w:bookmarkEnd w:id="10"/>
      <w:r>
        <w:rPr>
          <w:rFonts w:hint="eastAsia" w:ascii="MS Mincho" w:hAnsi="MS Mincho" w:eastAsia="MS Mincho" w:cs="MS Mincho"/>
        </w:rPr>
        <w:t>   </w:t>
      </w:r>
      <w:r>
        <w:rPr>
          <w:rStyle w:val="85"/>
          <w:rFonts w:hint="eastAsia"/>
          <w:szCs w:val="28"/>
          <w:lang w:val="en-US" w:eastAsia="zh-CN"/>
        </w:rPr>
        <w:t>联合</w:t>
      </w:r>
      <w:r>
        <w:rPr>
          <w:rStyle w:val="85"/>
          <w:rFonts w:hint="eastAsia"/>
          <w:szCs w:val="28"/>
        </w:rPr>
        <w:t>发布</w:t>
      </w:r>
    </w:p>
    <w:p>
      <w:pPr>
        <w:pStyle w:val="123"/>
        <w:framePr w:wrap="around"/>
        <w:ind w:left="420" w:leftChars="0" w:firstLine="42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江苏省住房和城乡建设厅</w:t>
      </w:r>
    </w:p>
    <w:p>
      <w:pPr>
        <w:pStyle w:val="25"/>
        <w:sectPr>
          <w:headerReference r:id="rId3" w:type="even"/>
          <w:footerReference r:id="rId4" w:type="even"/>
          <w:pgSz w:w="11906" w:h="16838"/>
          <w:pgMar w:top="567" w:right="1134" w:bottom="1134" w:left="1417" w:header="0" w:footer="0" w:gutter="0"/>
          <w:pgNumType w:start="1"/>
          <w:cols w:space="425" w:num="1"/>
          <w:docGrid w:type="lines" w:linePitch="312" w:charSpace="0"/>
        </w:sect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2338705</wp:posOffset>
                </wp:positionV>
                <wp:extent cx="6120130" cy="0"/>
                <wp:effectExtent l="0" t="0" r="13970" b="19050"/>
                <wp:wrapNone/>
                <wp:docPr id="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-0.05pt;margin-top:184.15pt;height:0pt;width:481.9pt;z-index:251660288;mso-width-relative:page;mso-height-relative:page;" filled="f" stroked="t" coordsize="21600,21600" o:gfxdata="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kTT8dtcAAAAJ&#10;AQAADwAAAAAAAAABACAAAAAiAAAAZHJzL2Rvd25yZXYueG1sUEsBAhQAFAAAAAgAh07iQFdLnNDk&#10;AQAA3gMAAA4AAAAAAAAAAQAgAAAAJg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sdt>
      <w:sdtPr>
        <w:rPr>
          <w:rFonts w:hint="eastAsia" w:ascii="黑体" w:hAnsi="Times New Roman" w:eastAsia="黑体" w:cs="Times New Roman"/>
          <w:kern w:val="0"/>
          <w:sz w:val="32"/>
          <w:szCs w:val="20"/>
          <w:lang w:val="en-US" w:eastAsia="zh-CN" w:bidi="ar-SA"/>
        </w:rPr>
        <w:id w:val="147462310"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Times New Roman" w:eastAsia="黑体" w:cs="Times New Roman"/>
          <w:kern w:val="0"/>
          <w:sz w:val="32"/>
          <w:szCs w:val="20"/>
          <w:lang w:val="en-US" w:eastAsia="zh-CN" w:bidi="ar-SA"/>
        </w:rPr>
      </w:sdtEndPr>
      <w:sdtContent>
        <w:p>
          <w:pPr>
            <w:pStyle w:val="62"/>
            <w:shd w:val="clear" w:color="FFFFFF" w:fill="FFFFFF"/>
            <w:rPr>
              <w:rFonts w:hint="eastAsia" w:ascii="黑体" w:hAnsi="Times New Roman" w:eastAsia="黑体" w:cs="Times New Roman"/>
              <w:kern w:val="0"/>
              <w:sz w:val="32"/>
              <w:szCs w:val="20"/>
              <w:lang w:val="en-US" w:eastAsia="zh-CN" w:bidi="ar-SA"/>
            </w:rPr>
          </w:pPr>
          <w:bookmarkStart w:id="11" w:name="PRTVIEWTCS"/>
          <w:bookmarkEnd w:id="11"/>
          <w:bookmarkStart w:id="12" w:name="_Toc7377845"/>
          <w:r>
            <w:rPr>
              <w:rFonts w:hint="eastAsia" w:ascii="黑体" w:hAnsi="Times New Roman" w:eastAsia="黑体" w:cs="Times New Roman"/>
              <w:kern w:val="0"/>
              <w:sz w:val="32"/>
              <w:szCs w:val="20"/>
              <w:lang w:val="en-US" w:eastAsia="zh-CN" w:bidi="ar-SA"/>
            </w:rPr>
            <w:t>目  次</w:t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_Toc16270 </w:instrText>
          </w:r>
          <w:r>
            <w:fldChar w:fldCharType="separate"/>
          </w:r>
          <w:r>
            <w:rPr>
              <w:rFonts w:hint="eastAsia"/>
            </w:rPr>
            <w:t>前  </w:t>
          </w:r>
          <w:r>
            <w:rPr>
              <w:rFonts w:hint="eastAsia"/>
            </w:rPr>
            <w:t>言</w:t>
          </w:r>
          <w:r>
            <w:tab/>
          </w:r>
          <w:r>
            <w:fldChar w:fldCharType="begin"/>
          </w:r>
          <w:r>
            <w:instrText xml:space="preserve"> PAGEREF _Toc16270 \h </w:instrText>
          </w:r>
          <w:r>
            <w:fldChar w:fldCharType="separate"/>
          </w:r>
          <w:r>
            <w:t>II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_Toc25765 </w:instrText>
          </w:r>
          <w:r>
            <w:fldChar w:fldCharType="separate"/>
          </w:r>
          <w:r>
            <w:rPr>
              <w:rFonts w:hint="eastAsia"/>
            </w:rPr>
            <w:t xml:space="preserve">1 </w:t>
          </w:r>
          <w:r>
            <w:rPr>
              <w:rFonts w:hint="eastAsia"/>
            </w:rPr>
            <w:t>范围</w:t>
          </w:r>
          <w:r>
            <w:tab/>
          </w:r>
          <w:r>
            <w:fldChar w:fldCharType="begin"/>
          </w:r>
          <w:r>
            <w:instrText xml:space="preserve"> PAGEREF _Toc25765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_Toc12396 </w:instrText>
          </w:r>
          <w:r>
            <w:fldChar w:fldCharType="separate"/>
          </w:r>
          <w:r>
            <w:rPr>
              <w:rFonts w:hint="eastAsia"/>
            </w:rPr>
            <w:t xml:space="preserve">2 </w:t>
          </w:r>
          <w:r>
            <w:rPr>
              <w:rFonts w:hint="eastAsia"/>
            </w:rPr>
            <w:t>规范性引用文件</w:t>
          </w:r>
          <w:r>
            <w:tab/>
          </w:r>
          <w:r>
            <w:fldChar w:fldCharType="begin"/>
          </w:r>
          <w:r>
            <w:instrText xml:space="preserve"> PAGEREF _Toc12396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_Toc23809 </w:instrText>
          </w:r>
          <w:r>
            <w:fldChar w:fldCharType="separate"/>
          </w:r>
          <w:r>
            <w:rPr>
              <w:rFonts w:hint="eastAsia"/>
            </w:rPr>
            <w:t xml:space="preserve">3 </w:t>
          </w:r>
          <w:r>
            <w:rPr>
              <w:rFonts w:hint="eastAsia"/>
            </w:rPr>
            <w:t>术语和定义</w:t>
          </w:r>
          <w:r>
            <w:tab/>
          </w:r>
          <w:r>
            <w:fldChar w:fldCharType="begin"/>
          </w:r>
          <w:r>
            <w:instrText xml:space="preserve"> PAGEREF _Toc23809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_Toc10353 </w:instrText>
          </w:r>
          <w:r>
            <w:fldChar w:fldCharType="separate"/>
          </w:r>
          <w:r>
            <w:rPr>
              <w:rFonts w:hint="eastAsia"/>
            </w:rPr>
            <w:t xml:space="preserve">4 </w:t>
          </w:r>
          <w:r>
            <w:rPr>
              <w:rFonts w:hint="eastAsia"/>
            </w:rPr>
            <w:t>基本规定</w:t>
          </w:r>
          <w:r>
            <w:tab/>
          </w:r>
          <w:r>
            <w:fldChar w:fldCharType="begin"/>
          </w:r>
          <w:r>
            <w:instrText xml:space="preserve"> PAGEREF _Toc10353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_Toc4040 </w:instrText>
          </w:r>
          <w:r>
            <w:fldChar w:fldCharType="separate"/>
          </w:r>
          <w:r>
            <w:rPr>
              <w:rFonts w:hint="eastAsia"/>
            </w:rPr>
            <w:t xml:space="preserve">5 </w:t>
          </w:r>
          <w:r>
            <w:rPr>
              <w:rFonts w:hint="eastAsia"/>
            </w:rPr>
            <w:t>技术架构</w:t>
          </w:r>
          <w:r>
            <w:tab/>
          </w:r>
          <w:r>
            <w:fldChar w:fldCharType="begin"/>
          </w:r>
          <w:r>
            <w:instrText xml:space="preserve"> PAGEREF _Toc4040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_Toc1341 </w:instrText>
          </w:r>
          <w:r>
            <w:fldChar w:fldCharType="separate"/>
          </w:r>
          <w:r>
            <w:rPr>
              <w:rFonts w:hint="eastAsia"/>
            </w:rPr>
            <w:t xml:space="preserve">6 </w:t>
          </w:r>
          <w:r>
            <w:rPr>
              <w:rFonts w:hint="eastAsia"/>
            </w:rPr>
            <w:t>功能要素</w:t>
          </w:r>
          <w:r>
            <w:tab/>
          </w:r>
          <w:r>
            <w:fldChar w:fldCharType="begin"/>
          </w:r>
          <w:r>
            <w:instrText xml:space="preserve"> PAGEREF _Toc1341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_Toc18720 </w:instrText>
          </w:r>
          <w:r>
            <w:fldChar w:fldCharType="separate"/>
          </w:r>
          <w:r>
            <w:rPr>
              <w:rFonts w:hint="eastAsia"/>
            </w:rPr>
            <w:t xml:space="preserve">7 </w:t>
          </w:r>
          <w:r>
            <w:rPr>
              <w:rFonts w:hint="eastAsia"/>
            </w:rPr>
            <w:t>设备配置</w:t>
          </w:r>
          <w:r>
            <w:tab/>
          </w:r>
          <w:r>
            <w:fldChar w:fldCharType="begin"/>
          </w:r>
          <w:r>
            <w:instrText xml:space="preserve"> PAGEREF _Toc18720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21"/>
            <w:spacing w:before="78" w:after="78"/>
          </w:pPr>
          <w:r>
            <w:fldChar w:fldCharType="begin"/>
          </w:r>
          <w:r>
            <w:instrText xml:space="preserve"> HYPERLINK \l _Toc23714 </w:instrText>
          </w:r>
          <w:r>
            <w:fldChar w:fldCharType="separate"/>
          </w:r>
          <w:r>
            <w:rPr>
              <w:rFonts w:hint="eastAsia"/>
            </w:rPr>
            <w:t xml:space="preserve">8 </w:t>
          </w:r>
          <w:r>
            <w:rPr>
              <w:rFonts w:hint="eastAsia"/>
            </w:rPr>
            <w:t>安全、供电及接地</w:t>
          </w:r>
          <w:r>
            <w:tab/>
          </w:r>
          <w:r>
            <w:fldChar w:fldCharType="begin"/>
          </w:r>
          <w:r>
            <w:instrText xml:space="preserve"> PAGEREF _Toc23714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pStyle w:val="124"/>
      </w:pPr>
      <w:bookmarkStart w:id="13" w:name="_Toc16270"/>
      <w:r>
        <w:rPr>
          <w:rFonts w:hint="eastAsia"/>
        </w:rPr>
        <w:t>前</w:t>
      </w:r>
      <w:bookmarkStart w:id="14" w:name="BKQY"/>
      <w:r>
        <w:rPr>
          <w:rFonts w:hint="eastAsia" w:ascii="MS Mincho" w:hAnsi="MS Mincho" w:eastAsia="MS Mincho" w:cs="MS Mincho"/>
        </w:rPr>
        <w:t>  </w:t>
      </w:r>
      <w:r>
        <w:rPr>
          <w:rFonts w:hint="eastAsia"/>
        </w:rPr>
        <w:t>言</w:t>
      </w:r>
      <w:bookmarkEnd w:id="12"/>
      <w:bookmarkEnd w:id="13"/>
      <w:bookmarkEnd w:id="14"/>
    </w:p>
    <w:p>
      <w:pPr>
        <w:pStyle w:val="25"/>
        <w:rPr>
          <w:rFonts w:hint="eastAsia" w:eastAsia="宋体"/>
          <w:lang w:val="en-US" w:eastAsia="zh-CN"/>
        </w:rPr>
      </w:pPr>
      <w:r>
        <w:rPr>
          <w:rFonts w:hint="eastAsia"/>
        </w:rPr>
        <w:t>本标准依据</w:t>
      </w:r>
      <w:r>
        <w:t>GB/T 1.1-20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给出的规则起草</w:t>
      </w:r>
      <w:r>
        <w:rPr>
          <w:rFonts w:hint="eastAsia"/>
          <w:lang w:val="en-US" w:eastAsia="zh-CN"/>
        </w:rPr>
        <w:t>.</w:t>
      </w:r>
    </w:p>
    <w:p>
      <w:pPr>
        <w:pStyle w:val="25"/>
      </w:pPr>
      <w:r>
        <w:rPr>
          <w:rFonts w:hint="eastAsia"/>
        </w:rPr>
        <w:t>本标</w:t>
      </w:r>
      <w:r>
        <w:rPr>
          <w:rFonts w:hint="eastAsia"/>
          <w:highlight w:val="none"/>
        </w:rPr>
        <w:t>准由江苏省</w:t>
      </w:r>
      <w:r>
        <w:rPr>
          <w:rFonts w:hint="eastAsia"/>
          <w:highlight w:val="none"/>
          <w:lang w:val="en-US" w:eastAsia="zh-CN"/>
        </w:rPr>
        <w:t>住房和城乡建设厅</w:t>
      </w:r>
      <w:r>
        <w:rPr>
          <w:rFonts w:hint="eastAsia"/>
          <w:highlight w:val="none"/>
        </w:rPr>
        <w:t>提出</w:t>
      </w:r>
      <w:r>
        <w:rPr>
          <w:rFonts w:hint="eastAsia"/>
        </w:rPr>
        <w:t>并归口。</w:t>
      </w:r>
    </w:p>
    <w:p>
      <w:pPr>
        <w:pStyle w:val="25"/>
      </w:pPr>
      <w:r>
        <w:rPr>
          <w:rFonts w:hint="eastAsia"/>
        </w:rPr>
        <w:t>本标准起草单位：南京市长江都市建筑设计股份有限公司</w:t>
      </w:r>
      <w:r>
        <w:rPr>
          <w:rFonts w:hint="eastAsia"/>
          <w:lang w:eastAsia="zh-CN"/>
        </w:rPr>
        <w:t>、南京工业大学、江苏省土木建筑学会、深圳绿米联创科技有限公司</w:t>
      </w:r>
      <w:r>
        <w:rPr>
          <w:rFonts w:hint="eastAsia"/>
        </w:rPr>
        <w:t>。</w:t>
      </w:r>
    </w:p>
    <w:p>
      <w:pPr>
        <w:pStyle w:val="25"/>
      </w:pPr>
      <w:r>
        <w:rPr>
          <w:rFonts w:hint="eastAsia"/>
        </w:rPr>
        <w:t>本标准主要起草人：顾小军、唐觉民、龚延风、帅仁俊、宋舒涵、柯中华、吴玥群、张延洲、张晓东、范玉华、施超、戴涛、陈洪亮、余刚。</w:t>
      </w:r>
    </w:p>
    <w:p>
      <w:pPr>
        <w:pStyle w:val="25"/>
      </w:pPr>
    </w:p>
    <w:p>
      <w:pPr>
        <w:pStyle w:val="25"/>
        <w:ind w:firstLine="0" w:firstLineChars="0"/>
      </w:pPr>
    </w:p>
    <w:p>
      <w:pPr>
        <w:pStyle w:val="25"/>
        <w:ind w:firstLine="0" w:firstLineChars="0"/>
        <w:sectPr>
          <w:headerReference r:id="rId5" w:type="default"/>
          <w:footerReference r:id="rId6" w:type="default"/>
          <w:pgSz w:w="11906" w:h="16838"/>
          <w:pgMar w:top="567" w:right="1134" w:bottom="1134" w:left="1417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>
      <w:pPr>
        <w:pStyle w:val="62"/>
        <w:rPr>
          <w:color w:val="000000"/>
        </w:rPr>
      </w:pPr>
      <w:bookmarkStart w:id="15" w:name="_Toc5595"/>
      <w:bookmarkStart w:id="16" w:name="_Toc19950"/>
      <w:r>
        <w:rPr>
          <w:rFonts w:hint="eastAsia"/>
          <w:color w:val="000000"/>
        </w:rPr>
        <w:t>智慧家居工程设计标准</w:t>
      </w:r>
      <w:bookmarkEnd w:id="15"/>
      <w:bookmarkEnd w:id="16"/>
    </w:p>
    <w:p>
      <w:pPr>
        <w:pStyle w:val="57"/>
        <w:spacing w:before="312" w:after="312"/>
        <w:outlineLvl w:val="0"/>
        <w:rPr>
          <w:color w:val="000000"/>
        </w:rPr>
      </w:pPr>
      <w:bookmarkStart w:id="17" w:name="_Toc532892935"/>
      <w:bookmarkStart w:id="18" w:name="_Toc504140231"/>
      <w:bookmarkStart w:id="19" w:name="_Toc532914494"/>
      <w:bookmarkStart w:id="20" w:name="_Toc521419296"/>
      <w:bookmarkStart w:id="21" w:name="_Toc521421775"/>
      <w:bookmarkStart w:id="22" w:name="_Toc504133278"/>
      <w:bookmarkStart w:id="23" w:name="_Toc533777093"/>
      <w:bookmarkStart w:id="24" w:name="_Toc521407204"/>
      <w:bookmarkStart w:id="25" w:name="_Toc491787423"/>
      <w:bookmarkStart w:id="26" w:name="_Toc488245932"/>
      <w:bookmarkStart w:id="27" w:name="_Toc488155580"/>
      <w:bookmarkStart w:id="28" w:name="_Toc7377552"/>
      <w:bookmarkStart w:id="29" w:name="_Toc532892964"/>
      <w:bookmarkStart w:id="30" w:name="_Toc488157675"/>
      <w:bookmarkStart w:id="31" w:name="_Toc488245886"/>
      <w:bookmarkStart w:id="32" w:name="_Toc7377846"/>
      <w:bookmarkStart w:id="33" w:name="_Toc7377571"/>
      <w:bookmarkStart w:id="34" w:name="_Toc521407146"/>
      <w:bookmarkStart w:id="35" w:name="_Toc7377002"/>
      <w:bookmarkStart w:id="36" w:name="_Toc25765"/>
      <w:bookmarkStart w:id="37" w:name="_Toc7188473"/>
      <w:bookmarkStart w:id="38" w:name="_Toc521488069"/>
      <w:bookmarkStart w:id="39" w:name="_Toc492023787"/>
      <w:bookmarkStart w:id="40" w:name="_Toc533425484"/>
      <w:bookmarkStart w:id="41" w:name="_Toc504143592"/>
      <w:bookmarkStart w:id="42" w:name="_Toc533758267"/>
      <w:bookmarkStart w:id="43" w:name="_Toc533413424"/>
      <w:bookmarkStart w:id="44" w:name="_Toc532913492"/>
      <w:bookmarkStart w:id="45" w:name="_Toc488245914"/>
      <w:bookmarkStart w:id="46" w:name="_Toc521407177"/>
      <w:r>
        <w:rPr>
          <w:rFonts w:hint="eastAsia"/>
          <w:color w:val="000000"/>
        </w:rPr>
        <w:t>范围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25"/>
        <w:rPr>
          <w:color w:val="000000"/>
        </w:rPr>
      </w:pPr>
      <w:r>
        <w:rPr>
          <w:rFonts w:hint="eastAsia"/>
          <w:color w:val="000000"/>
        </w:rPr>
        <w:t>本标准适用于江苏省新建、扩建、改建的成品住宅、公寓等居住建筑的智慧家居工程设计。</w:t>
      </w:r>
    </w:p>
    <w:p>
      <w:pPr>
        <w:pStyle w:val="57"/>
        <w:spacing w:before="312" w:after="312"/>
        <w:outlineLvl w:val="0"/>
        <w:rPr>
          <w:color w:val="000000"/>
        </w:rPr>
      </w:pPr>
      <w:bookmarkStart w:id="47" w:name="_Toc488157677"/>
      <w:bookmarkEnd w:id="47"/>
      <w:bookmarkStart w:id="48" w:name="_Toc488155582"/>
      <w:bookmarkEnd w:id="48"/>
      <w:bookmarkStart w:id="49" w:name="_Toc7377572"/>
      <w:bookmarkStart w:id="50" w:name="_Toc12396"/>
      <w:bookmarkStart w:id="51" w:name="_Toc7377847"/>
      <w:bookmarkStart w:id="52" w:name="_Toc7377553"/>
      <w:bookmarkStart w:id="53" w:name="_Toc7188474"/>
      <w:bookmarkStart w:id="54" w:name="_Toc7377003"/>
      <w:bookmarkStart w:id="55" w:name="_Toc492023789"/>
      <w:bookmarkStart w:id="56" w:name="_Toc488245934"/>
      <w:bookmarkStart w:id="57" w:name="_Toc491787425"/>
      <w:bookmarkStart w:id="58" w:name="_Toc521407148"/>
      <w:bookmarkStart w:id="59" w:name="_Toc533777094"/>
      <w:bookmarkStart w:id="60" w:name="_Toc532892966"/>
      <w:bookmarkStart w:id="61" w:name="_Toc504143594"/>
      <w:bookmarkStart w:id="62" w:name="_Toc488245916"/>
      <w:bookmarkStart w:id="63" w:name="_Toc532914496"/>
      <w:bookmarkStart w:id="64" w:name="_Toc532892937"/>
      <w:bookmarkStart w:id="65" w:name="_Toc533758268"/>
      <w:bookmarkStart w:id="66" w:name="_Toc488245888"/>
      <w:bookmarkStart w:id="67" w:name="_Toc521488071"/>
      <w:bookmarkStart w:id="68" w:name="_Toc504140233"/>
      <w:bookmarkStart w:id="69" w:name="_Toc533425485"/>
      <w:bookmarkStart w:id="70" w:name="_Toc521421777"/>
      <w:bookmarkStart w:id="71" w:name="_Toc521407206"/>
      <w:bookmarkStart w:id="72" w:name="_Toc532913494"/>
      <w:bookmarkStart w:id="73" w:name="_Toc521419298"/>
      <w:bookmarkStart w:id="74" w:name="_Toc521407179"/>
      <w:bookmarkStart w:id="75" w:name="_Toc504133280"/>
      <w:bookmarkStart w:id="76" w:name="_Toc533413425"/>
      <w:r>
        <w:rPr>
          <w:rFonts w:hint="eastAsia"/>
          <w:color w:val="000000"/>
        </w:rPr>
        <w:t>规范性引用文件</w:t>
      </w:r>
      <w:bookmarkEnd w:id="49"/>
      <w:bookmarkEnd w:id="50"/>
      <w:bookmarkEnd w:id="51"/>
      <w:bookmarkEnd w:id="52"/>
      <w:bookmarkEnd w:id="53"/>
      <w:bookmarkEnd w:id="54"/>
    </w:p>
    <w:p>
      <w:pPr>
        <w:pStyle w:val="25"/>
        <w:rPr>
          <w:rFonts w:hint="eastAsia" w:eastAsia="宋体"/>
          <w:color w:val="000000"/>
          <w:highlight w:val="none"/>
          <w:lang w:eastAsia="zh-CN"/>
        </w:rPr>
      </w:pPr>
      <w:r>
        <w:rPr>
          <w:rFonts w:hint="eastAsia"/>
          <w:color w:val="000000"/>
        </w:rPr>
        <w:t>下列文件对于本文件的应用是必不可少的，凡是注日期的引用文件，仅注日期的版本适用于本文件。凡是不注日期的引用文件，其最新版本（包括所有的修改单）适用于本文件</w:t>
      </w:r>
      <w:r>
        <w:rPr>
          <w:rFonts w:hint="eastAsia"/>
          <w:color w:val="000000"/>
          <w:lang w:eastAsia="zh-CN"/>
        </w:rPr>
        <w:t>。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51348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民用建筑电气设计标准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50116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火灾自动报警系统设计规范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50348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安全防范工程技术标准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50395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视频安防监控系统工程设计规范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50394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入侵报警系统工程设计规范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50057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建筑物防雷设计规范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2099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家用和类似用途插头插座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 50846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住宅区和住宅建筑内光纤到户通信设施工程设计规范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GB/T 30246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家庭网络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GA 374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电子防盗锁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DGJ32/J 26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江苏省住宅设计标准</w:t>
      </w:r>
    </w:p>
    <w:p>
      <w:pPr>
        <w:pStyle w:val="25"/>
        <w:rPr>
          <w:rFonts w:hint="eastAsia"/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DGJ32/J 173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江苏省绿色建筑设计标准</w:t>
      </w:r>
    </w:p>
    <w:p>
      <w:pPr>
        <w:pStyle w:val="25"/>
        <w:rPr>
          <w:rFonts w:hint="default" w:eastAsia="宋体"/>
          <w:color w:val="000000"/>
          <w:highlight w:val="yellow"/>
          <w:lang w:val="en-US" w:eastAsia="zh-CN"/>
        </w:rPr>
      </w:pPr>
      <w:r>
        <w:rPr>
          <w:rFonts w:hint="eastAsia"/>
          <w:color w:val="000000"/>
          <w:highlight w:val="none"/>
        </w:rPr>
        <w:t>JGJ/T 334</w:t>
      </w:r>
      <w:r>
        <w:rPr>
          <w:rFonts w:hint="eastAsia"/>
          <w:color w:val="000000"/>
          <w:highlight w:val="none"/>
          <w:lang w:val="en-US" w:eastAsia="zh-CN"/>
        </w:rPr>
        <w:t xml:space="preserve"> </w:t>
      </w:r>
      <w:r>
        <w:rPr>
          <w:rFonts w:hint="eastAsia"/>
          <w:color w:val="000000"/>
          <w:highlight w:val="none"/>
        </w:rPr>
        <w:t>建筑设备监控系统工程技术规范</w:t>
      </w:r>
    </w:p>
    <w:p>
      <w:pPr>
        <w:pStyle w:val="57"/>
        <w:spacing w:before="312" w:after="312"/>
        <w:outlineLvl w:val="0"/>
        <w:rPr>
          <w:color w:val="000000"/>
        </w:rPr>
      </w:pPr>
      <w:bookmarkStart w:id="77" w:name="_Toc7377554"/>
      <w:bookmarkStart w:id="78" w:name="_Toc23809"/>
      <w:bookmarkStart w:id="79" w:name="_Toc7188475"/>
      <w:bookmarkStart w:id="80" w:name="_Toc7377573"/>
      <w:bookmarkStart w:id="81" w:name="_Toc7377004"/>
      <w:bookmarkStart w:id="82" w:name="_Toc7377848"/>
      <w:r>
        <w:rPr>
          <w:rFonts w:hint="eastAsia"/>
          <w:color w:val="000000"/>
        </w:rPr>
        <w:t>术语和定义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>
      <w:pPr>
        <w:pStyle w:val="25"/>
        <w:rPr>
          <w:color w:val="000000"/>
        </w:rPr>
      </w:pPr>
      <w:r>
        <w:rPr>
          <w:rFonts w:hint="eastAsia"/>
          <w:color w:val="000000"/>
        </w:rPr>
        <w:t>下列术语和定义适用于本文件。</w:t>
      </w:r>
    </w:p>
    <w:p>
      <w:pPr>
        <w:pStyle w:val="54"/>
        <w:spacing w:before="156" w:after="156"/>
        <w:ind w:left="2"/>
        <w:rPr>
          <w:color w:val="000000"/>
        </w:rPr>
      </w:pPr>
      <w:bookmarkStart w:id="83" w:name="_Toc521407180"/>
      <w:bookmarkEnd w:id="83"/>
      <w:bookmarkStart w:id="84" w:name="_Toc488245889"/>
      <w:bookmarkEnd w:id="84"/>
      <w:bookmarkStart w:id="85" w:name="_Toc521407149"/>
      <w:bookmarkEnd w:id="85"/>
      <w:bookmarkStart w:id="86" w:name="_Toc532892938"/>
      <w:bookmarkEnd w:id="86"/>
      <w:bookmarkStart w:id="87" w:name="_Toc488245917"/>
      <w:bookmarkEnd w:id="87"/>
    </w:p>
    <w:p>
      <w:pPr>
        <w:pStyle w:val="25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智慧家居</w:t>
      </w:r>
      <w:r>
        <w:rPr>
          <w:rFonts w:ascii="黑体" w:hAnsi="黑体" w:eastAsia="黑体"/>
          <w:color w:val="000000"/>
        </w:rPr>
        <w:t xml:space="preserve"> </w:t>
      </w:r>
      <w:r>
        <w:rPr>
          <w:rFonts w:hint="eastAsia" w:ascii="Times New Roman" w:eastAsia="黑体"/>
          <w:color w:val="000000"/>
        </w:rPr>
        <w:t xml:space="preserve">  Smart Home</w:t>
      </w:r>
    </w:p>
    <w:p>
      <w:pPr>
        <w:pStyle w:val="25"/>
        <w:rPr>
          <w:rFonts w:ascii="Times New Roman"/>
          <w:color w:val="000000"/>
        </w:rPr>
      </w:pPr>
      <w:bookmarkStart w:id="88" w:name="_Toc521407181"/>
      <w:bookmarkEnd w:id="88"/>
      <w:bookmarkStart w:id="89" w:name="_Toc521407150"/>
      <w:bookmarkEnd w:id="89"/>
      <w:r>
        <w:rPr>
          <w:rFonts w:hint="eastAsia"/>
          <w:color w:val="000000"/>
        </w:rPr>
        <w:t>由家居传感器、执行器、被控设备、家庭边缘计算网关、智慧家居服务平台组成，通过家庭网络实现家居设备之间、设备与人、设备与环境的连接，具有感知、传输、记忆、自学习、自适应的综合智慧能力，提高家居生活安全性、健康性、便捷性、舒适性，提升居住生活品质的系统</w:t>
      </w:r>
      <w:r>
        <w:rPr>
          <w:rFonts w:hint="eastAsia" w:ascii="Times New Roman"/>
          <w:color w:val="000000"/>
        </w:rPr>
        <w:t>。</w:t>
      </w:r>
    </w:p>
    <w:p>
      <w:pPr>
        <w:pStyle w:val="54"/>
        <w:spacing w:before="156" w:after="156"/>
        <w:ind w:left="2"/>
        <w:rPr>
          <w:color w:val="000000"/>
        </w:rPr>
      </w:pPr>
      <w:bookmarkStart w:id="90" w:name="_Toc521407182"/>
      <w:bookmarkEnd w:id="90"/>
      <w:bookmarkStart w:id="91" w:name="_Toc521407151"/>
      <w:bookmarkEnd w:id="91"/>
      <w:bookmarkStart w:id="92" w:name="_Toc532892939"/>
      <w:bookmarkEnd w:id="92"/>
    </w:p>
    <w:p>
      <w:pPr>
        <w:pStyle w:val="25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家庭边缘计算网关</w:t>
      </w:r>
      <w:r>
        <w:rPr>
          <w:rFonts w:ascii="黑体" w:hAnsi="黑体" w:eastAsia="黑体"/>
          <w:color w:val="000000"/>
        </w:rPr>
        <w:t xml:space="preserve">  </w:t>
      </w:r>
      <w:r>
        <w:rPr>
          <w:rFonts w:hint="eastAsia" w:ascii="Times New Roman" w:eastAsia="黑体"/>
          <w:color w:val="000000"/>
        </w:rPr>
        <w:t>Home edge computing gateway</w:t>
      </w:r>
    </w:p>
    <w:p>
      <w:pPr>
        <w:pStyle w:val="25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>部署在家居内部，实现智慧家居设备的智能管理，具有轻量化的设备连接、数据分析、数据优化、视图服务和安全管理等功能。</w:t>
      </w:r>
    </w:p>
    <w:p>
      <w:pPr>
        <w:pStyle w:val="54"/>
        <w:spacing w:before="156" w:after="156"/>
        <w:ind w:left="2"/>
        <w:rPr>
          <w:color w:val="000000"/>
        </w:rPr>
      </w:pPr>
      <w:bookmarkStart w:id="93" w:name="_Toc521407152"/>
      <w:bookmarkEnd w:id="93"/>
      <w:bookmarkStart w:id="94" w:name="_Toc521407183"/>
      <w:bookmarkEnd w:id="94"/>
      <w:bookmarkStart w:id="95" w:name="_Toc532892940"/>
      <w:bookmarkEnd w:id="95"/>
    </w:p>
    <w:p>
      <w:pPr>
        <w:pStyle w:val="25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智慧家居监控终端</w:t>
      </w:r>
      <w:r>
        <w:rPr>
          <w:rFonts w:ascii="黑体" w:hAnsi="黑体" w:eastAsia="黑体"/>
          <w:color w:val="000000"/>
        </w:rPr>
        <w:t xml:space="preserve">  </w:t>
      </w:r>
      <w:r>
        <w:rPr>
          <w:rFonts w:hint="eastAsia" w:ascii="Times New Roman" w:eastAsia="黑体"/>
          <w:color w:val="000000"/>
        </w:rPr>
        <w:t>Smart Home Terminal</w:t>
      </w:r>
    </w:p>
    <w:p>
      <w:pPr>
        <w:pStyle w:val="25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>智慧家居系统的人机交互设备，包括户内智慧家居信息屏、手机、平板、机器人等终端。</w:t>
      </w:r>
    </w:p>
    <w:p>
      <w:pPr>
        <w:pStyle w:val="25"/>
        <w:spacing w:before="156" w:beforeLines="50" w:after="156" w:afterLines="50"/>
        <w:ind w:firstLine="0" w:firstLineChars="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 xml:space="preserve">3.4  </w:t>
      </w:r>
    </w:p>
    <w:p>
      <w:pPr>
        <w:pStyle w:val="25"/>
        <w:ind w:firstLineChars="0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 xml:space="preserve">家居物联网  </w:t>
      </w:r>
      <w:r>
        <w:rPr>
          <w:rFonts w:hint="eastAsia" w:ascii="Times New Roman"/>
          <w:sz w:val="24"/>
        </w:rPr>
        <w:t>Home devices Internet of things</w:t>
      </w:r>
    </w:p>
    <w:p>
      <w:pPr>
        <w:pStyle w:val="25"/>
        <w:ind w:firstLineChars="0"/>
        <w:rPr>
          <w:rFonts w:ascii="Times New Roman"/>
          <w:color w:val="000000"/>
        </w:rPr>
      </w:pPr>
      <w:r>
        <w:rPr>
          <w:rFonts w:hint="eastAsia" w:ascii="Times New Roman"/>
          <w:color w:val="000000"/>
        </w:rPr>
        <w:t>连接户内各传感器、家电、执行器等家居设备的网络。</w:t>
      </w:r>
    </w:p>
    <w:p>
      <w:pPr>
        <w:pStyle w:val="57"/>
        <w:spacing w:before="312" w:after="312"/>
        <w:outlineLvl w:val="0"/>
        <w:rPr>
          <w:color w:val="000000"/>
        </w:rPr>
      </w:pPr>
      <w:bookmarkStart w:id="96" w:name="_Toc488245890"/>
      <w:bookmarkEnd w:id="96"/>
      <w:bookmarkStart w:id="97" w:name="_Toc488245918"/>
      <w:bookmarkEnd w:id="97"/>
      <w:bookmarkStart w:id="98" w:name="_Toc10353"/>
      <w:r>
        <w:rPr>
          <w:rFonts w:hint="eastAsia"/>
          <w:color w:val="000000"/>
        </w:rPr>
        <w:t>基本规定</w:t>
      </w:r>
      <w:bookmarkEnd w:id="98"/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智慧家居工程设计应综合考虑居住建筑的产品定位、运营模式等因素，立足于提升居住生活品质，满足智慧宜居的总体需求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智慧家居通信技术应基于可靠性、经济性、普适性及安装和维护的便捷性等综合设计原则，根据需要选择不同的通信技术。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智慧家居设备应选择符合国家现行相关标准和市场准入制度的产品。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智慧家居设备配置应在保证稳定性的基础上提高居住生活便捷性，宜具有手动控制、应急操作功能。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系统设计应在满足使用要求的同时，具备一定可扩展性。</w:t>
      </w:r>
    </w:p>
    <w:p>
      <w:pPr>
        <w:pStyle w:val="57"/>
        <w:spacing w:before="312" w:after="312"/>
        <w:outlineLvl w:val="0"/>
        <w:rPr>
          <w:color w:val="000000"/>
        </w:rPr>
      </w:pPr>
      <w:bookmarkStart w:id="99" w:name="_Toc4040"/>
      <w:r>
        <w:rPr>
          <w:rFonts w:hint="eastAsia"/>
          <w:color w:val="000000"/>
        </w:rPr>
        <w:t>技术架构</w:t>
      </w:r>
      <w:bookmarkEnd w:id="99"/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智慧家居系统主要由设备层、边缘层、平台层及家庭网络组成。系统架构见图4.1。</w:t>
      </w:r>
    </w:p>
    <w:p>
      <w:pPr>
        <w:pStyle w:val="71"/>
        <w:numPr>
          <w:ilvl w:val="0"/>
          <w:numId w:val="0"/>
        </w:numPr>
        <w:tabs>
          <w:tab w:val="left" w:pos="840"/>
          <w:tab w:val="clear" w:pos="839"/>
        </w:tabs>
        <w:ind w:left="420"/>
        <w:rPr>
          <w:color w:val="000000"/>
        </w:rPr>
      </w:pPr>
      <w:r>
        <w:drawing>
          <wp:inline distT="0" distB="0" distL="114300" distR="114300">
            <wp:extent cx="5345430" cy="3345180"/>
            <wp:effectExtent l="0" t="0" r="3810" b="762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543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设备层的传感器、执行器、被控设备等终端设施，应符合以下规定</w:t>
      </w:r>
      <w:bookmarkStart w:id="100" w:name="_Toc532892948"/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：</w:t>
      </w:r>
      <w:r>
        <w:rPr>
          <w:color w:val="000000"/>
        </w:rPr>
        <w:t xml:space="preserve"> </w:t>
      </w:r>
    </w:p>
    <w:p>
      <w:pPr>
        <w:pStyle w:val="71"/>
        <w:numPr>
          <w:ilvl w:val="0"/>
          <w:numId w:val="18"/>
        </w:numPr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应具有标准连接接口和通信接口，通信协议应具有开放性和兼容性。</w:t>
      </w:r>
    </w:p>
    <w:p>
      <w:pPr>
        <w:pStyle w:val="71"/>
        <w:numPr>
          <w:ilvl w:val="0"/>
          <w:numId w:val="18"/>
        </w:numPr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在网络、供电中断重启后，应具有自动接入、自动恢复的功能。</w:t>
      </w:r>
    </w:p>
    <w:p>
      <w:pPr>
        <w:pStyle w:val="71"/>
        <w:numPr>
          <w:ilvl w:val="0"/>
          <w:numId w:val="18"/>
        </w:numPr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>宜具有终端设备在线状态监测的功能。</w:t>
      </w:r>
      <w:r>
        <w:rPr>
          <w:color w:val="000000"/>
          <w:highlight w:val="none"/>
        </w:rPr>
        <w:t xml:space="preserve"> </w:t>
      </w:r>
    </w:p>
    <w:bookmarkEnd w:id="100"/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家庭网络应满足家居物联网和家庭宽带网络的传输性能，应保证家庭网络内各传输数据的安全、及时，并应符合《家庭网络》 GB/T 30246的相关规定。</w:t>
      </w:r>
      <w:bookmarkStart w:id="101" w:name="_Toc532892949"/>
    </w:p>
    <w:bookmarkEnd w:id="101"/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家庭边缘计算网关应符合以下规定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bookmarkStart w:id="102" w:name="_Toc7377007"/>
      <w:bookmarkStart w:id="103" w:name="_Toc533425488"/>
      <w:bookmarkStart w:id="104" w:name="_Toc532892950"/>
      <w:bookmarkStart w:id="105" w:name="_Toc533413428"/>
      <w:bookmarkStart w:id="106" w:name="_Toc7188478"/>
      <w:bookmarkStart w:id="107" w:name="_Toc533758271"/>
      <w:bookmarkStart w:id="108" w:name="_Toc532913497"/>
      <w:bookmarkStart w:id="109" w:name="_Toc532914499"/>
      <w:bookmarkStart w:id="110" w:name="_Toc532892969"/>
      <w:bookmarkStart w:id="111" w:name="_Toc533777097"/>
      <w:bookmarkStart w:id="112" w:name="_Toc7377557"/>
      <w:bookmarkStart w:id="113" w:name="_Toc7377576"/>
      <w:bookmarkStart w:id="114" w:name="_Toc7377851"/>
      <w:r>
        <w:rPr>
          <w:rFonts w:hint="eastAsia"/>
          <w:color w:val="000000"/>
        </w:rPr>
        <w:t>应能与智慧家居服务平台、社区综合服务平台通信，能接收远程数据和控制信息，并具有互联网传输和接入的安全措施。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应具备对家庭各类设备的数据采集、逻辑控制、场景配置等功能。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应能支持有线或无线数据通讯协议，宜支持异构连接，满足智慧家居数据传输需求。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应具备本地管理功能，当外部网络中断时，应能保证设备的正常监控和基本业务场景的执行。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应具有系统信息存储功能。用户配置和操作记录均应保存，并应具备断电记忆功能。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应具有定时、条件或事件触发等自定义功能。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应具有场景控制功能，场景模式应能用户自定义。</w:t>
      </w:r>
    </w:p>
    <w:p>
      <w:pPr>
        <w:pStyle w:val="71"/>
        <w:numPr>
          <w:ilvl w:val="0"/>
          <w:numId w:val="19"/>
        </w:numPr>
        <w:jc w:val="left"/>
        <w:rPr>
          <w:color w:val="000000"/>
        </w:rPr>
      </w:pPr>
      <w:r>
        <w:rPr>
          <w:rFonts w:hint="eastAsia"/>
          <w:color w:val="000000"/>
        </w:rPr>
        <w:t>多个边缘计算网关间宜具有连接、数据、管理、应用、安全等方面的协调能力，实现跨网关的场景联动功能。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智慧家居服务平台应符合如下规定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应能实现智慧家居监控终端与家庭边缘计算网关的数据交互。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应能记录智慧家居系统内设备、终端软件的配置。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应能记录家居设备运行及操作日志等信息。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应支持多级权限管配，实现设备的设置与功能分享等管理与授权。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宜提供大数据、AI算力，实现家居生活智慧场景应用。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可提供家居场景的推荐配置服务。</w:t>
      </w:r>
    </w:p>
    <w:p>
      <w:pPr>
        <w:pStyle w:val="71"/>
        <w:numPr>
          <w:ilvl w:val="0"/>
          <w:numId w:val="20"/>
        </w:numPr>
        <w:jc w:val="left"/>
        <w:rPr>
          <w:color w:val="000000"/>
        </w:rPr>
      </w:pPr>
      <w:r>
        <w:rPr>
          <w:rFonts w:hint="eastAsia"/>
          <w:color w:val="000000"/>
        </w:rPr>
        <w:t>智慧家居服务平台宜具备与社区综合服务平台数据通信能力，应符合下列规定：</w:t>
      </w:r>
    </w:p>
    <w:p>
      <w:pPr>
        <w:pStyle w:val="71"/>
        <w:numPr>
          <w:ilvl w:val="0"/>
          <w:numId w:val="0"/>
        </w:numPr>
        <w:ind w:left="420"/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ab/>
      </w:r>
      <w:r>
        <w:rPr>
          <w:rFonts w:hint="eastAsia"/>
          <w:color w:val="000000"/>
          <w:highlight w:val="none"/>
          <w:lang w:val="en-US" w:eastAsia="zh-CN"/>
        </w:rPr>
        <w:t>a</w:t>
      </w:r>
      <w:r>
        <w:rPr>
          <w:rFonts w:hint="eastAsia"/>
          <w:color w:val="000000"/>
          <w:highlight w:val="none"/>
        </w:rPr>
        <w:t>)智慧家居服务平台宜能向社区综合服务平台主动推送家居设备状态、业务场景、设备事件等数据。</w:t>
      </w:r>
    </w:p>
    <w:p>
      <w:pPr>
        <w:pStyle w:val="71"/>
        <w:numPr>
          <w:ilvl w:val="0"/>
          <w:numId w:val="0"/>
        </w:numPr>
        <w:ind w:left="420"/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ab/>
      </w:r>
      <w:r>
        <w:rPr>
          <w:rFonts w:hint="eastAsia"/>
          <w:color w:val="000000"/>
          <w:highlight w:val="none"/>
          <w:lang w:val="en-US" w:eastAsia="zh-CN"/>
        </w:rPr>
        <w:t>b</w:t>
      </w:r>
      <w:r>
        <w:rPr>
          <w:rFonts w:hint="eastAsia"/>
          <w:color w:val="000000"/>
          <w:highlight w:val="none"/>
        </w:rPr>
        <w:t>)智慧家居服务平台宜能向社区综合服务平台主动推送事件、报警等业务数据。</w:t>
      </w:r>
    </w:p>
    <w:p>
      <w:pPr>
        <w:pStyle w:val="71"/>
        <w:numPr>
          <w:ilvl w:val="0"/>
          <w:numId w:val="0"/>
        </w:numPr>
        <w:ind w:left="420"/>
        <w:jc w:val="left"/>
        <w:rPr>
          <w:color w:val="000000"/>
          <w:highlight w:val="none"/>
        </w:rPr>
      </w:pPr>
      <w:r>
        <w:rPr>
          <w:rFonts w:hint="eastAsia"/>
          <w:color w:val="000000"/>
          <w:highlight w:val="none"/>
        </w:rPr>
        <w:tab/>
      </w:r>
      <w:r>
        <w:rPr>
          <w:rFonts w:hint="eastAsia"/>
          <w:color w:val="000000"/>
          <w:highlight w:val="none"/>
          <w:lang w:val="en-US" w:eastAsia="zh-CN"/>
        </w:rPr>
        <w:t>c</w:t>
      </w:r>
      <w:r>
        <w:rPr>
          <w:rFonts w:hint="eastAsia"/>
          <w:color w:val="000000"/>
          <w:highlight w:val="none"/>
        </w:rPr>
        <w:t>)智慧家居服务平台宜能接收社区服务平台推送的数据和控制策略。</w:t>
      </w:r>
    </w:p>
    <w:p>
      <w:pPr>
        <w:pStyle w:val="54"/>
        <w:spacing w:before="156" w:after="156"/>
        <w:ind w:left="2"/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智慧家居监控终端应符合以下规定：</w:t>
      </w:r>
    </w:p>
    <w:p>
      <w:pPr>
        <w:pStyle w:val="71"/>
        <w:numPr>
          <w:ilvl w:val="0"/>
          <w:numId w:val="21"/>
        </w:numPr>
        <w:jc w:val="left"/>
        <w:rPr>
          <w:color w:val="000000"/>
        </w:rPr>
      </w:pPr>
      <w:r>
        <w:rPr>
          <w:rFonts w:hint="eastAsia"/>
          <w:color w:val="000000"/>
        </w:rPr>
        <w:t>应能实现智慧家居本地控制和远程监控。</w:t>
      </w:r>
    </w:p>
    <w:p>
      <w:pPr>
        <w:pStyle w:val="71"/>
        <w:numPr>
          <w:ilvl w:val="0"/>
          <w:numId w:val="21"/>
        </w:numPr>
        <w:jc w:val="left"/>
        <w:rPr>
          <w:color w:val="000000"/>
        </w:rPr>
      </w:pPr>
      <w:r>
        <w:rPr>
          <w:rFonts w:hint="eastAsia"/>
          <w:color w:val="000000"/>
        </w:rPr>
        <w:t>应提供便捷的人机交互操作界面。</w:t>
      </w:r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p>
      <w:pPr>
        <w:pStyle w:val="57"/>
        <w:spacing w:before="312" w:after="312"/>
        <w:outlineLvl w:val="0"/>
        <w:rPr>
          <w:color w:val="000000"/>
        </w:rPr>
      </w:pPr>
      <w:bookmarkStart w:id="115" w:name="_Toc1341"/>
      <w:r>
        <w:rPr>
          <w:rFonts w:hint="eastAsia"/>
          <w:color w:val="000000"/>
        </w:rPr>
        <w:t>功能要素</w:t>
      </w:r>
      <w:bookmarkEnd w:id="115"/>
    </w:p>
    <w:p>
      <w:pPr>
        <w:pStyle w:val="54"/>
        <w:spacing w:before="156" w:after="156"/>
        <w:ind w:left="2"/>
        <w:rPr>
          <w:color w:val="000000"/>
        </w:rPr>
      </w:pPr>
      <w:bookmarkStart w:id="116" w:name="_Toc532892955"/>
      <w:bookmarkStart w:id="117" w:name="_Toc532892951"/>
      <w:r>
        <w:rPr>
          <w:rFonts w:hint="eastAsia"/>
          <w:color w:val="000000"/>
        </w:rPr>
        <w:t>家庭网络</w:t>
      </w:r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>家庭网络应满足下列要求：</w:t>
      </w:r>
    </w:p>
    <w:p>
      <w:pPr>
        <w:pStyle w:val="71"/>
        <w:numPr>
          <w:ilvl w:val="0"/>
          <w:numId w:val="22"/>
        </w:numPr>
        <w:jc w:val="left"/>
        <w:rPr>
          <w:color w:val="000000"/>
        </w:rPr>
      </w:pPr>
      <w:r>
        <w:rPr>
          <w:rFonts w:hint="eastAsia"/>
          <w:color w:val="000000"/>
        </w:rPr>
        <w:t>应具有宽带网络接入。</w:t>
      </w:r>
    </w:p>
    <w:p>
      <w:pPr>
        <w:pStyle w:val="71"/>
        <w:numPr>
          <w:ilvl w:val="0"/>
          <w:numId w:val="22"/>
        </w:numPr>
        <w:jc w:val="left"/>
        <w:rPr>
          <w:color w:val="000000"/>
        </w:rPr>
      </w:pPr>
      <w:r>
        <w:rPr>
          <w:rFonts w:hint="eastAsia"/>
          <w:color w:val="000000"/>
        </w:rPr>
        <w:t>宜支持住区设备网接入。</w:t>
      </w:r>
    </w:p>
    <w:p>
      <w:pPr>
        <w:pStyle w:val="71"/>
        <w:numPr>
          <w:ilvl w:val="0"/>
          <w:numId w:val="22"/>
        </w:numPr>
        <w:jc w:val="left"/>
        <w:rPr>
          <w:color w:val="000000"/>
        </w:rPr>
      </w:pPr>
      <w:r>
        <w:rPr>
          <w:rFonts w:hint="eastAsia"/>
          <w:color w:val="000000"/>
        </w:rPr>
        <w:t>家庭宽带有线网络应满足千兆传输需求。</w:t>
      </w:r>
    </w:p>
    <w:p>
      <w:pPr>
        <w:pStyle w:val="71"/>
        <w:numPr>
          <w:ilvl w:val="0"/>
          <w:numId w:val="22"/>
        </w:numPr>
        <w:jc w:val="left"/>
        <w:rPr>
          <w:color w:val="000000"/>
        </w:rPr>
      </w:pPr>
      <w:r>
        <w:rPr>
          <w:rFonts w:hint="eastAsia"/>
          <w:color w:val="000000"/>
        </w:rPr>
        <w:t>家庭宽带WiFi网络宜户内全覆盖，宜具有无缝漫游功能。</w:t>
      </w:r>
    </w:p>
    <w:p>
      <w:pPr>
        <w:pStyle w:val="71"/>
        <w:numPr>
          <w:ilvl w:val="0"/>
          <w:numId w:val="22"/>
        </w:numPr>
        <w:jc w:val="left"/>
        <w:rPr>
          <w:color w:val="000000"/>
        </w:rPr>
      </w:pPr>
      <w:r>
        <w:rPr>
          <w:rFonts w:hint="eastAsia"/>
          <w:color w:val="000000"/>
        </w:rPr>
        <w:t>家居物联网应满足智慧家居设备通信的传输需求。</w:t>
      </w:r>
    </w:p>
    <w:bookmarkEnd w:id="116"/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/>
          <w:color w:val="000000"/>
        </w:rPr>
        <w:t>家居安全</w:t>
      </w:r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家居安全应满足下列要求：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应具有燃气泄漏报警功能。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应具有紧急求助报警功能。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应具有入侵报警功能。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应具有防区用户自定义功能。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应具有本地、远程设防/撤防功能。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应具有自定义联动设备报警功能。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应具备生物特征识别的开门方式，入户门状态可实现在线管理。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应具有访客对讲功能，宜具有记录、留言等访客管理功能。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宜具有视频安防监控功能。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宜具有用户自定义的异常状况预警功能。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报警信息宜接入社区综合服务平台。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12可具有漏水监测功能。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可具备人员行为状态识别功能。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可支持家具物品与人体形态识别。</w:t>
      </w:r>
    </w:p>
    <w:p>
      <w:pPr>
        <w:pStyle w:val="71"/>
        <w:numPr>
          <w:ilvl w:val="0"/>
          <w:numId w:val="23"/>
        </w:numPr>
        <w:jc w:val="left"/>
        <w:rPr>
          <w:color w:val="000000"/>
        </w:rPr>
      </w:pPr>
      <w:r>
        <w:rPr>
          <w:rFonts w:hint="eastAsia"/>
          <w:color w:val="000000"/>
        </w:rPr>
        <w:t>可具有火灾报警功能。</w:t>
      </w:r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/>
          <w:color w:val="000000"/>
        </w:rPr>
        <w:t>家居环境</w:t>
      </w:r>
      <w:bookmarkEnd w:id="117"/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>家居环境应满足下列要求：</w:t>
      </w:r>
    </w:p>
    <w:p>
      <w:pPr>
        <w:pStyle w:val="71"/>
        <w:numPr>
          <w:ilvl w:val="0"/>
          <w:numId w:val="24"/>
        </w:numPr>
        <w:jc w:val="left"/>
        <w:rPr>
          <w:color w:val="000000"/>
        </w:rPr>
      </w:pPr>
      <w:r>
        <w:rPr>
          <w:rFonts w:hint="eastAsia"/>
          <w:color w:val="000000"/>
        </w:rPr>
        <w:t>应具有户内空气品质监测功能，宜能联动新风机或空气净化设施改善空气品质。</w:t>
      </w:r>
    </w:p>
    <w:p>
      <w:pPr>
        <w:pStyle w:val="71"/>
        <w:numPr>
          <w:ilvl w:val="0"/>
          <w:numId w:val="24"/>
        </w:numPr>
        <w:jc w:val="left"/>
        <w:rPr>
          <w:color w:val="000000"/>
        </w:rPr>
      </w:pPr>
      <w:r>
        <w:rPr>
          <w:rFonts w:hint="eastAsia"/>
          <w:color w:val="000000"/>
        </w:rPr>
        <w:t>2应具有户内温度、湿度监测功能，宜具有温度控制功能，可具有湿度控制功能。</w:t>
      </w:r>
    </w:p>
    <w:p>
      <w:pPr>
        <w:pStyle w:val="71"/>
        <w:numPr>
          <w:ilvl w:val="0"/>
          <w:numId w:val="24"/>
        </w:numPr>
        <w:jc w:val="left"/>
        <w:rPr>
          <w:color w:val="000000"/>
        </w:rPr>
      </w:pPr>
      <w:r>
        <w:rPr>
          <w:rFonts w:hint="eastAsia"/>
          <w:color w:val="000000"/>
        </w:rPr>
        <w:t>宜具有光环境监测功能，可具有光环境控制功能。</w:t>
      </w:r>
    </w:p>
    <w:p>
      <w:pPr>
        <w:pStyle w:val="71"/>
        <w:numPr>
          <w:ilvl w:val="0"/>
          <w:numId w:val="24"/>
        </w:numPr>
        <w:jc w:val="left"/>
        <w:rPr>
          <w:color w:val="000000"/>
        </w:rPr>
      </w:pPr>
      <w:r>
        <w:rPr>
          <w:rFonts w:hint="eastAsia"/>
          <w:color w:val="000000"/>
        </w:rPr>
        <w:t>4宜具有用户作息时间、环境数据自学习、自动控制功能。</w:t>
      </w:r>
    </w:p>
    <w:p>
      <w:pPr>
        <w:pStyle w:val="71"/>
        <w:numPr>
          <w:ilvl w:val="0"/>
          <w:numId w:val="24"/>
        </w:numPr>
        <w:jc w:val="left"/>
        <w:rPr>
          <w:color w:val="000000"/>
        </w:rPr>
      </w:pPr>
      <w:r>
        <w:rPr>
          <w:rFonts w:hint="eastAsia"/>
          <w:color w:val="000000"/>
        </w:rPr>
        <w:t>可具有户内生活饮用水水质监测功能。</w:t>
      </w:r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/>
          <w:color w:val="000000"/>
        </w:rPr>
        <w:t>家居健康</w:t>
      </w:r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>家居健康应满足下列要求：</w:t>
      </w:r>
    </w:p>
    <w:p>
      <w:pPr>
        <w:pStyle w:val="71"/>
        <w:numPr>
          <w:ilvl w:val="0"/>
          <w:numId w:val="25"/>
        </w:numPr>
        <w:jc w:val="left"/>
        <w:rPr>
          <w:color w:val="000000"/>
        </w:rPr>
      </w:pPr>
      <w:r>
        <w:rPr>
          <w:rFonts w:hint="eastAsia"/>
          <w:color w:val="000000"/>
        </w:rPr>
        <w:t>可具有家庭成员健康数据监测功能。</w:t>
      </w:r>
    </w:p>
    <w:p>
      <w:pPr>
        <w:pStyle w:val="71"/>
        <w:numPr>
          <w:ilvl w:val="0"/>
          <w:numId w:val="25"/>
        </w:numPr>
        <w:jc w:val="left"/>
        <w:rPr>
          <w:color w:val="000000"/>
        </w:rPr>
      </w:pPr>
      <w:r>
        <w:rPr>
          <w:rFonts w:hint="eastAsia"/>
          <w:color w:val="000000"/>
        </w:rPr>
        <w:t>可配置健康管理系统，对住户健康数据进行采集、分析、管理，可与第三方健康医疗机构合作，为住户提供医疗健康服务。</w:t>
      </w:r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/>
          <w:color w:val="000000"/>
        </w:rPr>
        <w:t>家居娱乐</w:t>
      </w:r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>家居娱乐应满足下列要求：</w:t>
      </w:r>
    </w:p>
    <w:p>
      <w:pPr>
        <w:pStyle w:val="71"/>
        <w:numPr>
          <w:ilvl w:val="0"/>
          <w:numId w:val="26"/>
        </w:numPr>
        <w:jc w:val="left"/>
        <w:rPr>
          <w:color w:val="000000"/>
        </w:rPr>
      </w:pPr>
      <w:r>
        <w:rPr>
          <w:rFonts w:hint="eastAsia"/>
          <w:color w:val="000000"/>
        </w:rPr>
        <w:t>宜具有家电控制功能。家电的运行状态及故障状态应能在智慧家居终端上显示，并能接收预警、报警等反馈信号。</w:t>
      </w:r>
    </w:p>
    <w:p>
      <w:pPr>
        <w:pStyle w:val="71"/>
        <w:numPr>
          <w:ilvl w:val="0"/>
          <w:numId w:val="26"/>
        </w:numPr>
        <w:jc w:val="left"/>
        <w:rPr>
          <w:color w:val="000000"/>
        </w:rPr>
      </w:pPr>
      <w:r>
        <w:rPr>
          <w:rFonts w:hint="eastAsia"/>
          <w:color w:val="000000"/>
        </w:rPr>
        <w:t>宜设置家庭背景音乐系统，具有分区管理、移动端共享播放、条件或事件触发播放等功能。</w:t>
      </w:r>
    </w:p>
    <w:p>
      <w:pPr>
        <w:pStyle w:val="71"/>
        <w:numPr>
          <w:ilvl w:val="0"/>
          <w:numId w:val="26"/>
        </w:numPr>
        <w:jc w:val="left"/>
        <w:rPr>
          <w:color w:val="000000"/>
        </w:rPr>
      </w:pPr>
      <w:r>
        <w:rPr>
          <w:rFonts w:hint="eastAsia"/>
          <w:color w:val="000000"/>
        </w:rPr>
        <w:t>可具有家庭影院控制功能，具有自定义场景控制模式。</w:t>
      </w:r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/>
          <w:color w:val="000000"/>
        </w:rPr>
        <w:t>家居监控</w:t>
      </w:r>
    </w:p>
    <w:p>
      <w:pPr>
        <w:pStyle w:val="58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  <w:color w:val="000000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>家居监控应满足下列要求：</w:t>
      </w:r>
    </w:p>
    <w:p>
      <w:pPr>
        <w:pStyle w:val="71"/>
        <w:numPr>
          <w:ilvl w:val="0"/>
          <w:numId w:val="27"/>
        </w:numPr>
        <w:jc w:val="left"/>
        <w:rPr>
          <w:color w:val="000000"/>
        </w:rPr>
      </w:pPr>
      <w:r>
        <w:rPr>
          <w:rFonts w:hint="eastAsia"/>
          <w:color w:val="000000"/>
        </w:rPr>
        <w:t>应具有对家居设施的监测或监控功能。监测或监控功能应符合《建筑设备监控系统工程技术规范》JGJ/T334的相关规定。</w:t>
      </w:r>
    </w:p>
    <w:p>
      <w:pPr>
        <w:pStyle w:val="71"/>
        <w:numPr>
          <w:ilvl w:val="0"/>
          <w:numId w:val="27"/>
        </w:numPr>
        <w:jc w:val="left"/>
        <w:rPr>
          <w:color w:val="000000"/>
        </w:rPr>
      </w:pPr>
      <w:r>
        <w:rPr>
          <w:rFonts w:hint="eastAsia"/>
          <w:color w:val="000000"/>
        </w:rPr>
        <w:t>应具有移动端和PC端远程监控功能。</w:t>
      </w:r>
    </w:p>
    <w:p>
      <w:pPr>
        <w:pStyle w:val="71"/>
        <w:numPr>
          <w:ilvl w:val="0"/>
          <w:numId w:val="27"/>
        </w:numPr>
        <w:jc w:val="left"/>
        <w:rPr>
          <w:color w:val="000000"/>
        </w:rPr>
      </w:pPr>
      <w:r>
        <w:rPr>
          <w:rFonts w:hint="eastAsia"/>
          <w:color w:val="000000"/>
        </w:rPr>
        <w:t>户内应设置场景面板，实现场景控制。场景面板按键宜能用户自定义。</w:t>
      </w:r>
    </w:p>
    <w:p>
      <w:pPr>
        <w:pStyle w:val="71"/>
        <w:numPr>
          <w:ilvl w:val="0"/>
          <w:numId w:val="27"/>
        </w:numPr>
        <w:jc w:val="left"/>
        <w:rPr>
          <w:color w:val="000000"/>
        </w:rPr>
      </w:pPr>
      <w:r>
        <w:rPr>
          <w:rFonts w:hint="eastAsia"/>
          <w:color w:val="000000"/>
        </w:rPr>
        <w:t>宜支持语音、体感等交互控制方式。</w:t>
      </w:r>
    </w:p>
    <w:p>
      <w:pPr>
        <w:pStyle w:val="71"/>
        <w:numPr>
          <w:ilvl w:val="0"/>
          <w:numId w:val="27"/>
        </w:numPr>
        <w:jc w:val="left"/>
        <w:rPr>
          <w:color w:val="000000"/>
        </w:rPr>
      </w:pPr>
      <w:r>
        <w:rPr>
          <w:rFonts w:hint="eastAsia"/>
          <w:color w:val="000000"/>
        </w:rPr>
        <w:t>可具有家庭能源监测功能，具有用能数据采集、显示、分析、维护及优化管理功能。</w:t>
      </w:r>
    </w:p>
    <w:p>
      <w:pPr>
        <w:pStyle w:val="57"/>
        <w:spacing w:before="312" w:after="312"/>
        <w:outlineLvl w:val="0"/>
        <w:rPr>
          <w:rFonts w:hint="eastAsia"/>
          <w:color w:val="000000"/>
        </w:rPr>
      </w:pPr>
      <w:bookmarkStart w:id="118" w:name="_Toc18720"/>
      <w:r>
        <w:rPr>
          <w:rFonts w:hint="eastAsia"/>
          <w:color w:val="000000"/>
        </w:rPr>
        <w:t>设备配置</w:t>
      </w:r>
      <w:bookmarkEnd w:id="118"/>
    </w:p>
    <w:p>
      <w:pPr>
        <w:pStyle w:val="54"/>
        <w:spacing w:before="156" w:after="156"/>
        <w:ind w:left="2"/>
        <w:rPr>
          <w:color w:val="000000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智慧家居的配置标准参见表6.1，并且内容不限于下表。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1573"/>
        <w:gridCol w:w="4156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103" w:type="dxa"/>
            <w:vAlign w:val="center"/>
          </w:tcPr>
          <w:p>
            <w:pPr>
              <w:pStyle w:val="25"/>
              <w:jc w:val="left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序号</w:t>
            </w:r>
          </w:p>
        </w:tc>
        <w:tc>
          <w:tcPr>
            <w:tcW w:w="157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系统名称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智慧家居设施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配置标准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1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家庭网络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家庭宽带有线网络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家居物联网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家庭宽带WiFi网络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2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家居安全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燃气报警装置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紧急求助报警装置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入侵报警装置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智能门锁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访客管理系统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视频安防监控系统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火灾报警探测装置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漏水报警装置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3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家居环境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空气品质监测装置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温度、湿度监测装置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温度控制系统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光环境监测装置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湿度控制系统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光环境控制系统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水质环境监测装置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4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家居健康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健康数据采集装置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健康数据分析与管理系统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5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家居娱乐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家电控制装置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家庭背景音乐系统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宜设置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家庭影院控制系统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6</w:t>
            </w:r>
          </w:p>
        </w:tc>
        <w:tc>
          <w:tcPr>
            <w:tcW w:w="1573" w:type="dxa"/>
            <w:vMerge w:val="restart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家居监控</w:t>
            </w: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本地控制和远程监控系统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场景面板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应配置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0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1573" w:type="dxa"/>
            <w:vMerge w:val="continue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</w:p>
        </w:tc>
        <w:tc>
          <w:tcPr>
            <w:tcW w:w="4156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家庭能源监测系统</w:t>
            </w:r>
          </w:p>
        </w:tc>
        <w:tc>
          <w:tcPr>
            <w:tcW w:w="1893" w:type="dxa"/>
            <w:vAlign w:val="center"/>
          </w:tcPr>
          <w:p>
            <w:pPr>
              <w:pStyle w:val="25"/>
              <w:rPr>
                <w:rFonts w:asciiTheme="minorEastAsia" w:hAnsiTheme="minorEastAsia" w:eastAsiaTheme="minorEastAsia"/>
                <w:color w:val="000000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</w:rPr>
              <w:t>可选项</w:t>
            </w:r>
          </w:p>
        </w:tc>
      </w:tr>
    </w:tbl>
    <w:p>
      <w:pPr>
        <w:pStyle w:val="25"/>
        <w:rPr>
          <w:color w:val="000000"/>
        </w:rPr>
      </w:pP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家庭网络配置应符合下列规定：</w:t>
      </w:r>
    </w:p>
    <w:p>
      <w:pPr>
        <w:pStyle w:val="71"/>
        <w:numPr>
          <w:ilvl w:val="0"/>
          <w:numId w:val="28"/>
        </w:numPr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住区内网络应符合《住宅区和住宅建筑内光纤到户通信设施工程设计规范》GB 50846的规定。</w:t>
      </w:r>
    </w:p>
    <w:p>
      <w:pPr>
        <w:pStyle w:val="71"/>
        <w:numPr>
          <w:ilvl w:val="0"/>
          <w:numId w:val="28"/>
        </w:numPr>
        <w:jc w:val="left"/>
        <w:rPr>
          <w:color w:val="000000"/>
        </w:rPr>
      </w:pPr>
      <w:r>
        <w:rPr>
          <w:rFonts w:hint="eastAsia"/>
          <w:color w:val="000000"/>
        </w:rPr>
        <w:t>户内有线电视、电话、信息网络等信息插座应结合装修一体化设计，配置标准不低于现行国家和江苏省地方标准的规定。</w:t>
      </w:r>
    </w:p>
    <w:p>
      <w:pPr>
        <w:pStyle w:val="71"/>
        <w:numPr>
          <w:ilvl w:val="0"/>
          <w:numId w:val="0"/>
        </w:numPr>
        <w:ind w:left="839" w:hanging="419"/>
        <w:jc w:val="left"/>
        <w:rPr>
          <w:color w:val="000000"/>
        </w:rPr>
      </w:pP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火灾探测装置应符合以下规定：</w:t>
      </w:r>
    </w:p>
    <w:p>
      <w:pPr>
        <w:pStyle w:val="71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客厅、卧室、厨房等处选择性的安装火灾探测装置。</w:t>
      </w:r>
    </w:p>
    <w:p>
      <w:pPr>
        <w:pStyle w:val="71"/>
        <w:jc w:val="left"/>
        <w:rPr>
          <w:color w:val="000000"/>
        </w:rPr>
      </w:pPr>
      <w:r>
        <w:rPr>
          <w:rFonts w:hint="eastAsia"/>
          <w:color w:val="000000"/>
        </w:rPr>
        <w:t>火灾探测装置应具有本地报警功能。</w:t>
      </w:r>
    </w:p>
    <w:p>
      <w:pPr>
        <w:pStyle w:val="71"/>
        <w:numPr>
          <w:ilvl w:val="0"/>
          <w:numId w:val="0"/>
        </w:numPr>
        <w:ind w:left="839" w:hanging="419"/>
        <w:jc w:val="left"/>
        <w:rPr>
          <w:color w:val="000000"/>
        </w:rPr>
      </w:pP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求助报警装置应符合以下规定：</w:t>
      </w:r>
    </w:p>
    <w:p>
      <w:pPr>
        <w:pStyle w:val="71"/>
        <w:numPr>
          <w:ilvl w:val="0"/>
          <w:numId w:val="29"/>
        </w:numPr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1应在客厅和主卧设置求助报警装置，宜在卫生间设置求助报警装置。</w:t>
      </w:r>
    </w:p>
    <w:p>
      <w:pPr>
        <w:pStyle w:val="71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2户内求助报警装置发生报警后，应能手动复位。</w:t>
      </w:r>
    </w:p>
    <w:p>
      <w:pPr>
        <w:pStyle w:val="71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3求助报警装置应隐蔽安装，一般安装在紧急情况下人员易可靠触发的位置。</w:t>
      </w:r>
    </w:p>
    <w:p>
      <w:pPr>
        <w:pStyle w:val="71"/>
        <w:jc w:val="left"/>
        <w:rPr>
          <w:color w:val="000000"/>
        </w:rPr>
      </w:pPr>
      <w:r>
        <w:rPr>
          <w:rFonts w:hint="eastAsia"/>
          <w:color w:val="000000"/>
        </w:rPr>
        <w:t>用于适老住宅时，应选用带拉绳的求助报警装置或移动求助报警装置。</w:t>
      </w:r>
    </w:p>
    <w:p>
      <w:pPr>
        <w:pStyle w:val="71"/>
        <w:numPr>
          <w:ilvl w:val="0"/>
          <w:numId w:val="0"/>
        </w:numPr>
        <w:ind w:left="839" w:hanging="419"/>
        <w:jc w:val="left"/>
        <w:rPr>
          <w:color w:val="000000"/>
        </w:rPr>
      </w:pP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入侵报警装置应符合以下规定：</w:t>
      </w:r>
    </w:p>
    <w:p>
      <w:pPr>
        <w:pStyle w:val="71"/>
        <w:numPr>
          <w:ilvl w:val="0"/>
          <w:numId w:val="30"/>
        </w:numPr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在住宅楼的一层、二层及可上人屋面的顶层住户，设有架空层或有退层退台（露台）的本层、上一层的住户，在阳台及外窗等处应安装防入侵报警探测装置。宜选用具有方向识别功能的入侵报警探测装置。</w:t>
      </w:r>
    </w:p>
    <w:p>
      <w:pPr>
        <w:pStyle w:val="71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>入侵报警探测装置应确保对非法入侵行为及时发出报警响应，探测范围应有效覆盖住宅与外界相通的门、窗等区域，同时应避免或减少因室内人员正常活动而引起误报的情况发生。</w:t>
      </w:r>
    </w:p>
    <w:p>
      <w:pPr>
        <w:pStyle w:val="71"/>
        <w:jc w:val="left"/>
        <w:rPr>
          <w:color w:val="000000"/>
        </w:rPr>
      </w:pPr>
      <w:r>
        <w:rPr>
          <w:rFonts w:hint="eastAsia"/>
          <w:color w:val="000000"/>
        </w:rPr>
        <w:t>采用电池供电的报警装置，应具有低电量告警功能。</w:t>
      </w:r>
    </w:p>
    <w:p>
      <w:pPr>
        <w:pStyle w:val="71"/>
        <w:numPr>
          <w:ilvl w:val="0"/>
          <w:numId w:val="0"/>
        </w:numPr>
        <w:ind w:left="839" w:hanging="419"/>
        <w:jc w:val="left"/>
        <w:rPr>
          <w:color w:val="000000"/>
        </w:rPr>
      </w:pP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视频监控设施配置应符合以下规定：</w:t>
      </w:r>
    </w:p>
    <w:p>
      <w:pPr>
        <w:pStyle w:val="71"/>
        <w:numPr>
          <w:ilvl w:val="0"/>
          <w:numId w:val="31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宜采用带广角镜头的摄像机，摄像机不应安装在可能涉及用户隐私的部位。</w:t>
      </w:r>
    </w:p>
    <w:p>
      <w:pPr>
        <w:pStyle w:val="71"/>
        <w:numPr>
          <w:ilvl w:val="0"/>
          <w:numId w:val="31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室内家居视频监控不宜接入社区综合服务平台。</w:t>
      </w:r>
    </w:p>
    <w:p>
      <w:pPr>
        <w:pStyle w:val="71"/>
        <w:numPr>
          <w:ilvl w:val="0"/>
          <w:numId w:val="31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视频图像监视、回放应清晰稳定，回放方式应满足管理要求。视频信号应满足单路画面分辨率不低于1920x1080，单路显示基本帧率不低于25fps，应能本地存储，宜具有云端存储功能。本地存储时间不宜小于30天。</w:t>
      </w:r>
    </w:p>
    <w:p>
      <w:pPr>
        <w:pStyle w:val="71"/>
        <w:numPr>
          <w:ilvl w:val="0"/>
          <w:numId w:val="31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视频图像宜支持用户远程实时观看和回放。</w:t>
      </w:r>
    </w:p>
    <w:p>
      <w:pPr>
        <w:pStyle w:val="71"/>
        <w:numPr>
          <w:ilvl w:val="0"/>
          <w:numId w:val="31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摄像机宜具备移动侦测能力，宜提供远程移动侦测报警，报警视频宜进行单独存储。</w:t>
      </w:r>
    </w:p>
    <w:p>
      <w:pPr>
        <w:pStyle w:val="71"/>
        <w:numPr>
          <w:ilvl w:val="0"/>
          <w:numId w:val="31"/>
        </w:numPr>
        <w:jc w:val="left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摄像机可具有声音采集功能，可支持语音对讲功能</w:t>
      </w: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访客对讲设施应符合以下规定：</w:t>
      </w:r>
    </w:p>
    <w:p>
      <w:pPr>
        <w:pStyle w:val="71"/>
        <w:numPr>
          <w:ilvl w:val="0"/>
          <w:numId w:val="32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应具有对讲、可视、开锁等功能。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住户分机应声音清晰，图像能清晰显示人员面部特征。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应具有访客图像抓拍的记录、回放功能。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可具有线上预约访客功能，住户可授权临时访客通行权限。</w:t>
      </w: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智能门锁应符合下列规定：</w:t>
      </w:r>
    </w:p>
    <w:p>
      <w:pPr>
        <w:pStyle w:val="71"/>
        <w:numPr>
          <w:ilvl w:val="0"/>
          <w:numId w:val="33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智能门锁应满足《电子防盗锁》GA 374规定，智能门锁安全等级不低于B级。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智能门锁除需具备应急机械防盗锁头，还应具有两种以上的开门方式。应支持生物特征识别。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智能门锁应具有低电量提示功能，并应支持临时外接电源供电。</w:t>
      </w:r>
    </w:p>
    <w:p>
      <w:pPr>
        <w:pStyle w:val="71"/>
        <w:jc w:val="left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联网型智能门锁应具备可靠的安全管理措施。</w:t>
      </w: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环境类传感器应符合以下规定：</w:t>
      </w:r>
    </w:p>
    <w:p>
      <w:pPr>
        <w:pStyle w:val="71"/>
        <w:numPr>
          <w:ilvl w:val="0"/>
          <w:numId w:val="34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温、湿度传感器应安装于能反应被测区域平均参数的部位，且附近不应有冷、热源和湿源。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空气品质传感器应安装于气体易积聚、能反应被测区域空气品质的部位。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光环境传感器应安装在四周无遮挡或射面无障碍物的部位。宜设置在正对窗户的墙体顶面，不应设置在阳光直射的部位。</w:t>
      </w: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照明控制应符合以下规定：</w:t>
      </w:r>
    </w:p>
    <w:p>
      <w:pPr>
        <w:pStyle w:val="71"/>
        <w:numPr>
          <w:ilvl w:val="0"/>
          <w:numId w:val="35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客厅和餐厅照明系统应分回路控制，其他居住空间可选择分回路控制。</w:t>
      </w:r>
    </w:p>
    <w:p>
      <w:pPr>
        <w:pStyle w:val="71"/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可支持光照强度、色彩、色温等显示状态的控制。</w:t>
      </w:r>
    </w:p>
    <w:p>
      <w:pPr>
        <w:pStyle w:val="54"/>
        <w:spacing w:before="156" w:after="156"/>
        <w:ind w:left="2"/>
        <w:rPr>
          <w:rFonts w:hint="eastAsia"/>
          <w:color w:val="000000"/>
        </w:rPr>
      </w:pPr>
      <w:r>
        <w:rPr>
          <w:rFonts w:hint="eastAsia"/>
          <w:color w:val="000000"/>
        </w:rPr>
        <w:t>家居监控应符合以下规定：</w:t>
      </w:r>
    </w:p>
    <w:p>
      <w:pPr>
        <w:pStyle w:val="71"/>
        <w:numPr>
          <w:ilvl w:val="0"/>
          <w:numId w:val="36"/>
        </w:numPr>
        <w:jc w:val="left"/>
        <w:rPr>
          <w:rFonts w:hint="eastAsia"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户内应配置智慧家居监控终端，可采用触摸、语音等交互方式。</w:t>
      </w:r>
    </w:p>
    <w:p>
      <w:pPr>
        <w:pStyle w:val="71"/>
        <w:numPr>
          <w:ilvl w:val="0"/>
          <w:numId w:val="36"/>
        </w:numPr>
        <w:jc w:val="left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开关面板宜选用机械开关面板。当选用智能开关面板时，应保证其转换、传输和灵敏度不低于普通开关面板。</w:t>
      </w:r>
    </w:p>
    <w:p>
      <w:pPr>
        <w:pStyle w:val="71"/>
        <w:numPr>
          <w:ilvl w:val="0"/>
          <w:numId w:val="36"/>
        </w:numPr>
        <w:jc w:val="left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智能插座应选择安全型插座并满足《家用和类似用途插头插座》GB2099中的相关要求。可具有电压、电流或功率监测功能。</w:t>
      </w:r>
    </w:p>
    <w:p>
      <w:pPr>
        <w:pStyle w:val="71"/>
        <w:numPr>
          <w:ilvl w:val="0"/>
          <w:numId w:val="36"/>
        </w:numPr>
        <w:jc w:val="left"/>
        <w:rPr>
          <w:rFonts w:hAnsi="宋体"/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入户门处宜设置场景面板，具备回家、离家等场景模式；客厅宜设置场景面板，具备会客、观影等场景模式；卧室可设置场景面板，具备起床、睡眠等场景模式。</w:t>
      </w:r>
    </w:p>
    <w:p>
      <w:pPr>
        <w:pStyle w:val="57"/>
        <w:spacing w:before="312" w:after="312"/>
        <w:outlineLvl w:val="0"/>
        <w:rPr>
          <w:color w:val="000000"/>
        </w:rPr>
      </w:pPr>
      <w:bookmarkStart w:id="119" w:name="_Toc23714"/>
      <w:r>
        <w:rPr>
          <w:rFonts w:hint="eastAsia"/>
          <w:color w:val="000000"/>
        </w:rPr>
        <w:t>安全、供电及接地</w:t>
      </w:r>
      <w:bookmarkEnd w:id="119"/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家庭网络应具备信息安全保障功能，具有有效抵御干扰和入侵的安全措施。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智慧家居系统应具有住户信息泄露、损毁、丢失等事件防御措施。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涉及收集住户敏感信息的设施，应在设备明显部位标识。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智慧家居服务平台应具有安全可靠的用户认证机制。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智慧家居服务平台应具备物理安全、网络安全、系统安全、数据安全、边界安全及用户安全等措施。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 xml:space="preserve">智慧家居系统宜由户内配电箱单独回路配电。智慧家居的有源设备宜采用DC12V/24V或安全交流电源供电。 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智慧家居系统中供电线缆的选择应符合国家规范《民用建筑电气设计标准》GB51348的规定。</w:t>
      </w:r>
    </w:p>
    <w:p>
      <w:pPr>
        <w:pStyle w:val="54"/>
        <w:spacing w:before="156" w:after="156"/>
        <w:ind w:left="2"/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</w:pPr>
      <w:r>
        <w:rPr>
          <w:rFonts w:hint="eastAsia" w:ascii="宋体" w:hAnsi="Times New Roman" w:eastAsia="宋体" w:cs="Times New Roman"/>
          <w:color w:val="000000"/>
          <w:sz w:val="21"/>
          <w:szCs w:val="20"/>
          <w:lang w:val="en-US" w:eastAsia="zh-CN" w:bidi="ar-SA"/>
        </w:rPr>
        <w:t>智慧家居系统的家庭边缘计算网关宜安装适配的电涌保护器（SPD）。</w:t>
      </w:r>
    </w:p>
    <w:p>
      <w:pPr>
        <w:pStyle w:val="25"/>
        <w:rPr>
          <w:rFonts w:hint="eastAsia"/>
        </w:rPr>
      </w:pPr>
    </w:p>
    <w:sectPr>
      <w:pgSz w:w="11906" w:h="16838"/>
      <w:pgMar w:top="567" w:right="1134" w:bottom="1134" w:left="1418" w:header="1418" w:footer="1134" w:gutter="0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0"/>
    </w:pPr>
    <w:r>
      <w:fldChar w:fldCharType="begin"/>
    </w:r>
    <w:r>
      <w:instrText xml:space="preserve"> PAGE  \* MERGEFORMAT </w:instrText>
    </w:r>
    <w:r>
      <w:fldChar w:fldCharType="separate"/>
    </w:r>
    <w: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1"/>
      <w:rPr>
        <w:rFonts w:hint="eastAsia" w:eastAsia="黑体"/>
        <w:lang w:eastAsia="zh-CN"/>
      </w:rPr>
    </w:pPr>
    <w:r>
      <w:rPr>
        <w:rFonts w:hint="eastAsia"/>
        <w:lang w:val="en-US" w:eastAsia="zh-CN"/>
      </w:rPr>
      <w:t>DB</w:t>
    </w:r>
    <w:r>
      <w:t>32/ T XXXX—202</w:t>
    </w:r>
    <w:r>
      <w:rPr>
        <w:rFonts w:hint="eastAsia"/>
        <w:lang w:val="en-US" w:eastAsia="zh-CN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6"/>
      <w:rPr>
        <w:rFonts w:hint="eastAsia" w:eastAsia="黑体"/>
        <w:lang w:eastAsia="zh-CN"/>
      </w:rPr>
    </w:pPr>
    <w:r>
      <w:rPr>
        <w:rFonts w:hint="eastAsia"/>
        <w:lang w:val="en-US" w:eastAsia="zh-CN"/>
      </w:rPr>
      <w:t>DB</w:t>
    </w:r>
    <w:r>
      <w:t>32/T XXXX—202</w:t>
    </w:r>
    <w:r>
      <w:rPr>
        <w:rFonts w:hint="eastAsia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6A57CE"/>
    <w:multiLevelType w:val="multilevel"/>
    <w:tmpl w:val="F96A57CE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1">
    <w:nsid w:val="071185EF"/>
    <w:multiLevelType w:val="multilevel"/>
    <w:tmpl w:val="071185EF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70"/>
      <w:suff w:val="nothing"/>
      <w:lvlText w:val="注%1："/>
      <w:lvlJc w:val="left"/>
      <w:pPr>
        <w:ind w:left="811" w:hanging="448"/>
      </w:pPr>
      <w:rPr>
        <w:rFonts w:hint="eastAsia" w:ascii="黑体" w:hAnsi="黑体" w:eastAsia="黑体" w:cs="Times New Roman"/>
        <w:b w:val="0"/>
        <w:i w:val="0"/>
        <w:sz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</w:abstractNum>
  <w:abstractNum w:abstractNumId="3">
    <w:nsid w:val="08D3400A"/>
    <w:multiLevelType w:val="multilevel"/>
    <w:tmpl w:val="08D3400A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4">
    <w:nsid w:val="093C6778"/>
    <w:multiLevelType w:val="multilevel"/>
    <w:tmpl w:val="093C6778"/>
    <w:lvl w:ilvl="0" w:tentative="0">
      <w:start w:val="1"/>
      <w:numFmt w:val="decimal"/>
      <w:pStyle w:val="128"/>
      <w:suff w:val="nothing"/>
      <w:lvlText w:val="示例%1："/>
      <w:lvlJc w:val="left"/>
      <w:pPr>
        <w:ind w:firstLine="397"/>
      </w:pPr>
      <w:rPr>
        <w:rFonts w:hint="eastAsia" w:ascii="黑体" w:eastAsia="黑体" w:cs="Times New Roman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 w:cs="Times New Roman"/>
      </w:rPr>
    </w:lvl>
  </w:abstractNum>
  <w:abstractNum w:abstractNumId="5">
    <w:nsid w:val="0AE367E9"/>
    <w:multiLevelType w:val="multilevel"/>
    <w:tmpl w:val="0AE367E9"/>
    <w:lvl w:ilvl="0" w:tentative="0">
      <w:start w:val="1"/>
      <w:numFmt w:val="none"/>
      <w:pStyle w:val="64"/>
      <w:suff w:val="nothing"/>
      <w:lvlText w:val="%1示例："/>
      <w:lvlJc w:val="left"/>
      <w:pPr>
        <w:ind w:firstLine="363"/>
      </w:pPr>
      <w:rPr>
        <w:rFonts w:hint="eastAsia" w:ascii="黑体" w:eastAsia="黑体" w:cs="Times New Roman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firstLine="3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firstLine="363"/>
      </w:pPr>
      <w:rPr>
        <w:rFonts w:hint="eastAsia" w:cs="Times New Roman"/>
      </w:rPr>
    </w:lvl>
  </w:abstractNum>
  <w:abstractNum w:abstractNumId="6">
    <w:nsid w:val="0DDE2B46"/>
    <w:multiLevelType w:val="multilevel"/>
    <w:tmpl w:val="0DDE2B46"/>
    <w:lvl w:ilvl="0" w:tentative="0">
      <w:start w:val="1"/>
      <w:numFmt w:val="lowerLetter"/>
      <w:pStyle w:val="133"/>
      <w:suff w:val="nothing"/>
      <w:lvlText w:val="%1   "/>
      <w:lvlJc w:val="left"/>
      <w:pPr>
        <w:ind w:left="544" w:hanging="181"/>
      </w:pPr>
      <w:rPr>
        <w:rFonts w:hint="eastAsia" w:ascii="宋体" w:eastAsia="宋体" w:cs="Times New Roman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 w:cs="Times New Roman"/>
      </w:rPr>
    </w:lvl>
  </w:abstractNum>
  <w:abstractNum w:abstractNumId="7">
    <w:nsid w:val="180E06D7"/>
    <w:multiLevelType w:val="multilevel"/>
    <w:tmpl w:val="180E06D7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8">
    <w:nsid w:val="1DBF583A"/>
    <w:multiLevelType w:val="multilevel"/>
    <w:tmpl w:val="1DBF583A"/>
    <w:lvl w:ilvl="0" w:tentative="0">
      <w:start w:val="1"/>
      <w:numFmt w:val="decimal"/>
      <w:pStyle w:val="77"/>
      <w:suff w:val="nothing"/>
      <w:lvlText w:val="注%1："/>
      <w:lvlJc w:val="left"/>
      <w:pPr>
        <w:ind w:left="811" w:hanging="448"/>
      </w:pPr>
      <w:rPr>
        <w:rFonts w:hint="eastAsia" w:ascii="黑体" w:eastAsia="黑体" w:cs="Times New Roman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 w:cs="Times New Roman"/>
        <w:vertAlign w:val="baseline"/>
      </w:rPr>
    </w:lvl>
  </w:abstractNum>
  <w:abstractNum w:abstractNumId="9">
    <w:nsid w:val="1FC91163"/>
    <w:multiLevelType w:val="multilevel"/>
    <w:tmpl w:val="1FC91163"/>
    <w:lvl w:ilvl="0" w:tentative="0">
      <w:start w:val="1"/>
      <w:numFmt w:val="decimal"/>
      <w:pStyle w:val="57"/>
      <w:suff w:val="nothing"/>
      <w:lvlText w:val="%1　"/>
      <w:lvlJc w:val="left"/>
      <w:rPr>
        <w:rFonts w:hint="eastAsia" w:ascii="黑体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54"/>
      <w:suff w:val="nothing"/>
      <w:lvlText w:val="%1.%2　"/>
      <w:lvlJc w:val="left"/>
      <w:pPr>
        <w:ind w:left="397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58"/>
      <w:suff w:val="nothing"/>
      <w:lvlText w:val="%1.%2.%3　"/>
      <w:lvlJc w:val="left"/>
      <w:pPr>
        <w:ind w:left="284"/>
      </w:pPr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pStyle w:val="63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pStyle w:val="67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pStyle w:val="68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0">
    <w:nsid w:val="2A8F7113"/>
    <w:multiLevelType w:val="multilevel"/>
    <w:tmpl w:val="2A8F7113"/>
    <w:lvl w:ilvl="0" w:tentative="0">
      <w:start w:val="1"/>
      <w:numFmt w:val="upperLetter"/>
      <w:pStyle w:val="110"/>
      <w:suff w:val="space"/>
      <w:lvlText w:val="%1"/>
      <w:lvlJc w:val="left"/>
      <w:pPr>
        <w:ind w:left="623" w:hanging="425"/>
      </w:pPr>
      <w:rPr>
        <w:rFonts w:hint="eastAsia" w:cs="Times New Roman"/>
      </w:rPr>
    </w:lvl>
    <w:lvl w:ilvl="1" w:tentative="0">
      <w:start w:val="1"/>
      <w:numFmt w:val="decimal"/>
      <w:pStyle w:val="111"/>
      <w:suff w:val="nothing"/>
      <w:lvlText w:val="图%1.%2　"/>
      <w:lvlJc w:val="left"/>
      <w:pPr>
        <w:ind w:left="1190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 w:cs="Times New Roman"/>
      </w:r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60"/>
      <w:suff w:val="nothing"/>
      <w:lvlText w:val="%1——"/>
      <w:lvlJc w:val="left"/>
      <w:pPr>
        <w:ind w:left="833" w:hanging="408"/>
      </w:pPr>
      <w:rPr>
        <w:rFonts w:hint="eastAsia" w:cs="Times New Roman"/>
      </w:rPr>
    </w:lvl>
    <w:lvl w:ilvl="1" w:tentative="0">
      <w:start w:val="1"/>
      <w:numFmt w:val="bullet"/>
      <w:pStyle w:val="61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72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 w:cs="Times New Roman"/>
      </w:rPr>
    </w:lvl>
  </w:abstractNum>
  <w:abstractNum w:abstractNumId="12">
    <w:nsid w:val="38796C8A"/>
    <w:multiLevelType w:val="multilevel"/>
    <w:tmpl w:val="38796C8A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13">
    <w:nsid w:val="3D733618"/>
    <w:multiLevelType w:val="multilevel"/>
    <w:tmpl w:val="3D733618"/>
    <w:lvl w:ilvl="0" w:tentative="0">
      <w:start w:val="1"/>
      <w:numFmt w:val="decimal"/>
      <w:pStyle w:val="26"/>
      <w:lvlText w:val="%1)"/>
      <w:lvlJc w:val="left"/>
      <w:pPr>
        <w:tabs>
          <w:tab w:val="left" w:pos="0"/>
        </w:tabs>
        <w:ind w:left="720" w:hanging="357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 w:cs="Times New Roman"/>
      </w:rPr>
    </w:lvl>
  </w:abstractNum>
  <w:abstractNum w:abstractNumId="14">
    <w:nsid w:val="44C50F90"/>
    <w:multiLevelType w:val="multilevel"/>
    <w:tmpl w:val="44C50F90"/>
    <w:lvl w:ilvl="0" w:tentative="0">
      <w:start w:val="1"/>
      <w:numFmt w:val="lowerLetter"/>
      <w:pStyle w:val="71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hAnsi="宋体" w:eastAsia="宋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66"/>
      <w:lvlText w:val="%2)"/>
      <w:lvlJc w:val="left"/>
      <w:pPr>
        <w:tabs>
          <w:tab w:val="left" w:pos="1259"/>
        </w:tabs>
        <w:ind w:left="1259" w:hanging="420"/>
      </w:pPr>
      <w:rPr>
        <w:rFonts w:hint="eastAsia" w:ascii="宋体" w:hAnsi="宋体" w:eastAsia="宋体" w:cs="Times New Roman"/>
        <w:b w:val="0"/>
        <w:i w:val="0"/>
        <w:sz w:val="20"/>
      </w:rPr>
    </w:lvl>
    <w:lvl w:ilvl="2" w:tentative="0">
      <w:start w:val="1"/>
      <w:numFmt w:val="decimal"/>
      <w:pStyle w:val="73"/>
      <w:lvlText w:val="(%3)"/>
      <w:lvlJc w:val="left"/>
      <w:pPr>
        <w:tabs>
          <w:tab w:val="left" w:pos="0"/>
        </w:tabs>
        <w:ind w:left="1678" w:hanging="419"/>
      </w:pPr>
      <w:rPr>
        <w:rFonts w:hint="eastAsia" w:ascii="宋体" w:hAns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 w:cs="Times New Roman"/>
      </w:rPr>
    </w:lvl>
  </w:abstractNum>
  <w:abstractNum w:abstractNumId="15">
    <w:nsid w:val="4A9678B1"/>
    <w:multiLevelType w:val="multilevel"/>
    <w:tmpl w:val="4A9678B1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16">
    <w:nsid w:val="4B733A5F"/>
    <w:multiLevelType w:val="multilevel"/>
    <w:tmpl w:val="4B733A5F"/>
    <w:lvl w:ilvl="0" w:tentative="0">
      <w:start w:val="1"/>
      <w:numFmt w:val="decimal"/>
      <w:pStyle w:val="74"/>
      <w:suff w:val="nothing"/>
      <w:lvlText w:val="示例%1："/>
      <w:lvlJc w:val="left"/>
      <w:pPr>
        <w:ind w:firstLine="363"/>
      </w:pPr>
      <w:rPr>
        <w:rFonts w:hint="eastAsia" w:ascii="黑体" w:hAnsi="Times New Roman" w:eastAsia="黑体" w:cs="Times New Roman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rPr>
        <w:rFonts w:hint="eastAsia" w:cs="Times New Roman"/>
        <w:vertAlign w:val="baseline"/>
      </w:rPr>
    </w:lvl>
    <w:lvl w:ilvl="2" w:tentative="0">
      <w:start w:val="1"/>
      <w:numFmt w:val="decimal"/>
      <w:suff w:val="space"/>
      <w:lvlText w:val="2.2.%3"/>
      <w:lvlJc w:val="left"/>
      <w:rPr>
        <w:rFonts w:hint="eastAsia" w:cs="Times New Roman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 w:cs="Times New Roman"/>
        <w:vertAlign w:val="baseline"/>
      </w:rPr>
    </w:lvl>
  </w:abstractNum>
  <w:abstractNum w:abstractNumId="17">
    <w:nsid w:val="4F873A64"/>
    <w:multiLevelType w:val="multilevel"/>
    <w:tmpl w:val="4F873A64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40"/>
      <w:suff w:val="nothing"/>
      <w:lvlText w:val="图%1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rPr>
        <w:rFonts w:hint="default" w:ascii="Times New Roman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 w:cs="Times New Roman"/>
      </w:rPr>
    </w:lvl>
  </w:abstractNum>
  <w:abstractNum w:abstractNumId="19">
    <w:nsid w:val="60B55DC2"/>
    <w:multiLevelType w:val="multilevel"/>
    <w:tmpl w:val="60B55DC2"/>
    <w:lvl w:ilvl="0" w:tentative="0">
      <w:start w:val="1"/>
      <w:numFmt w:val="upperLetter"/>
      <w:pStyle w:val="98"/>
      <w:lvlText w:val="%1"/>
      <w:lvlJc w:val="left"/>
      <w:pPr>
        <w:tabs>
          <w:tab w:val="left" w:pos="0"/>
        </w:tabs>
        <w:ind w:hanging="425"/>
      </w:pPr>
      <w:rPr>
        <w:rFonts w:hint="eastAsia" w:cs="Times New Roman"/>
      </w:rPr>
    </w:lvl>
    <w:lvl w:ilvl="1" w:tentative="0">
      <w:start w:val="1"/>
      <w:numFmt w:val="decimal"/>
      <w:pStyle w:val="99"/>
      <w:suff w:val="nothing"/>
      <w:lvlText w:val="表%1.%2　"/>
      <w:lvlJc w:val="left"/>
      <w:pPr>
        <w:ind w:left="3545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 w:cs="Times New Roman"/>
      </w:rPr>
    </w:lvl>
  </w:abstractNum>
  <w:abstractNum w:abstractNumId="20">
    <w:nsid w:val="623E017C"/>
    <w:multiLevelType w:val="multilevel"/>
    <w:tmpl w:val="623E017C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38"/>
      <w:suff w:val="nothing"/>
      <w:lvlText w:val="表%1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 w:cs="Times New Roman"/>
      </w:rPr>
    </w:lvl>
  </w:abstractNum>
  <w:abstractNum w:abstractNumId="22">
    <w:nsid w:val="657D3FBC"/>
    <w:multiLevelType w:val="multilevel"/>
    <w:tmpl w:val="657D3FBC"/>
    <w:lvl w:ilvl="0" w:tentative="0">
      <w:start w:val="1"/>
      <w:numFmt w:val="upperLetter"/>
      <w:pStyle w:val="96"/>
      <w:suff w:val="nothing"/>
      <w:lvlText w:val="附　录　%1"/>
      <w:lvlJc w:val="left"/>
      <w:rPr>
        <w:rFonts w:hint="eastAsia" w:ascii="黑体" w:hAnsi="Times New Roman" w:eastAsia="黑体" w:cs="Times New Roman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14"/>
      <w:suff w:val="nothing"/>
      <w:lvlText w:val="%1.%2　"/>
      <w:lvlJc w:val="left"/>
      <w:rPr>
        <w:rFonts w:hint="eastAsia" w:ascii="黑体" w:hAnsi="Times New Roman" w:eastAsia="黑体" w:cs="Times New Roman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15"/>
      <w:suff w:val="nothing"/>
      <w:lvlText w:val="%1.%2.%3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3" w:tentative="0">
      <w:start w:val="1"/>
      <w:numFmt w:val="decimal"/>
      <w:pStyle w:val="100"/>
      <w:suff w:val="nothing"/>
      <w:lvlText w:val="%1.%2.%3.%4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4" w:tentative="0">
      <w:start w:val="1"/>
      <w:numFmt w:val="decimal"/>
      <w:pStyle w:val="105"/>
      <w:suff w:val="nothing"/>
      <w:lvlText w:val="%1.%2.%3.%4.%5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5" w:tentative="0">
      <w:start w:val="1"/>
      <w:numFmt w:val="decimal"/>
      <w:pStyle w:val="108"/>
      <w:suff w:val="nothing"/>
      <w:lvlText w:val="%1.%2.%3.%4.%5.%6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6" w:tentative="0">
      <w:start w:val="1"/>
      <w:numFmt w:val="decimal"/>
      <w:pStyle w:val="112"/>
      <w:suff w:val="nothing"/>
      <w:lvlText w:val="%1.%2.%3.%4.%5.%6.%7　"/>
      <w:lvlJc w:val="left"/>
      <w:rPr>
        <w:rFonts w:hint="eastAsia" w:ascii="黑体" w:hAnsi="Times New Roman" w:eastAsia="黑体" w:cs="Times New Roman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56"/>
        </w:tabs>
        <w:ind w:left="9356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064"/>
        </w:tabs>
        <w:ind w:left="10064" w:hanging="1700"/>
      </w:pPr>
      <w:rPr>
        <w:rFonts w:hint="eastAsia" w:cs="Times New Roman"/>
      </w:rPr>
    </w:lvl>
  </w:abstractNum>
  <w:abstractNum w:abstractNumId="23">
    <w:nsid w:val="6605E854"/>
    <w:multiLevelType w:val="multilevel"/>
    <w:tmpl w:val="6605E854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24">
    <w:nsid w:val="6D6C07CD"/>
    <w:multiLevelType w:val="multilevel"/>
    <w:tmpl w:val="6D6C07CD"/>
    <w:lvl w:ilvl="0" w:tentative="0">
      <w:start w:val="1"/>
      <w:numFmt w:val="lowerLetter"/>
      <w:pStyle w:val="117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 w:cs="Times New Roman"/>
        <w:b w:val="0"/>
        <w:i w:val="0"/>
        <w:sz w:val="21"/>
      </w:rPr>
    </w:lvl>
    <w:lvl w:ilvl="1" w:tentative="0">
      <w:start w:val="1"/>
      <w:numFmt w:val="decimal"/>
      <w:pStyle w:val="107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 w:cs="Times New Roman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 w:cs="Times New Roman"/>
      </w:rPr>
    </w:lvl>
  </w:abstractNum>
  <w:abstractNum w:abstractNumId="25">
    <w:nsid w:val="6DBF04F4"/>
    <w:multiLevelType w:val="multilevel"/>
    <w:tmpl w:val="6DBF04F4"/>
    <w:lvl w:ilvl="0" w:tentative="0">
      <w:start w:val="1"/>
      <w:numFmt w:val="none"/>
      <w:pStyle w:val="69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 w:cs="Times New Roman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 w:cs="Times New Roman"/>
      </w:rPr>
    </w:lvl>
  </w:abstractNum>
  <w:abstractNum w:abstractNumId="26">
    <w:nsid w:val="761357B3"/>
    <w:multiLevelType w:val="multilevel"/>
    <w:tmpl w:val="761357B3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abstractNum w:abstractNumId="27">
    <w:nsid w:val="7AC77B5C"/>
    <w:multiLevelType w:val="multilevel"/>
    <w:tmpl w:val="7AC77B5C"/>
    <w:lvl w:ilvl="0" w:tentative="0">
      <w:start w:val="1"/>
      <w:numFmt w:val="lowerLetter"/>
      <w:lvlText w:val="%1)"/>
      <w:lvlJc w:val="left"/>
      <w:pPr>
        <w:tabs>
          <w:tab w:val="left" w:pos="840"/>
        </w:tabs>
        <w:ind w:left="839" w:hanging="419"/>
      </w:pPr>
      <w:rPr>
        <w:rFonts w:hint="default" w:cs="Times New Roman"/>
        <w:b w:val="0"/>
        <w:i w:val="0"/>
        <w:strike w:val="0"/>
        <w:sz w:val="21"/>
        <w:szCs w:val="21"/>
      </w:rPr>
    </w:lvl>
    <w:lvl w:ilvl="1" w:tentative="0">
      <w:start w:val="1"/>
      <w:numFmt w:val="decimal"/>
      <w:lvlText w:val="%2)"/>
      <w:lvlJc w:val="left"/>
      <w:pPr>
        <w:tabs>
          <w:tab w:val="left" w:pos="1260"/>
        </w:tabs>
        <w:ind w:left="1259" w:hanging="419"/>
      </w:pPr>
      <w:rPr>
        <w:rFonts w:hint="eastAsia" w:cs="Times New Roman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 w:cs="Times New Roman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 w:cs="Times New Roman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5"/>
  </w:num>
  <w:num w:numId="5">
    <w:abstractNumId w:val="14"/>
  </w:num>
  <w:num w:numId="6">
    <w:abstractNumId w:val="25"/>
  </w:num>
  <w:num w:numId="7">
    <w:abstractNumId w:val="2"/>
  </w:num>
  <w:num w:numId="8">
    <w:abstractNumId w:val="16"/>
  </w:num>
  <w:num w:numId="9">
    <w:abstractNumId w:val="8"/>
  </w:num>
  <w:num w:numId="10">
    <w:abstractNumId w:val="22"/>
  </w:num>
  <w:num w:numId="11">
    <w:abstractNumId w:val="19"/>
  </w:num>
  <w:num w:numId="12">
    <w:abstractNumId w:val="24"/>
  </w:num>
  <w:num w:numId="13">
    <w:abstractNumId w:val="10"/>
  </w:num>
  <w:num w:numId="14">
    <w:abstractNumId w:val="4"/>
  </w:num>
  <w:num w:numId="15">
    <w:abstractNumId w:val="6"/>
  </w:num>
  <w:num w:numId="16">
    <w:abstractNumId w:val="21"/>
  </w:num>
  <w:num w:numId="17">
    <w:abstractNumId w:val="18"/>
  </w:num>
  <w:num w:numId="18">
    <w:abstractNumId w:val="3"/>
  </w:num>
  <w:num w:numId="19">
    <w:abstractNumId w:val="17"/>
  </w:num>
  <w:num w:numId="20">
    <w:abstractNumId w:val="0"/>
  </w:num>
  <w:num w:numId="21">
    <w:abstractNumId w:val="26"/>
  </w:num>
  <w:num w:numId="22">
    <w:abstractNumId w:val="20"/>
  </w:num>
  <w:num w:numId="23">
    <w:abstractNumId w:val="23"/>
  </w:num>
  <w:num w:numId="24">
    <w:abstractNumId w:val="27"/>
  </w:num>
  <w:num w:numId="25">
    <w:abstractNumId w:val="1"/>
  </w:num>
  <w:num w:numId="26">
    <w:abstractNumId w:val="15"/>
  </w:num>
  <w:num w:numId="27">
    <w:abstractNumId w:val="12"/>
  </w:num>
  <w:num w:numId="28">
    <w:abstractNumId w:val="7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mirrorMargins w:val="1"/>
  <w:bordersDoNotSurroundHeader w:val="1"/>
  <w:bordersDoNotSurroundFooter w:val="1"/>
  <w:documentProtection w:edit="form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25"/>
    <w:rsid w:val="00000244"/>
    <w:rsid w:val="0000185F"/>
    <w:rsid w:val="0000586F"/>
    <w:rsid w:val="00007793"/>
    <w:rsid w:val="00010F1D"/>
    <w:rsid w:val="000128B3"/>
    <w:rsid w:val="00013D86"/>
    <w:rsid w:val="00013E02"/>
    <w:rsid w:val="00014446"/>
    <w:rsid w:val="00016C19"/>
    <w:rsid w:val="00020888"/>
    <w:rsid w:val="0002143C"/>
    <w:rsid w:val="00023077"/>
    <w:rsid w:val="00025A65"/>
    <w:rsid w:val="00026C31"/>
    <w:rsid w:val="00026CB9"/>
    <w:rsid w:val="00027229"/>
    <w:rsid w:val="00027280"/>
    <w:rsid w:val="00031775"/>
    <w:rsid w:val="000320A7"/>
    <w:rsid w:val="000320EA"/>
    <w:rsid w:val="000343F4"/>
    <w:rsid w:val="00035925"/>
    <w:rsid w:val="00036B21"/>
    <w:rsid w:val="00041C82"/>
    <w:rsid w:val="00050D41"/>
    <w:rsid w:val="00051F82"/>
    <w:rsid w:val="00057E84"/>
    <w:rsid w:val="0006004B"/>
    <w:rsid w:val="00062B25"/>
    <w:rsid w:val="00067CDF"/>
    <w:rsid w:val="00071632"/>
    <w:rsid w:val="00071F8F"/>
    <w:rsid w:val="00074FBE"/>
    <w:rsid w:val="00077A67"/>
    <w:rsid w:val="00081389"/>
    <w:rsid w:val="00083A09"/>
    <w:rsid w:val="0008723F"/>
    <w:rsid w:val="0009005E"/>
    <w:rsid w:val="00092857"/>
    <w:rsid w:val="0009578A"/>
    <w:rsid w:val="000A0ADC"/>
    <w:rsid w:val="000A17CF"/>
    <w:rsid w:val="000A20A9"/>
    <w:rsid w:val="000A30C8"/>
    <w:rsid w:val="000A38FE"/>
    <w:rsid w:val="000A48B1"/>
    <w:rsid w:val="000B3143"/>
    <w:rsid w:val="000B4C8F"/>
    <w:rsid w:val="000B5D57"/>
    <w:rsid w:val="000B6283"/>
    <w:rsid w:val="000C1B89"/>
    <w:rsid w:val="000C3D43"/>
    <w:rsid w:val="000C6B05"/>
    <w:rsid w:val="000C6DD6"/>
    <w:rsid w:val="000C73D4"/>
    <w:rsid w:val="000C7FFE"/>
    <w:rsid w:val="000D35E9"/>
    <w:rsid w:val="000D3A2F"/>
    <w:rsid w:val="000D3C25"/>
    <w:rsid w:val="000D3D4C"/>
    <w:rsid w:val="000D4D83"/>
    <w:rsid w:val="000D4F51"/>
    <w:rsid w:val="000D6F23"/>
    <w:rsid w:val="000D718B"/>
    <w:rsid w:val="000D73CB"/>
    <w:rsid w:val="000E0C46"/>
    <w:rsid w:val="000E20E8"/>
    <w:rsid w:val="000E27A2"/>
    <w:rsid w:val="000E30AB"/>
    <w:rsid w:val="000E3905"/>
    <w:rsid w:val="000F030C"/>
    <w:rsid w:val="000F129C"/>
    <w:rsid w:val="000F52A6"/>
    <w:rsid w:val="000F5D5C"/>
    <w:rsid w:val="001004EB"/>
    <w:rsid w:val="0010139E"/>
    <w:rsid w:val="00102086"/>
    <w:rsid w:val="001056DE"/>
    <w:rsid w:val="00105E7B"/>
    <w:rsid w:val="0010757C"/>
    <w:rsid w:val="001124C0"/>
    <w:rsid w:val="00112D08"/>
    <w:rsid w:val="001146DE"/>
    <w:rsid w:val="00115D2F"/>
    <w:rsid w:val="00122659"/>
    <w:rsid w:val="0012423D"/>
    <w:rsid w:val="001246FA"/>
    <w:rsid w:val="0012666B"/>
    <w:rsid w:val="001266A9"/>
    <w:rsid w:val="00126D59"/>
    <w:rsid w:val="00127B98"/>
    <w:rsid w:val="0013175F"/>
    <w:rsid w:val="0013321F"/>
    <w:rsid w:val="0013609B"/>
    <w:rsid w:val="00136C27"/>
    <w:rsid w:val="00142072"/>
    <w:rsid w:val="001438F4"/>
    <w:rsid w:val="00144894"/>
    <w:rsid w:val="001512B4"/>
    <w:rsid w:val="001522E8"/>
    <w:rsid w:val="00154D9C"/>
    <w:rsid w:val="001570BB"/>
    <w:rsid w:val="001604D7"/>
    <w:rsid w:val="001620A5"/>
    <w:rsid w:val="00162358"/>
    <w:rsid w:val="0016384C"/>
    <w:rsid w:val="00163C29"/>
    <w:rsid w:val="0016498F"/>
    <w:rsid w:val="00164A93"/>
    <w:rsid w:val="00164E53"/>
    <w:rsid w:val="001653AB"/>
    <w:rsid w:val="001662B4"/>
    <w:rsid w:val="0016699D"/>
    <w:rsid w:val="0017362C"/>
    <w:rsid w:val="00174AE7"/>
    <w:rsid w:val="00174E86"/>
    <w:rsid w:val="00175159"/>
    <w:rsid w:val="00175172"/>
    <w:rsid w:val="00176208"/>
    <w:rsid w:val="00180D37"/>
    <w:rsid w:val="0018211B"/>
    <w:rsid w:val="001840D3"/>
    <w:rsid w:val="00185338"/>
    <w:rsid w:val="001900F8"/>
    <w:rsid w:val="00190AB9"/>
    <w:rsid w:val="00191258"/>
    <w:rsid w:val="00191A6D"/>
    <w:rsid w:val="00192680"/>
    <w:rsid w:val="00193037"/>
    <w:rsid w:val="00193A2C"/>
    <w:rsid w:val="001974E5"/>
    <w:rsid w:val="001A0994"/>
    <w:rsid w:val="001A1CD4"/>
    <w:rsid w:val="001A288E"/>
    <w:rsid w:val="001A631B"/>
    <w:rsid w:val="001A7213"/>
    <w:rsid w:val="001B308B"/>
    <w:rsid w:val="001B3204"/>
    <w:rsid w:val="001B3829"/>
    <w:rsid w:val="001B6DC2"/>
    <w:rsid w:val="001C0DDE"/>
    <w:rsid w:val="001C146E"/>
    <w:rsid w:val="001C149C"/>
    <w:rsid w:val="001C21AC"/>
    <w:rsid w:val="001C47BA"/>
    <w:rsid w:val="001C59EA"/>
    <w:rsid w:val="001D1723"/>
    <w:rsid w:val="001D1C1A"/>
    <w:rsid w:val="001D21BB"/>
    <w:rsid w:val="001D406C"/>
    <w:rsid w:val="001D41EE"/>
    <w:rsid w:val="001D4ADE"/>
    <w:rsid w:val="001D4B79"/>
    <w:rsid w:val="001D675F"/>
    <w:rsid w:val="001D6CEA"/>
    <w:rsid w:val="001E0380"/>
    <w:rsid w:val="001E11E4"/>
    <w:rsid w:val="001E13B1"/>
    <w:rsid w:val="001E2AE2"/>
    <w:rsid w:val="001E3364"/>
    <w:rsid w:val="001E38C9"/>
    <w:rsid w:val="001E5F9D"/>
    <w:rsid w:val="001E7D6E"/>
    <w:rsid w:val="001F143A"/>
    <w:rsid w:val="001F37BB"/>
    <w:rsid w:val="001F3A19"/>
    <w:rsid w:val="001F5150"/>
    <w:rsid w:val="001F5F51"/>
    <w:rsid w:val="0020305A"/>
    <w:rsid w:val="002063E0"/>
    <w:rsid w:val="00211EE3"/>
    <w:rsid w:val="002128DC"/>
    <w:rsid w:val="002130E9"/>
    <w:rsid w:val="0021741F"/>
    <w:rsid w:val="00217F2E"/>
    <w:rsid w:val="00221CDD"/>
    <w:rsid w:val="00222FD8"/>
    <w:rsid w:val="00223CB1"/>
    <w:rsid w:val="00224E82"/>
    <w:rsid w:val="00225D29"/>
    <w:rsid w:val="0022731F"/>
    <w:rsid w:val="0023088B"/>
    <w:rsid w:val="002323C9"/>
    <w:rsid w:val="00232E92"/>
    <w:rsid w:val="00234467"/>
    <w:rsid w:val="00237D8D"/>
    <w:rsid w:val="002400D1"/>
    <w:rsid w:val="00241DA2"/>
    <w:rsid w:val="002421D0"/>
    <w:rsid w:val="002457C8"/>
    <w:rsid w:val="00246DFB"/>
    <w:rsid w:val="00247FEE"/>
    <w:rsid w:val="00250E7D"/>
    <w:rsid w:val="0025449C"/>
    <w:rsid w:val="002565D5"/>
    <w:rsid w:val="00261409"/>
    <w:rsid w:val="002622C0"/>
    <w:rsid w:val="002631F5"/>
    <w:rsid w:val="00263736"/>
    <w:rsid w:val="00264747"/>
    <w:rsid w:val="002666DC"/>
    <w:rsid w:val="002705E9"/>
    <w:rsid w:val="002709DD"/>
    <w:rsid w:val="00270D37"/>
    <w:rsid w:val="002711C1"/>
    <w:rsid w:val="002716EB"/>
    <w:rsid w:val="00274FDA"/>
    <w:rsid w:val="002758D7"/>
    <w:rsid w:val="00275C7E"/>
    <w:rsid w:val="002778AE"/>
    <w:rsid w:val="0028269A"/>
    <w:rsid w:val="00282CFF"/>
    <w:rsid w:val="00283590"/>
    <w:rsid w:val="0028377D"/>
    <w:rsid w:val="00286973"/>
    <w:rsid w:val="0029036D"/>
    <w:rsid w:val="00293900"/>
    <w:rsid w:val="00294E70"/>
    <w:rsid w:val="00296446"/>
    <w:rsid w:val="002A1924"/>
    <w:rsid w:val="002A4B18"/>
    <w:rsid w:val="002A52E5"/>
    <w:rsid w:val="002A555C"/>
    <w:rsid w:val="002A6B06"/>
    <w:rsid w:val="002A6E57"/>
    <w:rsid w:val="002A71F5"/>
    <w:rsid w:val="002A7420"/>
    <w:rsid w:val="002B01A9"/>
    <w:rsid w:val="002B0F12"/>
    <w:rsid w:val="002B1308"/>
    <w:rsid w:val="002B154D"/>
    <w:rsid w:val="002B3A17"/>
    <w:rsid w:val="002B4554"/>
    <w:rsid w:val="002B502B"/>
    <w:rsid w:val="002B69B1"/>
    <w:rsid w:val="002C228C"/>
    <w:rsid w:val="002C2E92"/>
    <w:rsid w:val="002C3FF7"/>
    <w:rsid w:val="002C41E4"/>
    <w:rsid w:val="002C4279"/>
    <w:rsid w:val="002C4F8D"/>
    <w:rsid w:val="002C563B"/>
    <w:rsid w:val="002C70E5"/>
    <w:rsid w:val="002C72D8"/>
    <w:rsid w:val="002D0470"/>
    <w:rsid w:val="002D0D31"/>
    <w:rsid w:val="002D11FA"/>
    <w:rsid w:val="002D1DF9"/>
    <w:rsid w:val="002D3474"/>
    <w:rsid w:val="002D7E29"/>
    <w:rsid w:val="002E0DDF"/>
    <w:rsid w:val="002E143B"/>
    <w:rsid w:val="002E1440"/>
    <w:rsid w:val="002E2906"/>
    <w:rsid w:val="002E2E6C"/>
    <w:rsid w:val="002E49D1"/>
    <w:rsid w:val="002E4F5C"/>
    <w:rsid w:val="002E5635"/>
    <w:rsid w:val="002E5CF9"/>
    <w:rsid w:val="002E64C3"/>
    <w:rsid w:val="002E6A2C"/>
    <w:rsid w:val="002E7354"/>
    <w:rsid w:val="002F1D8C"/>
    <w:rsid w:val="002F21DA"/>
    <w:rsid w:val="002F3722"/>
    <w:rsid w:val="002F4F75"/>
    <w:rsid w:val="002F7487"/>
    <w:rsid w:val="0030170F"/>
    <w:rsid w:val="00301F39"/>
    <w:rsid w:val="0030591E"/>
    <w:rsid w:val="0030631E"/>
    <w:rsid w:val="00312750"/>
    <w:rsid w:val="00312B44"/>
    <w:rsid w:val="00312DA7"/>
    <w:rsid w:val="00315BE5"/>
    <w:rsid w:val="003170A8"/>
    <w:rsid w:val="00317BCC"/>
    <w:rsid w:val="00317C2B"/>
    <w:rsid w:val="003216D5"/>
    <w:rsid w:val="00323228"/>
    <w:rsid w:val="00325926"/>
    <w:rsid w:val="00325D30"/>
    <w:rsid w:val="00327A8A"/>
    <w:rsid w:val="00336610"/>
    <w:rsid w:val="00337B0B"/>
    <w:rsid w:val="00341EB6"/>
    <w:rsid w:val="00341FD7"/>
    <w:rsid w:val="00343F73"/>
    <w:rsid w:val="00345060"/>
    <w:rsid w:val="00345A2E"/>
    <w:rsid w:val="00350DB9"/>
    <w:rsid w:val="0035116B"/>
    <w:rsid w:val="00352742"/>
    <w:rsid w:val="0035323B"/>
    <w:rsid w:val="00353431"/>
    <w:rsid w:val="00356784"/>
    <w:rsid w:val="003609D2"/>
    <w:rsid w:val="00360DD2"/>
    <w:rsid w:val="00362867"/>
    <w:rsid w:val="00362B37"/>
    <w:rsid w:val="00362DCF"/>
    <w:rsid w:val="00363F22"/>
    <w:rsid w:val="003646CD"/>
    <w:rsid w:val="00365EA6"/>
    <w:rsid w:val="003663F5"/>
    <w:rsid w:val="00374C8B"/>
    <w:rsid w:val="00375564"/>
    <w:rsid w:val="00376D8E"/>
    <w:rsid w:val="003776A0"/>
    <w:rsid w:val="00383134"/>
    <w:rsid w:val="00383191"/>
    <w:rsid w:val="003867B7"/>
    <w:rsid w:val="00386DED"/>
    <w:rsid w:val="003912E7"/>
    <w:rsid w:val="00393947"/>
    <w:rsid w:val="00394A10"/>
    <w:rsid w:val="00394EF6"/>
    <w:rsid w:val="003972FE"/>
    <w:rsid w:val="0039795B"/>
    <w:rsid w:val="003A0C2A"/>
    <w:rsid w:val="003A1535"/>
    <w:rsid w:val="003A2275"/>
    <w:rsid w:val="003A393E"/>
    <w:rsid w:val="003A6A4F"/>
    <w:rsid w:val="003A7088"/>
    <w:rsid w:val="003B00DF"/>
    <w:rsid w:val="003B1275"/>
    <w:rsid w:val="003B1778"/>
    <w:rsid w:val="003B2E09"/>
    <w:rsid w:val="003B2F1C"/>
    <w:rsid w:val="003C07A9"/>
    <w:rsid w:val="003C0D54"/>
    <w:rsid w:val="003C11CB"/>
    <w:rsid w:val="003C477C"/>
    <w:rsid w:val="003C57AC"/>
    <w:rsid w:val="003C57B3"/>
    <w:rsid w:val="003C75F3"/>
    <w:rsid w:val="003C78A3"/>
    <w:rsid w:val="003C7E95"/>
    <w:rsid w:val="003D0E5F"/>
    <w:rsid w:val="003D341D"/>
    <w:rsid w:val="003E1140"/>
    <w:rsid w:val="003E1267"/>
    <w:rsid w:val="003E1867"/>
    <w:rsid w:val="003E40BE"/>
    <w:rsid w:val="003E5729"/>
    <w:rsid w:val="003E721C"/>
    <w:rsid w:val="003E7D72"/>
    <w:rsid w:val="003F07DE"/>
    <w:rsid w:val="003F1381"/>
    <w:rsid w:val="003F46B8"/>
    <w:rsid w:val="003F4E15"/>
    <w:rsid w:val="003F4EE0"/>
    <w:rsid w:val="004008AF"/>
    <w:rsid w:val="00402153"/>
    <w:rsid w:val="00402FC1"/>
    <w:rsid w:val="00404E4D"/>
    <w:rsid w:val="0040633F"/>
    <w:rsid w:val="004076AD"/>
    <w:rsid w:val="00410CF8"/>
    <w:rsid w:val="00411CB0"/>
    <w:rsid w:val="0041471D"/>
    <w:rsid w:val="00421B04"/>
    <w:rsid w:val="00422AF0"/>
    <w:rsid w:val="00425082"/>
    <w:rsid w:val="00425C1F"/>
    <w:rsid w:val="004308A6"/>
    <w:rsid w:val="004309A9"/>
    <w:rsid w:val="00431DEB"/>
    <w:rsid w:val="00432504"/>
    <w:rsid w:val="00433692"/>
    <w:rsid w:val="00433F39"/>
    <w:rsid w:val="004360DF"/>
    <w:rsid w:val="0044623F"/>
    <w:rsid w:val="00446B29"/>
    <w:rsid w:val="0045004D"/>
    <w:rsid w:val="00453F9A"/>
    <w:rsid w:val="00453FE6"/>
    <w:rsid w:val="0045567B"/>
    <w:rsid w:val="0045638A"/>
    <w:rsid w:val="004576E3"/>
    <w:rsid w:val="004649D8"/>
    <w:rsid w:val="004655C7"/>
    <w:rsid w:val="0046625D"/>
    <w:rsid w:val="004673F0"/>
    <w:rsid w:val="00467958"/>
    <w:rsid w:val="004719BE"/>
    <w:rsid w:val="00471E91"/>
    <w:rsid w:val="00473EC9"/>
    <w:rsid w:val="004744E1"/>
    <w:rsid w:val="00474675"/>
    <w:rsid w:val="0047470C"/>
    <w:rsid w:val="004748F5"/>
    <w:rsid w:val="00475AA9"/>
    <w:rsid w:val="0047693B"/>
    <w:rsid w:val="00476D37"/>
    <w:rsid w:val="00480305"/>
    <w:rsid w:val="00484BFC"/>
    <w:rsid w:val="004A0CE6"/>
    <w:rsid w:val="004A1526"/>
    <w:rsid w:val="004A35F9"/>
    <w:rsid w:val="004A5D46"/>
    <w:rsid w:val="004A6881"/>
    <w:rsid w:val="004B057B"/>
    <w:rsid w:val="004B0D82"/>
    <w:rsid w:val="004B24C1"/>
    <w:rsid w:val="004B262F"/>
    <w:rsid w:val="004B2D99"/>
    <w:rsid w:val="004B49BE"/>
    <w:rsid w:val="004C292F"/>
    <w:rsid w:val="004C4866"/>
    <w:rsid w:val="004C563A"/>
    <w:rsid w:val="004C770E"/>
    <w:rsid w:val="004D232B"/>
    <w:rsid w:val="004D420D"/>
    <w:rsid w:val="004E1E37"/>
    <w:rsid w:val="004E3084"/>
    <w:rsid w:val="004E38B8"/>
    <w:rsid w:val="004E4D5E"/>
    <w:rsid w:val="004E7204"/>
    <w:rsid w:val="004F588F"/>
    <w:rsid w:val="004F6DD2"/>
    <w:rsid w:val="004F78CB"/>
    <w:rsid w:val="00502A68"/>
    <w:rsid w:val="00510280"/>
    <w:rsid w:val="00513679"/>
    <w:rsid w:val="0051367C"/>
    <w:rsid w:val="00513D73"/>
    <w:rsid w:val="00514A43"/>
    <w:rsid w:val="005174E5"/>
    <w:rsid w:val="00517BFA"/>
    <w:rsid w:val="00522393"/>
    <w:rsid w:val="00522620"/>
    <w:rsid w:val="0052324B"/>
    <w:rsid w:val="00525656"/>
    <w:rsid w:val="00530E66"/>
    <w:rsid w:val="00533FDA"/>
    <w:rsid w:val="00534C02"/>
    <w:rsid w:val="00541EDF"/>
    <w:rsid w:val="0054264B"/>
    <w:rsid w:val="00543786"/>
    <w:rsid w:val="00547306"/>
    <w:rsid w:val="005522F5"/>
    <w:rsid w:val="00552C8C"/>
    <w:rsid w:val="005533D7"/>
    <w:rsid w:val="00555B10"/>
    <w:rsid w:val="00557203"/>
    <w:rsid w:val="00560363"/>
    <w:rsid w:val="005631F7"/>
    <w:rsid w:val="00565962"/>
    <w:rsid w:val="00567B00"/>
    <w:rsid w:val="005703DE"/>
    <w:rsid w:val="00574B07"/>
    <w:rsid w:val="00576594"/>
    <w:rsid w:val="0058464E"/>
    <w:rsid w:val="0058558C"/>
    <w:rsid w:val="005870C5"/>
    <w:rsid w:val="00590EDC"/>
    <w:rsid w:val="00593D90"/>
    <w:rsid w:val="0059446D"/>
    <w:rsid w:val="00594590"/>
    <w:rsid w:val="00595CA2"/>
    <w:rsid w:val="00597C2D"/>
    <w:rsid w:val="005A01CB"/>
    <w:rsid w:val="005A07A5"/>
    <w:rsid w:val="005A4C33"/>
    <w:rsid w:val="005A58FF"/>
    <w:rsid w:val="005A5EAF"/>
    <w:rsid w:val="005A6115"/>
    <w:rsid w:val="005A64C0"/>
    <w:rsid w:val="005A70E0"/>
    <w:rsid w:val="005B1883"/>
    <w:rsid w:val="005B2E12"/>
    <w:rsid w:val="005B3077"/>
    <w:rsid w:val="005B3835"/>
    <w:rsid w:val="005B3C11"/>
    <w:rsid w:val="005B40BC"/>
    <w:rsid w:val="005B67B2"/>
    <w:rsid w:val="005C1349"/>
    <w:rsid w:val="005C1C28"/>
    <w:rsid w:val="005C2C9E"/>
    <w:rsid w:val="005C3ADE"/>
    <w:rsid w:val="005C3E3E"/>
    <w:rsid w:val="005C4697"/>
    <w:rsid w:val="005C4ACC"/>
    <w:rsid w:val="005C5B87"/>
    <w:rsid w:val="005C6DB5"/>
    <w:rsid w:val="005C7E9D"/>
    <w:rsid w:val="005D27AF"/>
    <w:rsid w:val="005D2B02"/>
    <w:rsid w:val="005D37B4"/>
    <w:rsid w:val="005D60F1"/>
    <w:rsid w:val="005E0325"/>
    <w:rsid w:val="005E079C"/>
    <w:rsid w:val="005E19E7"/>
    <w:rsid w:val="005E342D"/>
    <w:rsid w:val="005E4244"/>
    <w:rsid w:val="005E62CE"/>
    <w:rsid w:val="005E647D"/>
    <w:rsid w:val="005E6C23"/>
    <w:rsid w:val="005F2A8B"/>
    <w:rsid w:val="005F383B"/>
    <w:rsid w:val="005F3ED7"/>
    <w:rsid w:val="005F4727"/>
    <w:rsid w:val="005F4E1D"/>
    <w:rsid w:val="005F728A"/>
    <w:rsid w:val="00601E40"/>
    <w:rsid w:val="00601FCE"/>
    <w:rsid w:val="00602558"/>
    <w:rsid w:val="006043BD"/>
    <w:rsid w:val="00606BEE"/>
    <w:rsid w:val="006101C4"/>
    <w:rsid w:val="0061122B"/>
    <w:rsid w:val="00611D45"/>
    <w:rsid w:val="00611F71"/>
    <w:rsid w:val="00616EA1"/>
    <w:rsid w:val="0061716C"/>
    <w:rsid w:val="006172E4"/>
    <w:rsid w:val="006241FD"/>
    <w:rsid w:val="006243A1"/>
    <w:rsid w:val="00624CED"/>
    <w:rsid w:val="00625D76"/>
    <w:rsid w:val="00630EF5"/>
    <w:rsid w:val="00632E56"/>
    <w:rsid w:val="00633567"/>
    <w:rsid w:val="00634310"/>
    <w:rsid w:val="00634D9C"/>
    <w:rsid w:val="00635CBA"/>
    <w:rsid w:val="00637E22"/>
    <w:rsid w:val="00637EBE"/>
    <w:rsid w:val="0064338B"/>
    <w:rsid w:val="006434C0"/>
    <w:rsid w:val="00646542"/>
    <w:rsid w:val="00646896"/>
    <w:rsid w:val="006504F4"/>
    <w:rsid w:val="00654BC9"/>
    <w:rsid w:val="006552FD"/>
    <w:rsid w:val="00655319"/>
    <w:rsid w:val="0065615E"/>
    <w:rsid w:val="00656D1B"/>
    <w:rsid w:val="006573F9"/>
    <w:rsid w:val="00661256"/>
    <w:rsid w:val="0066177D"/>
    <w:rsid w:val="00662A52"/>
    <w:rsid w:val="006630E6"/>
    <w:rsid w:val="00663AF3"/>
    <w:rsid w:val="006666FA"/>
    <w:rsid w:val="00666B6C"/>
    <w:rsid w:val="0067101C"/>
    <w:rsid w:val="00671215"/>
    <w:rsid w:val="00671E19"/>
    <w:rsid w:val="00672ACD"/>
    <w:rsid w:val="006737AE"/>
    <w:rsid w:val="00674692"/>
    <w:rsid w:val="00674F50"/>
    <w:rsid w:val="006761C0"/>
    <w:rsid w:val="00676237"/>
    <w:rsid w:val="00677052"/>
    <w:rsid w:val="006801D7"/>
    <w:rsid w:val="00682682"/>
    <w:rsid w:val="00682702"/>
    <w:rsid w:val="00685A38"/>
    <w:rsid w:val="0068629D"/>
    <w:rsid w:val="00690847"/>
    <w:rsid w:val="00692368"/>
    <w:rsid w:val="00694241"/>
    <w:rsid w:val="006957CC"/>
    <w:rsid w:val="00696B12"/>
    <w:rsid w:val="00696C73"/>
    <w:rsid w:val="00697C14"/>
    <w:rsid w:val="006A092B"/>
    <w:rsid w:val="006A1003"/>
    <w:rsid w:val="006A1F4D"/>
    <w:rsid w:val="006A2EBC"/>
    <w:rsid w:val="006A2F06"/>
    <w:rsid w:val="006A316F"/>
    <w:rsid w:val="006A5EA0"/>
    <w:rsid w:val="006A783B"/>
    <w:rsid w:val="006A7B33"/>
    <w:rsid w:val="006A7FAE"/>
    <w:rsid w:val="006B0FED"/>
    <w:rsid w:val="006B25E7"/>
    <w:rsid w:val="006B3101"/>
    <w:rsid w:val="006B4E13"/>
    <w:rsid w:val="006B7442"/>
    <w:rsid w:val="006B75DD"/>
    <w:rsid w:val="006C1E4C"/>
    <w:rsid w:val="006C67E0"/>
    <w:rsid w:val="006C6EB6"/>
    <w:rsid w:val="006C7094"/>
    <w:rsid w:val="006C71C9"/>
    <w:rsid w:val="006C7ABA"/>
    <w:rsid w:val="006D0D60"/>
    <w:rsid w:val="006D1122"/>
    <w:rsid w:val="006D22B3"/>
    <w:rsid w:val="006D2352"/>
    <w:rsid w:val="006D3C00"/>
    <w:rsid w:val="006D5FB8"/>
    <w:rsid w:val="006D6E16"/>
    <w:rsid w:val="006D7215"/>
    <w:rsid w:val="006E1D89"/>
    <w:rsid w:val="006E3675"/>
    <w:rsid w:val="006E4A7F"/>
    <w:rsid w:val="006E6BBF"/>
    <w:rsid w:val="006F2C27"/>
    <w:rsid w:val="006F44EC"/>
    <w:rsid w:val="00700A20"/>
    <w:rsid w:val="00700A91"/>
    <w:rsid w:val="00701E8C"/>
    <w:rsid w:val="007022A3"/>
    <w:rsid w:val="007043E7"/>
    <w:rsid w:val="00704DF6"/>
    <w:rsid w:val="0070651C"/>
    <w:rsid w:val="00712600"/>
    <w:rsid w:val="007132A3"/>
    <w:rsid w:val="00716421"/>
    <w:rsid w:val="007215C3"/>
    <w:rsid w:val="00724EFB"/>
    <w:rsid w:val="0072549A"/>
    <w:rsid w:val="00726E30"/>
    <w:rsid w:val="00730126"/>
    <w:rsid w:val="00730585"/>
    <w:rsid w:val="00732F88"/>
    <w:rsid w:val="00733136"/>
    <w:rsid w:val="00733161"/>
    <w:rsid w:val="00733C09"/>
    <w:rsid w:val="00734A51"/>
    <w:rsid w:val="00736831"/>
    <w:rsid w:val="007373A7"/>
    <w:rsid w:val="007419C3"/>
    <w:rsid w:val="007467A7"/>
    <w:rsid w:val="007469DD"/>
    <w:rsid w:val="0074741B"/>
    <w:rsid w:val="0074759E"/>
    <w:rsid w:val="007478EA"/>
    <w:rsid w:val="0075415C"/>
    <w:rsid w:val="0075457F"/>
    <w:rsid w:val="007550A7"/>
    <w:rsid w:val="00757F08"/>
    <w:rsid w:val="007624F2"/>
    <w:rsid w:val="00762B09"/>
    <w:rsid w:val="00763502"/>
    <w:rsid w:val="00763BEE"/>
    <w:rsid w:val="007657CE"/>
    <w:rsid w:val="00766BB6"/>
    <w:rsid w:val="00767419"/>
    <w:rsid w:val="00767ED3"/>
    <w:rsid w:val="00781B42"/>
    <w:rsid w:val="0078392A"/>
    <w:rsid w:val="00783C0F"/>
    <w:rsid w:val="00784816"/>
    <w:rsid w:val="00784FFA"/>
    <w:rsid w:val="007913AB"/>
    <w:rsid w:val="007914F7"/>
    <w:rsid w:val="00791EB6"/>
    <w:rsid w:val="00794DDB"/>
    <w:rsid w:val="00796407"/>
    <w:rsid w:val="00797DE0"/>
    <w:rsid w:val="007A1425"/>
    <w:rsid w:val="007A3609"/>
    <w:rsid w:val="007A54B6"/>
    <w:rsid w:val="007A74AB"/>
    <w:rsid w:val="007A74E3"/>
    <w:rsid w:val="007B1625"/>
    <w:rsid w:val="007B170B"/>
    <w:rsid w:val="007B706E"/>
    <w:rsid w:val="007B71EB"/>
    <w:rsid w:val="007C6205"/>
    <w:rsid w:val="007C686A"/>
    <w:rsid w:val="007C728E"/>
    <w:rsid w:val="007D1661"/>
    <w:rsid w:val="007D2C53"/>
    <w:rsid w:val="007D3D60"/>
    <w:rsid w:val="007D5A11"/>
    <w:rsid w:val="007D5F98"/>
    <w:rsid w:val="007E1980"/>
    <w:rsid w:val="007E2C51"/>
    <w:rsid w:val="007E3111"/>
    <w:rsid w:val="007E356D"/>
    <w:rsid w:val="007E44C9"/>
    <w:rsid w:val="007E4765"/>
    <w:rsid w:val="007E4B76"/>
    <w:rsid w:val="007E4C16"/>
    <w:rsid w:val="007E5329"/>
    <w:rsid w:val="007E5B80"/>
    <w:rsid w:val="007E5EA8"/>
    <w:rsid w:val="007E72C7"/>
    <w:rsid w:val="007F0CF1"/>
    <w:rsid w:val="007F12A5"/>
    <w:rsid w:val="007F1EF5"/>
    <w:rsid w:val="007F2FD1"/>
    <w:rsid w:val="007F3202"/>
    <w:rsid w:val="007F37A4"/>
    <w:rsid w:val="007F4CF1"/>
    <w:rsid w:val="007F758D"/>
    <w:rsid w:val="007F7B67"/>
    <w:rsid w:val="007F7D52"/>
    <w:rsid w:val="00802137"/>
    <w:rsid w:val="008047AB"/>
    <w:rsid w:val="0080654C"/>
    <w:rsid w:val="008071C6"/>
    <w:rsid w:val="0081040C"/>
    <w:rsid w:val="0081381D"/>
    <w:rsid w:val="008139E8"/>
    <w:rsid w:val="00814DE0"/>
    <w:rsid w:val="00814F14"/>
    <w:rsid w:val="00817A00"/>
    <w:rsid w:val="00821366"/>
    <w:rsid w:val="0082267D"/>
    <w:rsid w:val="00823CF0"/>
    <w:rsid w:val="0083044F"/>
    <w:rsid w:val="00833B27"/>
    <w:rsid w:val="0083400D"/>
    <w:rsid w:val="00835C56"/>
    <w:rsid w:val="00835DB3"/>
    <w:rsid w:val="0083617B"/>
    <w:rsid w:val="008371BD"/>
    <w:rsid w:val="0084350D"/>
    <w:rsid w:val="00844072"/>
    <w:rsid w:val="008504A8"/>
    <w:rsid w:val="00850D51"/>
    <w:rsid w:val="0085282E"/>
    <w:rsid w:val="008538F5"/>
    <w:rsid w:val="008544A2"/>
    <w:rsid w:val="00855546"/>
    <w:rsid w:val="00863D8B"/>
    <w:rsid w:val="00865A53"/>
    <w:rsid w:val="00866CEA"/>
    <w:rsid w:val="0087198C"/>
    <w:rsid w:val="00872C1F"/>
    <w:rsid w:val="0087315A"/>
    <w:rsid w:val="0087395C"/>
    <w:rsid w:val="00873B42"/>
    <w:rsid w:val="00877A95"/>
    <w:rsid w:val="00880237"/>
    <w:rsid w:val="008806CD"/>
    <w:rsid w:val="0088226C"/>
    <w:rsid w:val="00884276"/>
    <w:rsid w:val="008856D8"/>
    <w:rsid w:val="008860C8"/>
    <w:rsid w:val="00886C9A"/>
    <w:rsid w:val="008874B2"/>
    <w:rsid w:val="00890892"/>
    <w:rsid w:val="00892E82"/>
    <w:rsid w:val="00894268"/>
    <w:rsid w:val="0089557D"/>
    <w:rsid w:val="00896147"/>
    <w:rsid w:val="008A115C"/>
    <w:rsid w:val="008A3204"/>
    <w:rsid w:val="008A3C2D"/>
    <w:rsid w:val="008A3E75"/>
    <w:rsid w:val="008A4F00"/>
    <w:rsid w:val="008B4037"/>
    <w:rsid w:val="008B4056"/>
    <w:rsid w:val="008C1094"/>
    <w:rsid w:val="008C1B58"/>
    <w:rsid w:val="008C1FD4"/>
    <w:rsid w:val="008C39AE"/>
    <w:rsid w:val="008C3FD1"/>
    <w:rsid w:val="008C590D"/>
    <w:rsid w:val="008C5E2F"/>
    <w:rsid w:val="008C6B94"/>
    <w:rsid w:val="008D240A"/>
    <w:rsid w:val="008D3F22"/>
    <w:rsid w:val="008D7B31"/>
    <w:rsid w:val="008E031B"/>
    <w:rsid w:val="008E65C4"/>
    <w:rsid w:val="008E7029"/>
    <w:rsid w:val="008E7EF6"/>
    <w:rsid w:val="008F06E0"/>
    <w:rsid w:val="008F1142"/>
    <w:rsid w:val="008F1F98"/>
    <w:rsid w:val="008F58D5"/>
    <w:rsid w:val="008F6758"/>
    <w:rsid w:val="008F7A61"/>
    <w:rsid w:val="009040DD"/>
    <w:rsid w:val="009046C5"/>
    <w:rsid w:val="00905B47"/>
    <w:rsid w:val="0091331C"/>
    <w:rsid w:val="009203BF"/>
    <w:rsid w:val="00921EC4"/>
    <w:rsid w:val="009279DE"/>
    <w:rsid w:val="00930116"/>
    <w:rsid w:val="00934AA9"/>
    <w:rsid w:val="00935A99"/>
    <w:rsid w:val="00937C9B"/>
    <w:rsid w:val="009416A7"/>
    <w:rsid w:val="0094212C"/>
    <w:rsid w:val="00942399"/>
    <w:rsid w:val="00945C8B"/>
    <w:rsid w:val="00947100"/>
    <w:rsid w:val="00954689"/>
    <w:rsid w:val="009553A3"/>
    <w:rsid w:val="009555A0"/>
    <w:rsid w:val="00955D97"/>
    <w:rsid w:val="00955D98"/>
    <w:rsid w:val="0096171D"/>
    <w:rsid w:val="009617C9"/>
    <w:rsid w:val="00961C93"/>
    <w:rsid w:val="0096287D"/>
    <w:rsid w:val="00962952"/>
    <w:rsid w:val="00965324"/>
    <w:rsid w:val="00966270"/>
    <w:rsid w:val="00970305"/>
    <w:rsid w:val="0097091E"/>
    <w:rsid w:val="0097095A"/>
    <w:rsid w:val="009732DD"/>
    <w:rsid w:val="009760D3"/>
    <w:rsid w:val="00977132"/>
    <w:rsid w:val="0098165D"/>
    <w:rsid w:val="00981A4B"/>
    <w:rsid w:val="00982501"/>
    <w:rsid w:val="009850B2"/>
    <w:rsid w:val="00986757"/>
    <w:rsid w:val="009877D3"/>
    <w:rsid w:val="0099237C"/>
    <w:rsid w:val="00993224"/>
    <w:rsid w:val="009937D2"/>
    <w:rsid w:val="00994897"/>
    <w:rsid w:val="00994E8F"/>
    <w:rsid w:val="009951DC"/>
    <w:rsid w:val="009959BB"/>
    <w:rsid w:val="00996E18"/>
    <w:rsid w:val="00997158"/>
    <w:rsid w:val="009A2453"/>
    <w:rsid w:val="009A3A7C"/>
    <w:rsid w:val="009A4811"/>
    <w:rsid w:val="009A632B"/>
    <w:rsid w:val="009B1938"/>
    <w:rsid w:val="009B26A1"/>
    <w:rsid w:val="009B2ADB"/>
    <w:rsid w:val="009B3777"/>
    <w:rsid w:val="009B3EE4"/>
    <w:rsid w:val="009B603A"/>
    <w:rsid w:val="009B6A9F"/>
    <w:rsid w:val="009B6B41"/>
    <w:rsid w:val="009B793A"/>
    <w:rsid w:val="009C021F"/>
    <w:rsid w:val="009C0F0E"/>
    <w:rsid w:val="009C23D6"/>
    <w:rsid w:val="009C2D0E"/>
    <w:rsid w:val="009C3269"/>
    <w:rsid w:val="009C332C"/>
    <w:rsid w:val="009C3DAC"/>
    <w:rsid w:val="009C42E0"/>
    <w:rsid w:val="009C5448"/>
    <w:rsid w:val="009C6BD5"/>
    <w:rsid w:val="009D0364"/>
    <w:rsid w:val="009D1887"/>
    <w:rsid w:val="009D1B14"/>
    <w:rsid w:val="009D2407"/>
    <w:rsid w:val="009D31F5"/>
    <w:rsid w:val="009D41E5"/>
    <w:rsid w:val="009D4A3E"/>
    <w:rsid w:val="009D5362"/>
    <w:rsid w:val="009D76B6"/>
    <w:rsid w:val="009E1415"/>
    <w:rsid w:val="009E37D6"/>
    <w:rsid w:val="009E6116"/>
    <w:rsid w:val="009F0127"/>
    <w:rsid w:val="009F69F7"/>
    <w:rsid w:val="00A0117B"/>
    <w:rsid w:val="00A01556"/>
    <w:rsid w:val="00A01842"/>
    <w:rsid w:val="00A02E43"/>
    <w:rsid w:val="00A03C60"/>
    <w:rsid w:val="00A06340"/>
    <w:rsid w:val="00A065F9"/>
    <w:rsid w:val="00A07F34"/>
    <w:rsid w:val="00A11ECD"/>
    <w:rsid w:val="00A13D17"/>
    <w:rsid w:val="00A162F9"/>
    <w:rsid w:val="00A16A1A"/>
    <w:rsid w:val="00A2148E"/>
    <w:rsid w:val="00A22154"/>
    <w:rsid w:val="00A25C38"/>
    <w:rsid w:val="00A31C96"/>
    <w:rsid w:val="00A32C27"/>
    <w:rsid w:val="00A32C8E"/>
    <w:rsid w:val="00A335CD"/>
    <w:rsid w:val="00A3432C"/>
    <w:rsid w:val="00A36BBE"/>
    <w:rsid w:val="00A36F8C"/>
    <w:rsid w:val="00A41943"/>
    <w:rsid w:val="00A41B6F"/>
    <w:rsid w:val="00A4307A"/>
    <w:rsid w:val="00A43EE6"/>
    <w:rsid w:val="00A47EBB"/>
    <w:rsid w:val="00A50211"/>
    <w:rsid w:val="00A51CDD"/>
    <w:rsid w:val="00A5504E"/>
    <w:rsid w:val="00A552A7"/>
    <w:rsid w:val="00A56765"/>
    <w:rsid w:val="00A66C06"/>
    <w:rsid w:val="00A6730D"/>
    <w:rsid w:val="00A71625"/>
    <w:rsid w:val="00A71B9B"/>
    <w:rsid w:val="00A74C0A"/>
    <w:rsid w:val="00A751C7"/>
    <w:rsid w:val="00A7636D"/>
    <w:rsid w:val="00A777B1"/>
    <w:rsid w:val="00A804EE"/>
    <w:rsid w:val="00A808FF"/>
    <w:rsid w:val="00A82469"/>
    <w:rsid w:val="00A8363F"/>
    <w:rsid w:val="00A83EF5"/>
    <w:rsid w:val="00A84858"/>
    <w:rsid w:val="00A86625"/>
    <w:rsid w:val="00A87844"/>
    <w:rsid w:val="00A87C2D"/>
    <w:rsid w:val="00A903BD"/>
    <w:rsid w:val="00A92A1D"/>
    <w:rsid w:val="00A95B4A"/>
    <w:rsid w:val="00A963B1"/>
    <w:rsid w:val="00A96E10"/>
    <w:rsid w:val="00A974AD"/>
    <w:rsid w:val="00AA038C"/>
    <w:rsid w:val="00AA247B"/>
    <w:rsid w:val="00AA7A09"/>
    <w:rsid w:val="00AB0EFB"/>
    <w:rsid w:val="00AB1CE9"/>
    <w:rsid w:val="00AB23A0"/>
    <w:rsid w:val="00AB3B50"/>
    <w:rsid w:val="00AB52CB"/>
    <w:rsid w:val="00AC05B1"/>
    <w:rsid w:val="00AC0976"/>
    <w:rsid w:val="00AC135A"/>
    <w:rsid w:val="00AC3382"/>
    <w:rsid w:val="00AC4529"/>
    <w:rsid w:val="00AC470B"/>
    <w:rsid w:val="00AC4F17"/>
    <w:rsid w:val="00AC52BF"/>
    <w:rsid w:val="00AC5945"/>
    <w:rsid w:val="00AC605F"/>
    <w:rsid w:val="00AC6AAB"/>
    <w:rsid w:val="00AD0508"/>
    <w:rsid w:val="00AD07AB"/>
    <w:rsid w:val="00AD0F08"/>
    <w:rsid w:val="00AD1B37"/>
    <w:rsid w:val="00AD2EB2"/>
    <w:rsid w:val="00AD340A"/>
    <w:rsid w:val="00AD356C"/>
    <w:rsid w:val="00AD3A45"/>
    <w:rsid w:val="00AD5D09"/>
    <w:rsid w:val="00AE06F4"/>
    <w:rsid w:val="00AE2914"/>
    <w:rsid w:val="00AE6D15"/>
    <w:rsid w:val="00AE7764"/>
    <w:rsid w:val="00AE7B31"/>
    <w:rsid w:val="00AF0395"/>
    <w:rsid w:val="00AF311B"/>
    <w:rsid w:val="00AF484F"/>
    <w:rsid w:val="00AF69BC"/>
    <w:rsid w:val="00B04182"/>
    <w:rsid w:val="00B05871"/>
    <w:rsid w:val="00B07AE3"/>
    <w:rsid w:val="00B11430"/>
    <w:rsid w:val="00B11AA7"/>
    <w:rsid w:val="00B1256F"/>
    <w:rsid w:val="00B12573"/>
    <w:rsid w:val="00B13B41"/>
    <w:rsid w:val="00B17F85"/>
    <w:rsid w:val="00B20D10"/>
    <w:rsid w:val="00B24091"/>
    <w:rsid w:val="00B25E1F"/>
    <w:rsid w:val="00B277B7"/>
    <w:rsid w:val="00B31D84"/>
    <w:rsid w:val="00B3323A"/>
    <w:rsid w:val="00B353EB"/>
    <w:rsid w:val="00B376F1"/>
    <w:rsid w:val="00B37748"/>
    <w:rsid w:val="00B42088"/>
    <w:rsid w:val="00B439C4"/>
    <w:rsid w:val="00B44073"/>
    <w:rsid w:val="00B44D65"/>
    <w:rsid w:val="00B4535E"/>
    <w:rsid w:val="00B46434"/>
    <w:rsid w:val="00B47CE3"/>
    <w:rsid w:val="00B51802"/>
    <w:rsid w:val="00B51962"/>
    <w:rsid w:val="00B529D4"/>
    <w:rsid w:val="00B52A8C"/>
    <w:rsid w:val="00B53BFF"/>
    <w:rsid w:val="00B54061"/>
    <w:rsid w:val="00B56996"/>
    <w:rsid w:val="00B60DE7"/>
    <w:rsid w:val="00B632C4"/>
    <w:rsid w:val="00B636A8"/>
    <w:rsid w:val="00B665C6"/>
    <w:rsid w:val="00B6723A"/>
    <w:rsid w:val="00B71E85"/>
    <w:rsid w:val="00B72F5D"/>
    <w:rsid w:val="00B73699"/>
    <w:rsid w:val="00B73FAE"/>
    <w:rsid w:val="00B74B4C"/>
    <w:rsid w:val="00B755C7"/>
    <w:rsid w:val="00B75AE3"/>
    <w:rsid w:val="00B7614B"/>
    <w:rsid w:val="00B803B2"/>
    <w:rsid w:val="00B805AF"/>
    <w:rsid w:val="00B81E26"/>
    <w:rsid w:val="00B83C35"/>
    <w:rsid w:val="00B86870"/>
    <w:rsid w:val="00B869EC"/>
    <w:rsid w:val="00B9397A"/>
    <w:rsid w:val="00B945E4"/>
    <w:rsid w:val="00B9633D"/>
    <w:rsid w:val="00BA0352"/>
    <w:rsid w:val="00BA252B"/>
    <w:rsid w:val="00BA2EBE"/>
    <w:rsid w:val="00BA38EE"/>
    <w:rsid w:val="00BA3D56"/>
    <w:rsid w:val="00BA61C6"/>
    <w:rsid w:val="00BA6B14"/>
    <w:rsid w:val="00BB0F28"/>
    <w:rsid w:val="00BB2175"/>
    <w:rsid w:val="00BB2749"/>
    <w:rsid w:val="00BB458A"/>
    <w:rsid w:val="00BB69EC"/>
    <w:rsid w:val="00BC0AF3"/>
    <w:rsid w:val="00BC3D16"/>
    <w:rsid w:val="00BC4482"/>
    <w:rsid w:val="00BC7090"/>
    <w:rsid w:val="00BC7735"/>
    <w:rsid w:val="00BD00D3"/>
    <w:rsid w:val="00BD1659"/>
    <w:rsid w:val="00BD1FA2"/>
    <w:rsid w:val="00BD3AA9"/>
    <w:rsid w:val="00BD497C"/>
    <w:rsid w:val="00BD4A18"/>
    <w:rsid w:val="00BD6400"/>
    <w:rsid w:val="00BD6C7B"/>
    <w:rsid w:val="00BD6DB2"/>
    <w:rsid w:val="00BE0A73"/>
    <w:rsid w:val="00BE11CF"/>
    <w:rsid w:val="00BE1267"/>
    <w:rsid w:val="00BE21AB"/>
    <w:rsid w:val="00BE27A8"/>
    <w:rsid w:val="00BE28A4"/>
    <w:rsid w:val="00BE55CB"/>
    <w:rsid w:val="00BE5DEC"/>
    <w:rsid w:val="00BE6743"/>
    <w:rsid w:val="00BE6E65"/>
    <w:rsid w:val="00BE7566"/>
    <w:rsid w:val="00BF2269"/>
    <w:rsid w:val="00BF3A04"/>
    <w:rsid w:val="00BF3E5F"/>
    <w:rsid w:val="00BF406E"/>
    <w:rsid w:val="00BF461A"/>
    <w:rsid w:val="00BF6039"/>
    <w:rsid w:val="00BF617A"/>
    <w:rsid w:val="00C02409"/>
    <w:rsid w:val="00C0379D"/>
    <w:rsid w:val="00C03931"/>
    <w:rsid w:val="00C05FE3"/>
    <w:rsid w:val="00C07A05"/>
    <w:rsid w:val="00C10880"/>
    <w:rsid w:val="00C10E93"/>
    <w:rsid w:val="00C11A4C"/>
    <w:rsid w:val="00C12F20"/>
    <w:rsid w:val="00C212F2"/>
    <w:rsid w:val="00C2136D"/>
    <w:rsid w:val="00C214EE"/>
    <w:rsid w:val="00C2314B"/>
    <w:rsid w:val="00C23CB9"/>
    <w:rsid w:val="00C24971"/>
    <w:rsid w:val="00C26BE5"/>
    <w:rsid w:val="00C26E4D"/>
    <w:rsid w:val="00C27909"/>
    <w:rsid w:val="00C27B03"/>
    <w:rsid w:val="00C314E1"/>
    <w:rsid w:val="00C32D96"/>
    <w:rsid w:val="00C34397"/>
    <w:rsid w:val="00C370D9"/>
    <w:rsid w:val="00C3774B"/>
    <w:rsid w:val="00C40004"/>
    <w:rsid w:val="00C4095D"/>
    <w:rsid w:val="00C41C35"/>
    <w:rsid w:val="00C4686B"/>
    <w:rsid w:val="00C46FC3"/>
    <w:rsid w:val="00C474F7"/>
    <w:rsid w:val="00C47F65"/>
    <w:rsid w:val="00C51F16"/>
    <w:rsid w:val="00C577A2"/>
    <w:rsid w:val="00C601D2"/>
    <w:rsid w:val="00C635D7"/>
    <w:rsid w:val="00C639C8"/>
    <w:rsid w:val="00C650BC"/>
    <w:rsid w:val="00C65BCC"/>
    <w:rsid w:val="00C66970"/>
    <w:rsid w:val="00C669F5"/>
    <w:rsid w:val="00C742F2"/>
    <w:rsid w:val="00C74B08"/>
    <w:rsid w:val="00C74CA3"/>
    <w:rsid w:val="00C74D18"/>
    <w:rsid w:val="00C7702D"/>
    <w:rsid w:val="00C779EA"/>
    <w:rsid w:val="00C80E5D"/>
    <w:rsid w:val="00C826BD"/>
    <w:rsid w:val="00C8691C"/>
    <w:rsid w:val="00C86979"/>
    <w:rsid w:val="00C927C0"/>
    <w:rsid w:val="00C92D13"/>
    <w:rsid w:val="00C932EC"/>
    <w:rsid w:val="00C9782D"/>
    <w:rsid w:val="00CA168A"/>
    <w:rsid w:val="00CA357E"/>
    <w:rsid w:val="00CA44F9"/>
    <w:rsid w:val="00CA4A69"/>
    <w:rsid w:val="00CA7329"/>
    <w:rsid w:val="00CB2CB7"/>
    <w:rsid w:val="00CB786F"/>
    <w:rsid w:val="00CC1EC0"/>
    <w:rsid w:val="00CC3318"/>
    <w:rsid w:val="00CC3E0C"/>
    <w:rsid w:val="00CC4836"/>
    <w:rsid w:val="00CC58D3"/>
    <w:rsid w:val="00CC6947"/>
    <w:rsid w:val="00CC784D"/>
    <w:rsid w:val="00CD5B3B"/>
    <w:rsid w:val="00CD64FC"/>
    <w:rsid w:val="00CE136C"/>
    <w:rsid w:val="00CE1620"/>
    <w:rsid w:val="00CE1A5B"/>
    <w:rsid w:val="00CE34B0"/>
    <w:rsid w:val="00CE3CD1"/>
    <w:rsid w:val="00CE4039"/>
    <w:rsid w:val="00CE7023"/>
    <w:rsid w:val="00CF0D98"/>
    <w:rsid w:val="00CF0DDE"/>
    <w:rsid w:val="00CF19D7"/>
    <w:rsid w:val="00CF5474"/>
    <w:rsid w:val="00CF5EA0"/>
    <w:rsid w:val="00D001CC"/>
    <w:rsid w:val="00D01B62"/>
    <w:rsid w:val="00D0337B"/>
    <w:rsid w:val="00D035BD"/>
    <w:rsid w:val="00D05AF9"/>
    <w:rsid w:val="00D06C2A"/>
    <w:rsid w:val="00D0795B"/>
    <w:rsid w:val="00D079B2"/>
    <w:rsid w:val="00D114E9"/>
    <w:rsid w:val="00D123E3"/>
    <w:rsid w:val="00D12CFB"/>
    <w:rsid w:val="00D16BFA"/>
    <w:rsid w:val="00D2341D"/>
    <w:rsid w:val="00D26AF6"/>
    <w:rsid w:val="00D319DE"/>
    <w:rsid w:val="00D31AD4"/>
    <w:rsid w:val="00D33CEB"/>
    <w:rsid w:val="00D33E23"/>
    <w:rsid w:val="00D40BD2"/>
    <w:rsid w:val="00D40F7E"/>
    <w:rsid w:val="00D4164A"/>
    <w:rsid w:val="00D429C6"/>
    <w:rsid w:val="00D4495A"/>
    <w:rsid w:val="00D44BC9"/>
    <w:rsid w:val="00D45661"/>
    <w:rsid w:val="00D46881"/>
    <w:rsid w:val="00D47748"/>
    <w:rsid w:val="00D5273D"/>
    <w:rsid w:val="00D54CC3"/>
    <w:rsid w:val="00D5538B"/>
    <w:rsid w:val="00D57661"/>
    <w:rsid w:val="00D57C18"/>
    <w:rsid w:val="00D60193"/>
    <w:rsid w:val="00D6041A"/>
    <w:rsid w:val="00D60ED8"/>
    <w:rsid w:val="00D613D5"/>
    <w:rsid w:val="00D633EB"/>
    <w:rsid w:val="00D6375C"/>
    <w:rsid w:val="00D63C9F"/>
    <w:rsid w:val="00D65453"/>
    <w:rsid w:val="00D6575B"/>
    <w:rsid w:val="00D65F39"/>
    <w:rsid w:val="00D66B01"/>
    <w:rsid w:val="00D71080"/>
    <w:rsid w:val="00D7119D"/>
    <w:rsid w:val="00D7447C"/>
    <w:rsid w:val="00D7509E"/>
    <w:rsid w:val="00D752E6"/>
    <w:rsid w:val="00D7653F"/>
    <w:rsid w:val="00D76B3D"/>
    <w:rsid w:val="00D8057C"/>
    <w:rsid w:val="00D82FF7"/>
    <w:rsid w:val="00D83623"/>
    <w:rsid w:val="00D847FE"/>
    <w:rsid w:val="00D87521"/>
    <w:rsid w:val="00D91A22"/>
    <w:rsid w:val="00D921EC"/>
    <w:rsid w:val="00D93BEE"/>
    <w:rsid w:val="00D95555"/>
    <w:rsid w:val="00D964EA"/>
    <w:rsid w:val="00D966D0"/>
    <w:rsid w:val="00D976A4"/>
    <w:rsid w:val="00DA03D4"/>
    <w:rsid w:val="00DA0C59"/>
    <w:rsid w:val="00DA3991"/>
    <w:rsid w:val="00DB23D6"/>
    <w:rsid w:val="00DB3228"/>
    <w:rsid w:val="00DB3364"/>
    <w:rsid w:val="00DB5540"/>
    <w:rsid w:val="00DB76DC"/>
    <w:rsid w:val="00DB7E6C"/>
    <w:rsid w:val="00DC06F8"/>
    <w:rsid w:val="00DC1383"/>
    <w:rsid w:val="00DC48C4"/>
    <w:rsid w:val="00DC5982"/>
    <w:rsid w:val="00DC6B15"/>
    <w:rsid w:val="00DC7633"/>
    <w:rsid w:val="00DD17A2"/>
    <w:rsid w:val="00DD2244"/>
    <w:rsid w:val="00DD5854"/>
    <w:rsid w:val="00DD5A29"/>
    <w:rsid w:val="00DD5D9D"/>
    <w:rsid w:val="00DD5DE5"/>
    <w:rsid w:val="00DE1540"/>
    <w:rsid w:val="00DE35CB"/>
    <w:rsid w:val="00DE373A"/>
    <w:rsid w:val="00DE47D1"/>
    <w:rsid w:val="00DE49CF"/>
    <w:rsid w:val="00DF14C9"/>
    <w:rsid w:val="00DF193A"/>
    <w:rsid w:val="00DF21E9"/>
    <w:rsid w:val="00DF3231"/>
    <w:rsid w:val="00DF3F46"/>
    <w:rsid w:val="00DF5A98"/>
    <w:rsid w:val="00DF6666"/>
    <w:rsid w:val="00DF7763"/>
    <w:rsid w:val="00E00F14"/>
    <w:rsid w:val="00E0176F"/>
    <w:rsid w:val="00E03A86"/>
    <w:rsid w:val="00E06281"/>
    <w:rsid w:val="00E06386"/>
    <w:rsid w:val="00E07A84"/>
    <w:rsid w:val="00E11490"/>
    <w:rsid w:val="00E12819"/>
    <w:rsid w:val="00E22F8B"/>
    <w:rsid w:val="00E24148"/>
    <w:rsid w:val="00E24EB4"/>
    <w:rsid w:val="00E26197"/>
    <w:rsid w:val="00E312DA"/>
    <w:rsid w:val="00E320ED"/>
    <w:rsid w:val="00E32163"/>
    <w:rsid w:val="00E3264D"/>
    <w:rsid w:val="00E3362A"/>
    <w:rsid w:val="00E33AFB"/>
    <w:rsid w:val="00E33B2F"/>
    <w:rsid w:val="00E33C4D"/>
    <w:rsid w:val="00E34218"/>
    <w:rsid w:val="00E34AD0"/>
    <w:rsid w:val="00E4102A"/>
    <w:rsid w:val="00E41790"/>
    <w:rsid w:val="00E42C02"/>
    <w:rsid w:val="00E436A1"/>
    <w:rsid w:val="00E45222"/>
    <w:rsid w:val="00E46282"/>
    <w:rsid w:val="00E46680"/>
    <w:rsid w:val="00E46BD4"/>
    <w:rsid w:val="00E51778"/>
    <w:rsid w:val="00E5216E"/>
    <w:rsid w:val="00E5381D"/>
    <w:rsid w:val="00E54486"/>
    <w:rsid w:val="00E5614E"/>
    <w:rsid w:val="00E57BDE"/>
    <w:rsid w:val="00E61644"/>
    <w:rsid w:val="00E6188F"/>
    <w:rsid w:val="00E63050"/>
    <w:rsid w:val="00E64AA4"/>
    <w:rsid w:val="00E70162"/>
    <w:rsid w:val="00E72650"/>
    <w:rsid w:val="00E72ADB"/>
    <w:rsid w:val="00E73B55"/>
    <w:rsid w:val="00E74249"/>
    <w:rsid w:val="00E772CE"/>
    <w:rsid w:val="00E81A6A"/>
    <w:rsid w:val="00E81AAC"/>
    <w:rsid w:val="00E82344"/>
    <w:rsid w:val="00E82CF5"/>
    <w:rsid w:val="00E8451E"/>
    <w:rsid w:val="00E84C82"/>
    <w:rsid w:val="00E84D00"/>
    <w:rsid w:val="00E84D3F"/>
    <w:rsid w:val="00E84D64"/>
    <w:rsid w:val="00E867D6"/>
    <w:rsid w:val="00E87408"/>
    <w:rsid w:val="00E914C4"/>
    <w:rsid w:val="00E91641"/>
    <w:rsid w:val="00E934F5"/>
    <w:rsid w:val="00E93C21"/>
    <w:rsid w:val="00E96961"/>
    <w:rsid w:val="00E9704D"/>
    <w:rsid w:val="00EA72EC"/>
    <w:rsid w:val="00EB11CB"/>
    <w:rsid w:val="00EB275A"/>
    <w:rsid w:val="00EB3EFE"/>
    <w:rsid w:val="00EB612A"/>
    <w:rsid w:val="00EB786A"/>
    <w:rsid w:val="00EC1578"/>
    <w:rsid w:val="00EC1C72"/>
    <w:rsid w:val="00EC2B5A"/>
    <w:rsid w:val="00EC3CC9"/>
    <w:rsid w:val="00EC680A"/>
    <w:rsid w:val="00EC7195"/>
    <w:rsid w:val="00ED078F"/>
    <w:rsid w:val="00ED2E5F"/>
    <w:rsid w:val="00ED30FF"/>
    <w:rsid w:val="00ED5E53"/>
    <w:rsid w:val="00ED7F5E"/>
    <w:rsid w:val="00EE13B6"/>
    <w:rsid w:val="00EE2BED"/>
    <w:rsid w:val="00EE374B"/>
    <w:rsid w:val="00EE40ED"/>
    <w:rsid w:val="00EE4F04"/>
    <w:rsid w:val="00EF0996"/>
    <w:rsid w:val="00EF267A"/>
    <w:rsid w:val="00EF3833"/>
    <w:rsid w:val="00F040AE"/>
    <w:rsid w:val="00F10C54"/>
    <w:rsid w:val="00F11BB5"/>
    <w:rsid w:val="00F1417B"/>
    <w:rsid w:val="00F1513D"/>
    <w:rsid w:val="00F158AA"/>
    <w:rsid w:val="00F16C52"/>
    <w:rsid w:val="00F27A46"/>
    <w:rsid w:val="00F30291"/>
    <w:rsid w:val="00F304DF"/>
    <w:rsid w:val="00F30681"/>
    <w:rsid w:val="00F32FF0"/>
    <w:rsid w:val="00F34B99"/>
    <w:rsid w:val="00F36E91"/>
    <w:rsid w:val="00F37453"/>
    <w:rsid w:val="00F379EA"/>
    <w:rsid w:val="00F429F5"/>
    <w:rsid w:val="00F45923"/>
    <w:rsid w:val="00F46438"/>
    <w:rsid w:val="00F47177"/>
    <w:rsid w:val="00F47ECD"/>
    <w:rsid w:val="00F52DAB"/>
    <w:rsid w:val="00F53714"/>
    <w:rsid w:val="00F543F0"/>
    <w:rsid w:val="00F55F2E"/>
    <w:rsid w:val="00F61034"/>
    <w:rsid w:val="00F61DAA"/>
    <w:rsid w:val="00F620CB"/>
    <w:rsid w:val="00F642F4"/>
    <w:rsid w:val="00F71A07"/>
    <w:rsid w:val="00F76E9E"/>
    <w:rsid w:val="00F805E4"/>
    <w:rsid w:val="00F81D29"/>
    <w:rsid w:val="00F838E2"/>
    <w:rsid w:val="00F83D7F"/>
    <w:rsid w:val="00F848FF"/>
    <w:rsid w:val="00F84F4C"/>
    <w:rsid w:val="00F856DB"/>
    <w:rsid w:val="00F87C55"/>
    <w:rsid w:val="00F91C4D"/>
    <w:rsid w:val="00F92FD9"/>
    <w:rsid w:val="00F941FE"/>
    <w:rsid w:val="00FA082F"/>
    <w:rsid w:val="00FA198C"/>
    <w:rsid w:val="00FA492D"/>
    <w:rsid w:val="00FA6684"/>
    <w:rsid w:val="00FA731E"/>
    <w:rsid w:val="00FA7504"/>
    <w:rsid w:val="00FB2B38"/>
    <w:rsid w:val="00FB41B4"/>
    <w:rsid w:val="00FC1020"/>
    <w:rsid w:val="00FC187A"/>
    <w:rsid w:val="00FC272C"/>
    <w:rsid w:val="00FC308D"/>
    <w:rsid w:val="00FC3ECB"/>
    <w:rsid w:val="00FC433C"/>
    <w:rsid w:val="00FC6358"/>
    <w:rsid w:val="00FC655E"/>
    <w:rsid w:val="00FC67DD"/>
    <w:rsid w:val="00FC7898"/>
    <w:rsid w:val="00FC7E52"/>
    <w:rsid w:val="00FD320D"/>
    <w:rsid w:val="00FD6216"/>
    <w:rsid w:val="00FD6FB6"/>
    <w:rsid w:val="00FE23DE"/>
    <w:rsid w:val="00FE52EE"/>
    <w:rsid w:val="00FF3744"/>
    <w:rsid w:val="00FF46F8"/>
    <w:rsid w:val="00FF49AC"/>
    <w:rsid w:val="00FF544B"/>
    <w:rsid w:val="00FF62C6"/>
    <w:rsid w:val="078C3B4D"/>
    <w:rsid w:val="0902073E"/>
    <w:rsid w:val="09A12B8C"/>
    <w:rsid w:val="0BED4866"/>
    <w:rsid w:val="0F3A02FC"/>
    <w:rsid w:val="104D363A"/>
    <w:rsid w:val="119F0F93"/>
    <w:rsid w:val="12F07C5E"/>
    <w:rsid w:val="1387377D"/>
    <w:rsid w:val="168F5034"/>
    <w:rsid w:val="190F665C"/>
    <w:rsid w:val="1DEE0D1B"/>
    <w:rsid w:val="1F184CA4"/>
    <w:rsid w:val="1F801921"/>
    <w:rsid w:val="1FED0074"/>
    <w:rsid w:val="2200263C"/>
    <w:rsid w:val="264518BB"/>
    <w:rsid w:val="2D1A6F83"/>
    <w:rsid w:val="30E348B7"/>
    <w:rsid w:val="3D636E04"/>
    <w:rsid w:val="3EF33F83"/>
    <w:rsid w:val="40B13CFA"/>
    <w:rsid w:val="43860454"/>
    <w:rsid w:val="4763327A"/>
    <w:rsid w:val="47886AE8"/>
    <w:rsid w:val="483F7C56"/>
    <w:rsid w:val="4B797820"/>
    <w:rsid w:val="4C065C03"/>
    <w:rsid w:val="58743AF9"/>
    <w:rsid w:val="61BE45DF"/>
    <w:rsid w:val="623E4704"/>
    <w:rsid w:val="629A5168"/>
    <w:rsid w:val="687321DB"/>
    <w:rsid w:val="689D21BA"/>
    <w:rsid w:val="6B1E050B"/>
    <w:rsid w:val="6D870E62"/>
    <w:rsid w:val="718740A7"/>
    <w:rsid w:val="73EE5154"/>
    <w:rsid w:val="75F5310B"/>
    <w:rsid w:val="794B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qFormat="1" w:unhideWhenUsed="0" w:uiPriority="99" w:name="endnote reference"/>
    <w:lsdException w:qFormat="1" w:unhideWhenUsed="0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4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3"/>
    <w:semiHidden/>
    <w:unhideWhenUsed/>
    <w:qFormat/>
    <w:locked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36">
    <w:name w:val="Default Paragraph Font"/>
    <w:semiHidden/>
    <w:unhideWhenUsed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semiHidden/>
    <w:qFormat/>
    <w:uiPriority w:val="99"/>
    <w:pPr>
      <w:tabs>
        <w:tab w:val="right" w:leader="dot" w:pos="9241"/>
      </w:tabs>
      <w:ind w:firstLine="505" w:firstLineChars="500"/>
      <w:jc w:val="left"/>
    </w:pPr>
    <w:rPr>
      <w:rFonts w:ascii="宋体"/>
      <w:szCs w:val="21"/>
    </w:rPr>
  </w:style>
  <w:style w:type="paragraph" w:styleId="5">
    <w:name w:val="index 8"/>
    <w:basedOn w:val="1"/>
    <w:next w:val="1"/>
    <w:qFormat/>
    <w:uiPriority w:val="9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6">
    <w:name w:val="caption"/>
    <w:basedOn w:val="1"/>
    <w:next w:val="1"/>
    <w:qFormat/>
    <w:uiPriority w:val="99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7">
    <w:name w:val="index 5"/>
    <w:basedOn w:val="1"/>
    <w:next w:val="1"/>
    <w:qFormat/>
    <w:uiPriority w:val="9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8">
    <w:name w:val="Document Map"/>
    <w:basedOn w:val="1"/>
    <w:link w:val="45"/>
    <w:semiHidden/>
    <w:qFormat/>
    <w:uiPriority w:val="99"/>
    <w:pPr>
      <w:shd w:val="clear" w:color="auto" w:fill="000080"/>
    </w:pPr>
  </w:style>
  <w:style w:type="paragraph" w:styleId="9">
    <w:name w:val="annotation text"/>
    <w:basedOn w:val="1"/>
    <w:link w:val="46"/>
    <w:qFormat/>
    <w:uiPriority w:val="99"/>
    <w:pPr>
      <w:jc w:val="left"/>
    </w:pPr>
  </w:style>
  <w:style w:type="paragraph" w:styleId="10">
    <w:name w:val="index 6"/>
    <w:basedOn w:val="1"/>
    <w:next w:val="1"/>
    <w:qFormat/>
    <w:uiPriority w:val="9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1">
    <w:name w:val="Body Text"/>
    <w:basedOn w:val="1"/>
    <w:link w:val="47"/>
    <w:qFormat/>
    <w:uiPriority w:val="99"/>
    <w:rPr>
      <w:rFonts w:ascii="宋体" w:hAnsi="宋体" w:cs="宋体"/>
      <w:szCs w:val="21"/>
      <w:lang w:val="ca-ES" w:eastAsia="ca-ES"/>
    </w:rPr>
  </w:style>
  <w:style w:type="paragraph" w:styleId="12">
    <w:name w:val="index 4"/>
    <w:basedOn w:val="1"/>
    <w:next w:val="1"/>
    <w:qFormat/>
    <w:uiPriority w:val="9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3">
    <w:name w:val="toc 5"/>
    <w:basedOn w:val="1"/>
    <w:next w:val="1"/>
    <w:semiHidden/>
    <w:qFormat/>
    <w:uiPriority w:val="99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4">
    <w:name w:val="toc 3"/>
    <w:basedOn w:val="1"/>
    <w:next w:val="1"/>
    <w:qFormat/>
    <w:uiPriority w:val="99"/>
    <w:pPr>
      <w:tabs>
        <w:tab w:val="right" w:leader="dot" w:pos="9241"/>
      </w:tabs>
      <w:ind w:firstLine="102" w:firstLineChars="100"/>
      <w:jc w:val="left"/>
    </w:pPr>
    <w:rPr>
      <w:rFonts w:ascii="宋体"/>
      <w:szCs w:val="21"/>
    </w:rPr>
  </w:style>
  <w:style w:type="paragraph" w:styleId="15">
    <w:name w:val="toc 8"/>
    <w:basedOn w:val="1"/>
    <w:next w:val="1"/>
    <w:semiHidden/>
    <w:qFormat/>
    <w:uiPriority w:val="99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6">
    <w:name w:val="index 3"/>
    <w:basedOn w:val="1"/>
    <w:next w:val="1"/>
    <w:qFormat/>
    <w:uiPriority w:val="9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7">
    <w:name w:val="endnote text"/>
    <w:basedOn w:val="1"/>
    <w:link w:val="48"/>
    <w:semiHidden/>
    <w:qFormat/>
    <w:uiPriority w:val="99"/>
    <w:pPr>
      <w:snapToGrid w:val="0"/>
      <w:jc w:val="left"/>
    </w:pPr>
  </w:style>
  <w:style w:type="paragraph" w:styleId="18">
    <w:name w:val="Balloon Text"/>
    <w:basedOn w:val="1"/>
    <w:link w:val="49"/>
    <w:qFormat/>
    <w:uiPriority w:val="99"/>
    <w:rPr>
      <w:sz w:val="18"/>
      <w:szCs w:val="18"/>
    </w:rPr>
  </w:style>
  <w:style w:type="paragraph" w:styleId="19">
    <w:name w:val="footer"/>
    <w:basedOn w:val="1"/>
    <w:link w:val="50"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20">
    <w:name w:val="header"/>
    <w:basedOn w:val="1"/>
    <w:link w:val="51"/>
    <w:qFormat/>
    <w:uiPriority w:val="99"/>
    <w:pPr>
      <w:snapToGrid w:val="0"/>
      <w:jc w:val="left"/>
    </w:pPr>
    <w:rPr>
      <w:sz w:val="18"/>
      <w:szCs w:val="18"/>
    </w:rPr>
  </w:style>
  <w:style w:type="paragraph" w:styleId="21">
    <w:name w:val="toc 1"/>
    <w:basedOn w:val="1"/>
    <w:next w:val="1"/>
    <w:qFormat/>
    <w:uiPriority w:val="99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22">
    <w:name w:val="toc 4"/>
    <w:basedOn w:val="1"/>
    <w:next w:val="1"/>
    <w:qFormat/>
    <w:uiPriority w:val="99"/>
    <w:pPr>
      <w:tabs>
        <w:tab w:val="right" w:leader="dot" w:pos="9241"/>
      </w:tabs>
      <w:ind w:firstLine="198" w:firstLineChars="200"/>
      <w:jc w:val="left"/>
    </w:pPr>
    <w:rPr>
      <w:rFonts w:ascii="宋体"/>
      <w:szCs w:val="21"/>
    </w:rPr>
  </w:style>
  <w:style w:type="paragraph" w:styleId="23">
    <w:name w:val="index heading"/>
    <w:basedOn w:val="1"/>
    <w:next w:val="24"/>
    <w:qFormat/>
    <w:uiPriority w:val="9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4">
    <w:name w:val="index 1"/>
    <w:basedOn w:val="1"/>
    <w:next w:val="25"/>
    <w:qFormat/>
    <w:uiPriority w:val="99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5">
    <w:name w:val="段"/>
    <w:link w:val="5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6">
    <w:name w:val="footnote text"/>
    <w:basedOn w:val="1"/>
    <w:link w:val="52"/>
    <w:qFormat/>
    <w:uiPriority w:val="99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7">
    <w:name w:val="toc 6"/>
    <w:basedOn w:val="1"/>
    <w:next w:val="1"/>
    <w:semiHidden/>
    <w:qFormat/>
    <w:uiPriority w:val="99"/>
    <w:pPr>
      <w:tabs>
        <w:tab w:val="right" w:leader="dot" w:pos="9241"/>
      </w:tabs>
      <w:ind w:firstLine="403" w:firstLineChars="400"/>
      <w:jc w:val="left"/>
    </w:pPr>
    <w:rPr>
      <w:rFonts w:ascii="宋体"/>
      <w:szCs w:val="21"/>
    </w:rPr>
  </w:style>
  <w:style w:type="paragraph" w:styleId="28">
    <w:name w:val="index 7"/>
    <w:basedOn w:val="1"/>
    <w:next w:val="1"/>
    <w:qFormat/>
    <w:uiPriority w:val="9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9">
    <w:name w:val="index 9"/>
    <w:basedOn w:val="1"/>
    <w:next w:val="1"/>
    <w:qFormat/>
    <w:uiPriority w:val="9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0">
    <w:name w:val="toc 2"/>
    <w:basedOn w:val="1"/>
    <w:next w:val="1"/>
    <w:semiHidden/>
    <w:qFormat/>
    <w:uiPriority w:val="99"/>
    <w:pPr>
      <w:tabs>
        <w:tab w:val="right" w:leader="dot" w:pos="9241"/>
      </w:tabs>
    </w:pPr>
    <w:rPr>
      <w:rFonts w:ascii="宋体"/>
      <w:szCs w:val="21"/>
    </w:rPr>
  </w:style>
  <w:style w:type="paragraph" w:styleId="31">
    <w:name w:val="toc 9"/>
    <w:basedOn w:val="1"/>
    <w:next w:val="1"/>
    <w:semiHidden/>
    <w:qFormat/>
    <w:uiPriority w:val="99"/>
    <w:pPr>
      <w:ind w:left="1470"/>
      <w:jc w:val="left"/>
    </w:pPr>
    <w:rPr>
      <w:sz w:val="20"/>
      <w:szCs w:val="20"/>
    </w:rPr>
  </w:style>
  <w:style w:type="paragraph" w:styleId="32">
    <w:name w:val="index 2"/>
    <w:basedOn w:val="1"/>
    <w:next w:val="1"/>
    <w:qFormat/>
    <w:uiPriority w:val="9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3">
    <w:name w:val="annotation subject"/>
    <w:basedOn w:val="9"/>
    <w:next w:val="9"/>
    <w:link w:val="152"/>
    <w:semiHidden/>
    <w:unhideWhenUsed/>
    <w:qFormat/>
    <w:uiPriority w:val="99"/>
    <w:rPr>
      <w:b/>
      <w:bCs/>
    </w:rPr>
  </w:style>
  <w:style w:type="table" w:styleId="35">
    <w:name w:val="Table Grid"/>
    <w:basedOn w:val="34"/>
    <w:qFormat/>
    <w:uiPriority w:val="5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7">
    <w:name w:val="endnote reference"/>
    <w:basedOn w:val="36"/>
    <w:semiHidden/>
    <w:qFormat/>
    <w:uiPriority w:val="99"/>
    <w:rPr>
      <w:rFonts w:cs="Times New Roman"/>
      <w:vertAlign w:val="superscript"/>
    </w:rPr>
  </w:style>
  <w:style w:type="character" w:styleId="38">
    <w:name w:val="page number"/>
    <w:basedOn w:val="36"/>
    <w:qFormat/>
    <w:uiPriority w:val="99"/>
    <w:rPr>
      <w:rFonts w:ascii="Times New Roman" w:hAnsi="Times New Roman" w:eastAsia="宋体" w:cs="Times New Roman"/>
      <w:sz w:val="18"/>
    </w:rPr>
  </w:style>
  <w:style w:type="character" w:styleId="39">
    <w:name w:val="FollowedHyperlink"/>
    <w:basedOn w:val="36"/>
    <w:qFormat/>
    <w:uiPriority w:val="99"/>
    <w:rPr>
      <w:rFonts w:cs="Times New Roman"/>
      <w:color w:val="800080"/>
      <w:u w:val="single"/>
    </w:rPr>
  </w:style>
  <w:style w:type="character" w:styleId="40">
    <w:name w:val="Emphasis"/>
    <w:basedOn w:val="36"/>
    <w:qFormat/>
    <w:uiPriority w:val="99"/>
    <w:rPr>
      <w:rFonts w:cs="Times New Roman"/>
      <w:i/>
    </w:rPr>
  </w:style>
  <w:style w:type="character" w:styleId="41">
    <w:name w:val="Hyperlink"/>
    <w:basedOn w:val="36"/>
    <w:qFormat/>
    <w:uiPriority w:val="99"/>
    <w:rPr>
      <w:rFonts w:cs="Times New Roman"/>
      <w:color w:val="0000FF"/>
      <w:spacing w:val="0"/>
      <w:w w:val="100"/>
      <w:sz w:val="21"/>
      <w:u w:val="single"/>
    </w:rPr>
  </w:style>
  <w:style w:type="character" w:styleId="42">
    <w:name w:val="annotation reference"/>
    <w:basedOn w:val="36"/>
    <w:qFormat/>
    <w:uiPriority w:val="99"/>
    <w:rPr>
      <w:rFonts w:cs="Times New Roman"/>
      <w:sz w:val="21"/>
    </w:rPr>
  </w:style>
  <w:style w:type="character" w:styleId="43">
    <w:name w:val="footnote reference"/>
    <w:basedOn w:val="36"/>
    <w:semiHidden/>
    <w:qFormat/>
    <w:uiPriority w:val="99"/>
    <w:rPr>
      <w:rFonts w:cs="Times New Roman"/>
      <w:vertAlign w:val="superscript"/>
    </w:rPr>
  </w:style>
  <w:style w:type="character" w:customStyle="1" w:styleId="44">
    <w:name w:val="标题 1 字符"/>
    <w:basedOn w:val="36"/>
    <w:link w:val="2"/>
    <w:qFormat/>
    <w:locked/>
    <w:uiPriority w:val="99"/>
    <w:rPr>
      <w:b/>
      <w:kern w:val="44"/>
      <w:sz w:val="44"/>
    </w:rPr>
  </w:style>
  <w:style w:type="character" w:customStyle="1" w:styleId="45">
    <w:name w:val="文档结构图 字符"/>
    <w:basedOn w:val="36"/>
    <w:link w:val="8"/>
    <w:semiHidden/>
    <w:qFormat/>
    <w:uiPriority w:val="99"/>
    <w:rPr>
      <w:sz w:val="0"/>
      <w:szCs w:val="0"/>
    </w:rPr>
  </w:style>
  <w:style w:type="character" w:customStyle="1" w:styleId="46">
    <w:name w:val="批注文字 字符"/>
    <w:basedOn w:val="36"/>
    <w:link w:val="9"/>
    <w:qFormat/>
    <w:locked/>
    <w:uiPriority w:val="99"/>
    <w:rPr>
      <w:kern w:val="2"/>
      <w:sz w:val="24"/>
    </w:rPr>
  </w:style>
  <w:style w:type="character" w:customStyle="1" w:styleId="47">
    <w:name w:val="正文文本 字符"/>
    <w:basedOn w:val="36"/>
    <w:link w:val="11"/>
    <w:semiHidden/>
    <w:qFormat/>
    <w:uiPriority w:val="99"/>
    <w:rPr>
      <w:szCs w:val="24"/>
    </w:rPr>
  </w:style>
  <w:style w:type="character" w:customStyle="1" w:styleId="48">
    <w:name w:val="尾注文本 字符"/>
    <w:basedOn w:val="36"/>
    <w:link w:val="17"/>
    <w:semiHidden/>
    <w:qFormat/>
    <w:uiPriority w:val="99"/>
    <w:rPr>
      <w:szCs w:val="24"/>
    </w:rPr>
  </w:style>
  <w:style w:type="character" w:customStyle="1" w:styleId="49">
    <w:name w:val="批注框文本 字符"/>
    <w:basedOn w:val="36"/>
    <w:link w:val="18"/>
    <w:qFormat/>
    <w:locked/>
    <w:uiPriority w:val="99"/>
    <w:rPr>
      <w:kern w:val="2"/>
      <w:sz w:val="18"/>
    </w:rPr>
  </w:style>
  <w:style w:type="character" w:customStyle="1" w:styleId="50">
    <w:name w:val="页脚 字符"/>
    <w:basedOn w:val="36"/>
    <w:link w:val="19"/>
    <w:semiHidden/>
    <w:qFormat/>
    <w:uiPriority w:val="99"/>
    <w:rPr>
      <w:sz w:val="18"/>
      <w:szCs w:val="18"/>
    </w:rPr>
  </w:style>
  <w:style w:type="character" w:customStyle="1" w:styleId="51">
    <w:name w:val="页眉 字符"/>
    <w:basedOn w:val="36"/>
    <w:link w:val="20"/>
    <w:semiHidden/>
    <w:qFormat/>
    <w:uiPriority w:val="99"/>
    <w:rPr>
      <w:sz w:val="18"/>
      <w:szCs w:val="18"/>
    </w:rPr>
  </w:style>
  <w:style w:type="character" w:customStyle="1" w:styleId="52">
    <w:name w:val="脚注文本 字符"/>
    <w:basedOn w:val="36"/>
    <w:link w:val="26"/>
    <w:qFormat/>
    <w:uiPriority w:val="99"/>
    <w:rPr>
      <w:rFonts w:ascii="宋体"/>
      <w:kern w:val="2"/>
      <w:sz w:val="18"/>
      <w:szCs w:val="18"/>
    </w:rPr>
  </w:style>
  <w:style w:type="character" w:customStyle="1" w:styleId="53">
    <w:name w:val="段 Char"/>
    <w:link w:val="25"/>
    <w:qFormat/>
    <w:locked/>
    <w:uiPriority w:val="0"/>
    <w:rPr>
      <w:rFonts w:ascii="宋体"/>
      <w:sz w:val="21"/>
      <w:lang w:val="en-US" w:eastAsia="zh-CN"/>
    </w:rPr>
  </w:style>
  <w:style w:type="paragraph" w:customStyle="1" w:styleId="54">
    <w:name w:val="一级条标题"/>
    <w:next w:val="25"/>
    <w:qFormat/>
    <w:uiPriority w:val="99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5">
    <w:name w:val="标准书脚_奇数页"/>
    <w:qFormat/>
    <w:uiPriority w:val="99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标准书眉_奇数页"/>
    <w:next w:val="1"/>
    <w:qFormat/>
    <w:uiPriority w:val="99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7">
    <w:name w:val="章标题"/>
    <w:next w:val="25"/>
    <w:qFormat/>
    <w:uiPriority w:val="99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8">
    <w:name w:val="二级条标题"/>
    <w:basedOn w:val="54"/>
    <w:next w:val="25"/>
    <w:qFormat/>
    <w:uiPriority w:val="99"/>
    <w:pPr>
      <w:numPr>
        <w:ilvl w:val="2"/>
      </w:numPr>
      <w:spacing w:before="50" w:after="50"/>
      <w:ind w:left="567"/>
      <w:outlineLvl w:val="3"/>
    </w:pPr>
  </w:style>
  <w:style w:type="paragraph" w:customStyle="1" w:styleId="59">
    <w:name w:val="封面标准号2"/>
    <w:qFormat/>
    <w:uiPriority w:val="99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60">
    <w:name w:val="列项——（一级）"/>
    <w:qFormat/>
    <w:uiPriority w:val="99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列项●（二级）"/>
    <w:qFormat/>
    <w:uiPriority w:val="99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2">
    <w:name w:val="目次、标准名称标题"/>
    <w:basedOn w:val="1"/>
    <w:next w:val="25"/>
    <w:qFormat/>
    <w:uiPriority w:val="99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63">
    <w:name w:val="三级条标题"/>
    <w:basedOn w:val="58"/>
    <w:next w:val="25"/>
    <w:qFormat/>
    <w:uiPriority w:val="99"/>
    <w:pPr>
      <w:numPr>
        <w:ilvl w:val="3"/>
      </w:numPr>
      <w:ind w:left="0"/>
      <w:outlineLvl w:val="4"/>
    </w:pPr>
  </w:style>
  <w:style w:type="paragraph" w:customStyle="1" w:styleId="64">
    <w:name w:val="示例"/>
    <w:next w:val="65"/>
    <w:qFormat/>
    <w:uiPriority w:val="99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5">
    <w:name w:val="示例内容"/>
    <w:qFormat/>
    <w:uiPriority w:val="99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数字编号列项（二级）"/>
    <w:qFormat/>
    <w:uiPriority w:val="99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7">
    <w:name w:val="四级条标题"/>
    <w:basedOn w:val="63"/>
    <w:next w:val="25"/>
    <w:qFormat/>
    <w:uiPriority w:val="99"/>
    <w:pPr>
      <w:numPr>
        <w:ilvl w:val="4"/>
      </w:numPr>
      <w:outlineLvl w:val="5"/>
    </w:pPr>
  </w:style>
  <w:style w:type="paragraph" w:customStyle="1" w:styleId="68">
    <w:name w:val="五级条标题"/>
    <w:basedOn w:val="67"/>
    <w:next w:val="25"/>
    <w:qFormat/>
    <w:uiPriority w:val="99"/>
    <w:pPr>
      <w:numPr>
        <w:ilvl w:val="5"/>
      </w:numPr>
      <w:outlineLvl w:val="6"/>
    </w:pPr>
  </w:style>
  <w:style w:type="paragraph" w:customStyle="1" w:styleId="69">
    <w:name w:val="注："/>
    <w:next w:val="25"/>
    <w:qFormat/>
    <w:uiPriority w:val="99"/>
    <w:pPr>
      <w:widowControl w:val="0"/>
      <w:numPr>
        <w:ilvl w:val="0"/>
        <w:numId w:val="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0">
    <w:name w:val="注×："/>
    <w:qFormat/>
    <w:uiPriority w:val="99"/>
    <w:pPr>
      <w:widowControl w:val="0"/>
      <w:numPr>
        <w:ilvl w:val="0"/>
        <w:numId w:val="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1">
    <w:name w:val="字母编号列项（一级）"/>
    <w:qFormat/>
    <w:uiPriority w:val="99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2">
    <w:name w:val="列项◆（三级）"/>
    <w:basedOn w:val="1"/>
    <w:qFormat/>
    <w:uiPriority w:val="99"/>
    <w:pPr>
      <w:numPr>
        <w:ilvl w:val="2"/>
        <w:numId w:val="3"/>
      </w:numPr>
    </w:pPr>
    <w:rPr>
      <w:rFonts w:ascii="宋体"/>
      <w:szCs w:val="21"/>
    </w:rPr>
  </w:style>
  <w:style w:type="paragraph" w:customStyle="1" w:styleId="73">
    <w:name w:val="编号列项（三级）"/>
    <w:qFormat/>
    <w:uiPriority w:val="99"/>
    <w:pPr>
      <w:numPr>
        <w:ilvl w:val="2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示例×："/>
    <w:basedOn w:val="57"/>
    <w:qFormat/>
    <w:uiPriority w:val="99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75">
    <w:name w:val="二级无"/>
    <w:basedOn w:val="58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76">
    <w:name w:val="注：（正文）"/>
    <w:basedOn w:val="69"/>
    <w:next w:val="25"/>
    <w:qFormat/>
    <w:uiPriority w:val="99"/>
  </w:style>
  <w:style w:type="paragraph" w:customStyle="1" w:styleId="77">
    <w:name w:val="注×：（正文）"/>
    <w:qFormat/>
    <w:uiPriority w:val="99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8">
    <w:name w:val="标准标志"/>
    <w:next w:val="1"/>
    <w:qFormat/>
    <w:uiPriority w:val="99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24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79">
    <w:name w:val="标准称谓"/>
    <w:next w:val="1"/>
    <w:qFormat/>
    <w:uiPriority w:val="99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80">
    <w:name w:val="标准书脚_偶数页"/>
    <w:qFormat/>
    <w:uiPriority w:val="99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81">
    <w:name w:val="标准书眉_偶数页"/>
    <w:basedOn w:val="56"/>
    <w:next w:val="1"/>
    <w:qFormat/>
    <w:uiPriority w:val="99"/>
    <w:pPr>
      <w:jc w:val="left"/>
    </w:pPr>
  </w:style>
  <w:style w:type="paragraph" w:customStyle="1" w:styleId="82">
    <w:name w:val="标准书眉一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参考文献"/>
    <w:basedOn w:val="1"/>
    <w:next w:val="25"/>
    <w:qFormat/>
    <w:uiPriority w:val="9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4">
    <w:name w:val="参考文献、索引标题"/>
    <w:basedOn w:val="1"/>
    <w:next w:val="25"/>
    <w:qFormat/>
    <w:uiPriority w:val="9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85">
    <w:name w:val="发布"/>
    <w:qFormat/>
    <w:uiPriority w:val="99"/>
    <w:rPr>
      <w:rFonts w:ascii="黑体" w:eastAsia="黑体"/>
      <w:spacing w:val="85"/>
      <w:w w:val="100"/>
      <w:position w:val="3"/>
      <w:sz w:val="28"/>
    </w:rPr>
  </w:style>
  <w:style w:type="paragraph" w:customStyle="1" w:styleId="86">
    <w:name w:val="发布部门"/>
    <w:next w:val="25"/>
    <w:qFormat/>
    <w:uiPriority w:val="99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87">
    <w:name w:val="发布日期"/>
    <w:qFormat/>
    <w:uiPriority w:val="99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88">
    <w:name w:val="封面标准代替信息"/>
    <w:qFormat/>
    <w:uiPriority w:val="99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89">
    <w:name w:val="封面标准号1"/>
    <w:qFormat/>
    <w:uiPriority w:val="9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90">
    <w:name w:val="封面标准名称"/>
    <w:qFormat/>
    <w:uiPriority w:val="99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91">
    <w:name w:val="封面标准英文名称"/>
    <w:basedOn w:val="90"/>
    <w:qFormat/>
    <w:uiPriority w:val="99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92">
    <w:name w:val="封面一致性程度标识"/>
    <w:basedOn w:val="91"/>
    <w:qFormat/>
    <w:uiPriority w:val="99"/>
    <w:pPr>
      <w:framePr w:wrap="around"/>
      <w:spacing w:before="440"/>
    </w:pPr>
    <w:rPr>
      <w:rFonts w:ascii="宋体" w:eastAsia="宋体"/>
    </w:rPr>
  </w:style>
  <w:style w:type="paragraph" w:customStyle="1" w:styleId="93">
    <w:name w:val="封面标准文稿类别"/>
    <w:basedOn w:val="92"/>
    <w:qFormat/>
    <w:uiPriority w:val="99"/>
    <w:pPr>
      <w:framePr w:wrap="around"/>
      <w:spacing w:after="160" w:line="240" w:lineRule="auto"/>
    </w:pPr>
    <w:rPr>
      <w:sz w:val="24"/>
    </w:rPr>
  </w:style>
  <w:style w:type="paragraph" w:customStyle="1" w:styleId="94">
    <w:name w:val="封面标准文稿编辑信息"/>
    <w:basedOn w:val="93"/>
    <w:qFormat/>
    <w:uiPriority w:val="99"/>
    <w:pPr>
      <w:framePr w:wrap="around"/>
      <w:spacing w:before="180" w:line="180" w:lineRule="exact"/>
    </w:pPr>
    <w:rPr>
      <w:sz w:val="21"/>
    </w:rPr>
  </w:style>
  <w:style w:type="paragraph" w:customStyle="1" w:styleId="95">
    <w:name w:val="封面正文"/>
    <w:qFormat/>
    <w:uiPriority w:val="99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6">
    <w:name w:val="附录标识"/>
    <w:basedOn w:val="1"/>
    <w:next w:val="25"/>
    <w:qFormat/>
    <w:uiPriority w:val="99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97">
    <w:name w:val="附录标题"/>
    <w:basedOn w:val="25"/>
    <w:next w:val="25"/>
    <w:qFormat/>
    <w:uiPriority w:val="99"/>
    <w:pPr>
      <w:ind w:firstLine="0" w:firstLineChars="0"/>
      <w:jc w:val="center"/>
    </w:pPr>
    <w:rPr>
      <w:rFonts w:ascii="黑体" w:eastAsia="黑体"/>
    </w:rPr>
  </w:style>
  <w:style w:type="paragraph" w:customStyle="1" w:styleId="98">
    <w:name w:val="附录表标号"/>
    <w:basedOn w:val="1"/>
    <w:next w:val="25"/>
    <w:qFormat/>
    <w:uiPriority w:val="99"/>
    <w:pPr>
      <w:numPr>
        <w:ilvl w:val="0"/>
        <w:numId w:val="1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99">
    <w:name w:val="附录表标题"/>
    <w:basedOn w:val="1"/>
    <w:next w:val="25"/>
    <w:qFormat/>
    <w:uiPriority w:val="99"/>
    <w:pPr>
      <w:numPr>
        <w:ilvl w:val="1"/>
        <w:numId w:val="11"/>
      </w:num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100">
    <w:name w:val="附录二级条标题"/>
    <w:basedOn w:val="1"/>
    <w:next w:val="25"/>
    <w:qFormat/>
    <w:uiPriority w:val="99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01">
    <w:name w:val="附录二级无"/>
    <w:basedOn w:val="100"/>
    <w:qFormat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2">
    <w:name w:val="附录公式"/>
    <w:basedOn w:val="25"/>
    <w:next w:val="25"/>
    <w:link w:val="103"/>
    <w:qFormat/>
    <w:uiPriority w:val="99"/>
  </w:style>
  <w:style w:type="character" w:customStyle="1" w:styleId="103">
    <w:name w:val="附录公式 Char"/>
    <w:basedOn w:val="53"/>
    <w:link w:val="102"/>
    <w:qFormat/>
    <w:locked/>
    <w:uiPriority w:val="99"/>
    <w:rPr>
      <w:rFonts w:ascii="宋体" w:cs="Times New Roman"/>
      <w:sz w:val="21"/>
      <w:lang w:val="en-US" w:eastAsia="zh-CN" w:bidi="ar-SA"/>
    </w:rPr>
  </w:style>
  <w:style w:type="paragraph" w:customStyle="1" w:styleId="104">
    <w:name w:val="附录公式编号制表符"/>
    <w:basedOn w:val="1"/>
    <w:next w:val="25"/>
    <w:qFormat/>
    <w:uiPriority w:val="99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05">
    <w:name w:val="附录三级条标题"/>
    <w:basedOn w:val="100"/>
    <w:next w:val="25"/>
    <w:qFormat/>
    <w:uiPriority w:val="99"/>
    <w:pPr>
      <w:numPr>
        <w:ilvl w:val="4"/>
      </w:numPr>
      <w:outlineLvl w:val="4"/>
    </w:pPr>
  </w:style>
  <w:style w:type="paragraph" w:customStyle="1" w:styleId="106">
    <w:name w:val="附录三级无"/>
    <w:basedOn w:val="105"/>
    <w:qFormat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7">
    <w:name w:val="附录数字编号列项（二级）"/>
    <w:qFormat/>
    <w:uiPriority w:val="99"/>
    <w:pPr>
      <w:numPr>
        <w:ilvl w:val="1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8">
    <w:name w:val="附录四级条标题"/>
    <w:basedOn w:val="105"/>
    <w:next w:val="25"/>
    <w:qFormat/>
    <w:uiPriority w:val="99"/>
    <w:pPr>
      <w:numPr>
        <w:ilvl w:val="5"/>
      </w:numPr>
      <w:outlineLvl w:val="5"/>
    </w:pPr>
  </w:style>
  <w:style w:type="paragraph" w:customStyle="1" w:styleId="109">
    <w:name w:val="附录四级无"/>
    <w:basedOn w:val="108"/>
    <w:qFormat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10">
    <w:name w:val="附录图标号"/>
    <w:basedOn w:val="1"/>
    <w:qFormat/>
    <w:uiPriority w:val="99"/>
    <w:pPr>
      <w:keepNext/>
      <w:pageBreakBefore/>
      <w:widowControl/>
      <w:numPr>
        <w:ilvl w:val="0"/>
        <w:numId w:val="13"/>
      </w:numPr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111">
    <w:name w:val="附录图标题"/>
    <w:basedOn w:val="1"/>
    <w:next w:val="25"/>
    <w:qFormat/>
    <w:uiPriority w:val="99"/>
    <w:pPr>
      <w:numPr>
        <w:ilvl w:val="1"/>
        <w:numId w:val="13"/>
      </w:num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112">
    <w:name w:val="附录五级条标题"/>
    <w:basedOn w:val="108"/>
    <w:next w:val="25"/>
    <w:qFormat/>
    <w:uiPriority w:val="99"/>
    <w:pPr>
      <w:numPr>
        <w:ilvl w:val="6"/>
      </w:numPr>
      <w:outlineLvl w:val="6"/>
    </w:pPr>
  </w:style>
  <w:style w:type="paragraph" w:customStyle="1" w:styleId="113">
    <w:name w:val="附录五级无"/>
    <w:basedOn w:val="112"/>
    <w:qFormat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14">
    <w:name w:val="附录章标题"/>
    <w:next w:val="25"/>
    <w:qFormat/>
    <w:uiPriority w:val="99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15">
    <w:name w:val="附录一级条标题"/>
    <w:basedOn w:val="114"/>
    <w:next w:val="25"/>
    <w:qFormat/>
    <w:uiPriority w:val="99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16">
    <w:name w:val="附录一级无"/>
    <w:basedOn w:val="115"/>
    <w:qFormat/>
    <w:uiPriority w:val="99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17">
    <w:name w:val="附录字母编号列项（一级）"/>
    <w:qFormat/>
    <w:uiPriority w:val="99"/>
    <w:pPr>
      <w:numPr>
        <w:ilvl w:val="0"/>
        <w:numId w:val="12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8">
    <w:name w:val="列项说明"/>
    <w:basedOn w:val="1"/>
    <w:qFormat/>
    <w:uiPriority w:val="99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19">
    <w:name w:val="列项说明数字编号"/>
    <w:qFormat/>
    <w:uiPriority w:val="99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目次、索引正文"/>
    <w:qFormat/>
    <w:uiPriority w:val="99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1">
    <w:name w:val="其他标准标志"/>
    <w:basedOn w:val="78"/>
    <w:qFormat/>
    <w:uiPriority w:val="99"/>
    <w:pPr>
      <w:framePr w:w="6101" w:wrap="around" w:vAnchor="page" w:hAnchor="page" w:x="4673" w:y="942"/>
    </w:pPr>
    <w:rPr>
      <w:w w:val="130"/>
    </w:rPr>
  </w:style>
  <w:style w:type="paragraph" w:customStyle="1" w:styleId="122">
    <w:name w:val="其他标准称谓"/>
    <w:next w:val="1"/>
    <w:qFormat/>
    <w:uiPriority w:val="99"/>
    <w:pPr>
      <w:framePr w:hSpace="181" w:vSpace="181" w:wrap="around" w:vAnchor="page" w:hAnchor="page" w:x="1419" w:y="2286" w:anchorLock="1"/>
      <w:spacing w:line="24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23">
    <w:name w:val="其他发布部门"/>
    <w:basedOn w:val="86"/>
    <w:qFormat/>
    <w:uiPriority w:val="99"/>
    <w:pPr>
      <w:framePr w:wrap="around" w:y="15310"/>
      <w:spacing w:line="240" w:lineRule="atLeast"/>
    </w:pPr>
    <w:rPr>
      <w:rFonts w:ascii="黑体" w:eastAsia="黑体"/>
      <w:b w:val="0"/>
    </w:rPr>
  </w:style>
  <w:style w:type="paragraph" w:customStyle="1" w:styleId="124">
    <w:name w:val="前言、引言标题"/>
    <w:next w:val="25"/>
    <w:qFormat/>
    <w:uiPriority w:val="9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5">
    <w:name w:val="三级无"/>
    <w:basedOn w:val="63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126">
    <w:name w:val="实施日期"/>
    <w:basedOn w:val="87"/>
    <w:qFormat/>
    <w:uiPriority w:val="99"/>
    <w:pPr>
      <w:framePr w:wrap="around" w:vAnchor="page" w:hAnchor="text"/>
      <w:jc w:val="right"/>
    </w:pPr>
  </w:style>
  <w:style w:type="paragraph" w:customStyle="1" w:styleId="127">
    <w:name w:val="示例后文字"/>
    <w:basedOn w:val="25"/>
    <w:next w:val="25"/>
    <w:qFormat/>
    <w:uiPriority w:val="99"/>
    <w:pPr>
      <w:ind w:firstLine="360"/>
    </w:pPr>
    <w:rPr>
      <w:sz w:val="18"/>
    </w:rPr>
  </w:style>
  <w:style w:type="paragraph" w:customStyle="1" w:styleId="128">
    <w:name w:val="首示例"/>
    <w:next w:val="25"/>
    <w:link w:val="129"/>
    <w:qFormat/>
    <w:uiPriority w:val="99"/>
    <w:pPr>
      <w:numPr>
        <w:ilvl w:val="0"/>
        <w:numId w:val="14"/>
      </w:num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29">
    <w:name w:val="首示例 Char"/>
    <w:link w:val="128"/>
    <w:qFormat/>
    <w:locked/>
    <w:uiPriority w:val="99"/>
    <w:rPr>
      <w:rFonts w:ascii="宋体" w:hAnsi="宋体"/>
      <w:kern w:val="2"/>
      <w:sz w:val="18"/>
      <w:szCs w:val="18"/>
    </w:rPr>
  </w:style>
  <w:style w:type="paragraph" w:customStyle="1" w:styleId="130">
    <w:name w:val="四级无"/>
    <w:basedOn w:val="67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131">
    <w:name w:val="条文脚注"/>
    <w:basedOn w:val="26"/>
    <w:qFormat/>
    <w:uiPriority w:val="99"/>
    <w:pPr>
      <w:numPr>
        <w:numId w:val="0"/>
      </w:numPr>
      <w:jc w:val="both"/>
    </w:pPr>
  </w:style>
  <w:style w:type="paragraph" w:customStyle="1" w:styleId="132">
    <w:name w:val="图标脚注说明"/>
    <w:basedOn w:val="25"/>
    <w:qFormat/>
    <w:uiPriority w:val="99"/>
    <w:pPr>
      <w:ind w:left="840" w:hanging="420" w:firstLineChars="0"/>
    </w:pPr>
    <w:rPr>
      <w:sz w:val="18"/>
      <w:szCs w:val="18"/>
    </w:rPr>
  </w:style>
  <w:style w:type="paragraph" w:customStyle="1" w:styleId="133">
    <w:name w:val="图表脚注说明"/>
    <w:basedOn w:val="1"/>
    <w:qFormat/>
    <w:uiPriority w:val="99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34">
    <w:name w:val="图的脚注"/>
    <w:next w:val="25"/>
    <w:qFormat/>
    <w:uiPriority w:val="99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35">
    <w:name w:val="文献分类号"/>
    <w:qFormat/>
    <w:uiPriority w:val="99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6">
    <w:name w:val="五级无"/>
    <w:basedOn w:val="68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137">
    <w:name w:val="一级无"/>
    <w:basedOn w:val="54"/>
    <w:qFormat/>
    <w:uiPriority w:val="99"/>
    <w:pPr>
      <w:spacing w:beforeLines="0" w:afterLines="0"/>
    </w:pPr>
    <w:rPr>
      <w:rFonts w:ascii="宋体" w:eastAsia="宋体"/>
    </w:rPr>
  </w:style>
  <w:style w:type="paragraph" w:customStyle="1" w:styleId="138">
    <w:name w:val="正文表标题"/>
    <w:next w:val="25"/>
    <w:qFormat/>
    <w:uiPriority w:val="99"/>
    <w:pPr>
      <w:numPr>
        <w:ilvl w:val="0"/>
        <w:numId w:val="16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9">
    <w:name w:val="正文公式编号制表符"/>
    <w:basedOn w:val="25"/>
    <w:next w:val="25"/>
    <w:qFormat/>
    <w:uiPriority w:val="99"/>
    <w:pPr>
      <w:ind w:firstLine="0" w:firstLineChars="0"/>
    </w:pPr>
  </w:style>
  <w:style w:type="paragraph" w:customStyle="1" w:styleId="140">
    <w:name w:val="正文图标题"/>
    <w:next w:val="25"/>
    <w:qFormat/>
    <w:uiPriority w:val="99"/>
    <w:pPr>
      <w:numPr>
        <w:ilvl w:val="0"/>
        <w:numId w:val="17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1">
    <w:name w:val="终结线"/>
    <w:basedOn w:val="1"/>
    <w:qFormat/>
    <w:uiPriority w:val="99"/>
    <w:pPr>
      <w:framePr w:hSpace="181" w:vSpace="181" w:wrap="around" w:vAnchor="text" w:hAnchor="margin" w:xAlign="center" w:y="285"/>
    </w:pPr>
  </w:style>
  <w:style w:type="paragraph" w:customStyle="1" w:styleId="142">
    <w:name w:val="其他发布日期"/>
    <w:basedOn w:val="87"/>
    <w:qFormat/>
    <w:uiPriority w:val="99"/>
    <w:pPr>
      <w:framePr w:wrap="around" w:vAnchor="page" w:hAnchor="text" w:x="1419"/>
    </w:pPr>
  </w:style>
  <w:style w:type="paragraph" w:customStyle="1" w:styleId="143">
    <w:name w:val="其他实施日期"/>
    <w:basedOn w:val="126"/>
    <w:qFormat/>
    <w:uiPriority w:val="99"/>
    <w:pPr>
      <w:framePr w:wrap="around"/>
    </w:pPr>
  </w:style>
  <w:style w:type="paragraph" w:customStyle="1" w:styleId="144">
    <w:name w:val="封面标准名称2"/>
    <w:basedOn w:val="90"/>
    <w:qFormat/>
    <w:uiPriority w:val="99"/>
    <w:pPr>
      <w:framePr w:wrap="around" w:y="4469"/>
      <w:spacing w:beforeLines="630"/>
    </w:pPr>
  </w:style>
  <w:style w:type="paragraph" w:customStyle="1" w:styleId="145">
    <w:name w:val="封面标准英文名称2"/>
    <w:basedOn w:val="91"/>
    <w:qFormat/>
    <w:uiPriority w:val="99"/>
    <w:pPr>
      <w:framePr w:wrap="around" w:y="4469"/>
    </w:pPr>
  </w:style>
  <w:style w:type="paragraph" w:customStyle="1" w:styleId="146">
    <w:name w:val="封面一致性程度标识2"/>
    <w:basedOn w:val="92"/>
    <w:qFormat/>
    <w:uiPriority w:val="99"/>
    <w:pPr>
      <w:framePr w:wrap="around" w:y="4469"/>
    </w:pPr>
  </w:style>
  <w:style w:type="paragraph" w:customStyle="1" w:styleId="147">
    <w:name w:val="封面标准文稿类别2"/>
    <w:basedOn w:val="93"/>
    <w:qFormat/>
    <w:uiPriority w:val="99"/>
    <w:pPr>
      <w:framePr w:wrap="around" w:y="4469"/>
    </w:pPr>
  </w:style>
  <w:style w:type="paragraph" w:customStyle="1" w:styleId="148">
    <w:name w:val="封面标准文稿编辑信息2"/>
    <w:basedOn w:val="94"/>
    <w:qFormat/>
    <w:uiPriority w:val="99"/>
    <w:pPr>
      <w:framePr w:wrap="around" w:y="4469"/>
    </w:pPr>
  </w:style>
  <w:style w:type="paragraph" w:styleId="149">
    <w:name w:val="List Paragraph"/>
    <w:basedOn w:val="1"/>
    <w:qFormat/>
    <w:uiPriority w:val="99"/>
    <w:pPr>
      <w:ind w:left="953" w:hanging="527"/>
    </w:pPr>
    <w:rPr>
      <w:rFonts w:ascii="宋体" w:hAnsi="宋体" w:cs="宋体"/>
      <w:lang w:val="ca-ES" w:eastAsia="ca-ES"/>
    </w:rPr>
  </w:style>
  <w:style w:type="paragraph" w:customStyle="1" w:styleId="150">
    <w:name w:val="Table Paragraph"/>
    <w:basedOn w:val="1"/>
    <w:qFormat/>
    <w:uiPriority w:val="99"/>
    <w:rPr>
      <w:rFonts w:ascii="宋体" w:hAnsi="宋体" w:cs="宋体"/>
      <w:lang w:val="ca-ES" w:eastAsia="ca-ES"/>
    </w:rPr>
  </w:style>
  <w:style w:type="paragraph" w:customStyle="1" w:styleId="15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2">
    <w:name w:val="批注主题 字符"/>
    <w:basedOn w:val="46"/>
    <w:link w:val="33"/>
    <w:semiHidden/>
    <w:qFormat/>
    <w:uiPriority w:val="99"/>
    <w:rPr>
      <w:b/>
      <w:bCs/>
      <w:kern w:val="2"/>
      <w:sz w:val="24"/>
      <w:szCs w:val="24"/>
    </w:rPr>
  </w:style>
  <w:style w:type="character" w:customStyle="1" w:styleId="153">
    <w:name w:val="标题 3 字符"/>
    <w:basedOn w:val="36"/>
    <w:link w:val="3"/>
    <w:semiHidden/>
    <w:qFormat/>
    <w:uiPriority w:val="0"/>
    <w:rPr>
      <w:b/>
      <w:bCs/>
      <w:sz w:val="32"/>
      <w:szCs w:val="32"/>
    </w:rPr>
  </w:style>
  <w:style w:type="paragraph" w:customStyle="1" w:styleId="154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9A0A6D-8E26-4872-B2BD-21BD88CF5A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12</Pages>
  <Words>4797</Words>
  <Characters>5090</Characters>
  <Lines>48</Lines>
  <Paragraphs>13</Paragraphs>
  <TotalTime>8</TotalTime>
  <ScaleCrop>false</ScaleCrop>
  <LinksUpToDate>false</LinksUpToDate>
  <CharactersWithSpaces>5417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2020-06-22T07:19:00Z</dcterms:created>
  <dc:creator>CNIS</dc:creator>
  <cp:lastModifiedBy>吴玥群</cp:lastModifiedBy>
  <cp:lastPrinted>2021-03-31T02:10:00Z</cp:lastPrinted>
  <dcterms:modified xsi:type="dcterms:W3CDTF">2021-04-24T05:42:37Z</dcterms:modified>
  <dc:title>标准名称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14407665DD6D452082D0CA91E3C47648</vt:lpwstr>
  </property>
</Properties>
</file>