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x</w:t>
            </w:r>
            <w:r>
              <w:rPr>
                <w:rFonts w:hint="eastAsia" w:ascii="黑体" w:hAnsi="黑体" w:eastAsia="黑体"/>
                <w:sz w:val="21"/>
                <w:szCs w:val="21"/>
                <w:lang w:val="en-US" w:eastAsia="zh-CN"/>
              </w:rPr>
              <w:t>x.xxx</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x</w:t>
            </w:r>
            <w:r>
              <w:rPr>
                <w:rFonts w:hint="eastAsia" w:ascii="黑体" w:hAnsi="黑体" w:eastAsia="黑体"/>
                <w:sz w:val="21"/>
                <w:szCs w:val="21"/>
                <w:lang w:val="en-US" w:eastAsia="zh-CN"/>
              </w:rPr>
              <w:t>xx</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7"/>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w:t>
      </w:r>
      <w:r>
        <w:rPr>
          <w:rFonts w:hint="eastAsia"/>
          <w:lang w:val="en-US" w:eastAsia="zh-CN"/>
        </w:rPr>
        <w:t>X</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eastAsia="zh-CN"/>
        </w:rPr>
        <w:t>X</w:t>
      </w:r>
      <w:r>
        <w:rPr>
          <w:rFonts w:hint="eastAsia"/>
          <w:lang w:val="en-US" w:eastAsia="zh-CN"/>
        </w:rPr>
        <w:t>XXX</w:t>
      </w:r>
      <w:r>
        <w:fldChar w:fldCharType="end"/>
      </w:r>
      <w:bookmarkEnd w:id="7"/>
    </w:p>
    <w:p>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wrap="around" w:hAnchor="page" w:y="6408"/>
        <w:jc w:val="center"/>
        <w:rPr>
          <w:rFonts w:ascii="黑体" w:hAnsi="黑体" w:eastAsia="黑体"/>
          <w:b w:val="0"/>
          <w:bCs w:val="0"/>
          <w:w w:val="100"/>
        </w:rPr>
      </w:pPr>
    </w:p>
    <w:p>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装配式混凝土结构预制构件质量检验规程</w:t>
      </w:r>
      <w:r>
        <w:fldChar w:fldCharType="end"/>
      </w:r>
      <w:bookmarkEnd w:id="9"/>
    </w:p>
    <w:p>
      <w:pPr>
        <w:framePr w:w="9639" w:h="6974" w:hRule="exact" w:wrap="around" w:vAnchor="page" w:hAnchor="page" w:x="1419" w:y="6408" w:anchorLock="1"/>
        <w:ind w:left="-1418"/>
      </w:pPr>
    </w:p>
    <w:p>
      <w:pPr>
        <w:pStyle w:val="127"/>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Specification for Inspection for Precast Concrete Components</w:t>
      </w:r>
    </w:p>
    <w:p>
      <w:pPr>
        <w:pStyle w:val="127"/>
        <w:framePr w:w="9639" w:h="6974" w:hRule="exact" w:wrap="around" w:vAnchor="page" w:hAnchor="page" w:x="1419" w:y="6408" w:anchorLock="1"/>
        <w:pBdr>
          <w:top w:val="none" w:color="auto" w:sz="0" w:space="0"/>
          <w:left w:val="none" w:color="auto" w:sz="0" w:space="0"/>
          <w:bottom w:val="none" w:color="auto" w:sz="0" w:space="0"/>
          <w:right w:val="none" w:color="auto" w:sz="0" w:space="0"/>
        </w:pBdr>
        <w:textAlignment w:val="bottom"/>
        <w:rPr>
          <w:rFonts w:hint="eastAsia" w:eastAsia="黑体"/>
          <w:szCs w:val="28"/>
        </w:rPr>
      </w:pPr>
    </w:p>
    <w:p>
      <w:pPr>
        <w:pStyle w:val="127"/>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2021</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 江苏省住房和城乡建设厅</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3"/>
        <w:spacing w:after="468"/>
      </w:pPr>
      <w:bookmarkStart w:id="21" w:name="BookMark1"/>
      <w:r>
        <w:rPr>
          <w:rFonts w:hint="eastAsia"/>
          <w:spacing w:val="320"/>
        </w:rPr>
        <w:t>目</w:t>
      </w:r>
      <w:r>
        <w:rPr>
          <w:rFonts w:hint="eastAsia"/>
        </w:rPr>
        <w:t>次</w:t>
      </w:r>
    </w:p>
    <w:p>
      <w:pPr>
        <w:pStyle w:val="20"/>
        <w:keepNext w:val="0"/>
        <w:keepLines w:val="0"/>
        <w:pageBreakBefore w:val="0"/>
        <w:widowControl w:val="0"/>
        <w:tabs>
          <w:tab w:val="right" w:leader="dot" w:pos="9241"/>
        </w:tabs>
        <w:kinsoku/>
        <w:wordWrap/>
        <w:overflowPunct/>
        <w:topLinePunct w:val="0"/>
        <w:autoSpaceDE/>
        <w:autoSpaceDN/>
        <w:bidi w:val="0"/>
        <w:adjustRightInd w:val="0"/>
        <w:snapToGrid/>
        <w:spacing w:before="78" w:after="78" w:line="360" w:lineRule="exact"/>
        <w:textAlignment w:val="auto"/>
        <w:rPr>
          <w:rFonts w:hint="eastAsia" w:ascii="Calibri" w:hAnsi="Calibri" w:eastAsia="宋体"/>
          <w:szCs w:val="22"/>
          <w:lang w:val="en-US" w:eastAsia="zh-CN"/>
        </w:rPr>
      </w:pPr>
      <w:r>
        <w:fldChar w:fldCharType="begin"/>
      </w:r>
      <w:r>
        <w:instrText xml:space="preserve"> </w:instrText>
      </w:r>
      <w:r>
        <w:rPr>
          <w:rFonts w:hint="eastAsia"/>
        </w:rPr>
        <w:instrText xml:space="preserve">TOC \o "1-1" \h \t "标准文件_一级条标题,2,标准文件_二级条标题,3,标准文件_附录一级条标题,2,标准文件_附录二级条标题,3,"</w:instrText>
      </w:r>
      <w:r>
        <w:instrText xml:space="preserve"> </w:instrText>
      </w:r>
      <w:r>
        <w:fldChar w:fldCharType="separate"/>
      </w:r>
      <w:r>
        <w:fldChar w:fldCharType="begin"/>
      </w:r>
      <w:r>
        <w:instrText xml:space="preserve"> TOC \o "1-3" \h \z \u </w:instrText>
      </w:r>
      <w:r>
        <w:fldChar w:fldCharType="separate"/>
      </w:r>
      <w:r>
        <w:rPr>
          <w:rStyle w:val="33"/>
        </w:rPr>
        <w:fldChar w:fldCharType="begin"/>
      </w:r>
      <w:r>
        <w:rPr>
          <w:rStyle w:val="33"/>
        </w:rPr>
        <w:instrText xml:space="preserve"> </w:instrText>
      </w:r>
      <w:r>
        <w:instrText xml:space="preserve">HYPERLINK \l "_Toc63589275"</w:instrText>
      </w:r>
      <w:r>
        <w:rPr>
          <w:rStyle w:val="33"/>
        </w:rPr>
        <w:instrText xml:space="preserve"> </w:instrText>
      </w:r>
      <w:r>
        <w:rPr>
          <w:rStyle w:val="33"/>
        </w:rPr>
        <w:fldChar w:fldCharType="separate"/>
      </w:r>
      <w:r>
        <w:rPr>
          <w:rStyle w:val="33"/>
          <w:rFonts w:hint="eastAsia"/>
        </w:rPr>
        <w:t>前言</w:t>
      </w:r>
      <w:r>
        <w:tab/>
      </w:r>
      <w:r>
        <w:rPr>
          <w:rFonts w:hint="eastAsia"/>
          <w:lang w:val="en-US" w:eastAsia="zh-CN"/>
        </w:rPr>
        <w:t>I</w:t>
      </w:r>
      <w:r>
        <w:rPr>
          <w:rStyle w:val="33"/>
        </w:rPr>
        <w:fldChar w:fldCharType="end"/>
      </w:r>
      <w:r>
        <w:rPr>
          <w:rStyle w:val="33"/>
          <w:rFonts w:hint="eastAsia"/>
          <w:lang w:val="en-US" w:eastAsia="zh-CN"/>
        </w:rPr>
        <w:t>I</w:t>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ascii="Calibri" w:hAnsi="Calibri"/>
          <w:szCs w:val="22"/>
        </w:rPr>
      </w:pPr>
      <w:r>
        <w:rPr>
          <w:rStyle w:val="33"/>
        </w:rPr>
        <w:fldChar w:fldCharType="begin"/>
      </w:r>
      <w:r>
        <w:rPr>
          <w:rStyle w:val="33"/>
        </w:rPr>
        <w:instrText xml:space="preserve"> </w:instrText>
      </w:r>
      <w:r>
        <w:instrText xml:space="preserve">HYPERLINK \l "_Toc63589276"</w:instrText>
      </w:r>
      <w:r>
        <w:rPr>
          <w:rStyle w:val="33"/>
        </w:rPr>
        <w:instrText xml:space="preserve"> </w:instrText>
      </w:r>
      <w:r>
        <w:rPr>
          <w:rStyle w:val="33"/>
        </w:rPr>
        <w:fldChar w:fldCharType="separate"/>
      </w:r>
      <w:r>
        <w:rPr>
          <w:rStyle w:val="33"/>
        </w:rPr>
        <w:t>1</w:t>
      </w:r>
      <w:r>
        <w:rPr>
          <w:rStyle w:val="33"/>
          <w:rFonts w:hint="eastAsia"/>
        </w:rPr>
        <w:t xml:space="preserve"> 范围</w:t>
      </w:r>
      <w:r>
        <w:tab/>
      </w:r>
      <w:r>
        <w:rPr>
          <w:rFonts w:hint="eastAsia"/>
          <w:lang w:val="en-US" w:eastAsia="zh-CN"/>
        </w:rPr>
        <w:t>1</w:t>
      </w:r>
      <w:r>
        <w:rPr>
          <w:rStyle w:val="33"/>
        </w:rPr>
        <w:fldChar w:fldCharType="end"/>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ascii="Calibri" w:hAnsi="Calibri"/>
          <w:szCs w:val="22"/>
        </w:rPr>
      </w:pPr>
      <w:r>
        <w:rPr>
          <w:rStyle w:val="33"/>
        </w:rPr>
        <w:fldChar w:fldCharType="begin"/>
      </w:r>
      <w:r>
        <w:rPr>
          <w:rStyle w:val="33"/>
        </w:rPr>
        <w:instrText xml:space="preserve"> </w:instrText>
      </w:r>
      <w:r>
        <w:instrText xml:space="preserve">HYPERLINK \l "_Toc63589277"</w:instrText>
      </w:r>
      <w:r>
        <w:rPr>
          <w:rStyle w:val="33"/>
        </w:rPr>
        <w:instrText xml:space="preserve"> </w:instrText>
      </w:r>
      <w:r>
        <w:rPr>
          <w:rStyle w:val="33"/>
        </w:rPr>
        <w:fldChar w:fldCharType="separate"/>
      </w:r>
      <w:r>
        <w:rPr>
          <w:rStyle w:val="33"/>
        </w:rPr>
        <w:t>2</w:t>
      </w:r>
      <w:r>
        <w:rPr>
          <w:rStyle w:val="33"/>
          <w:rFonts w:hint="eastAsia"/>
        </w:rPr>
        <w:t xml:space="preserve"> 规范性引用文件</w:t>
      </w:r>
      <w:r>
        <w:tab/>
      </w:r>
      <w:r>
        <w:rPr>
          <w:rFonts w:hint="eastAsia"/>
          <w:lang w:val="en-US" w:eastAsia="zh-CN"/>
        </w:rPr>
        <w:t>1</w:t>
      </w:r>
      <w:r>
        <w:rPr>
          <w:rStyle w:val="33"/>
        </w:rPr>
        <w:fldChar w:fldCharType="end"/>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ascii="Calibri" w:hAnsi="Calibri"/>
          <w:szCs w:val="22"/>
        </w:rPr>
      </w:pPr>
      <w:r>
        <w:rPr>
          <w:rStyle w:val="33"/>
        </w:rPr>
        <w:fldChar w:fldCharType="begin"/>
      </w:r>
      <w:r>
        <w:rPr>
          <w:rStyle w:val="33"/>
        </w:rPr>
        <w:instrText xml:space="preserve"> </w:instrText>
      </w:r>
      <w:r>
        <w:instrText xml:space="preserve">HYPERLINK \l "_Toc63589278"</w:instrText>
      </w:r>
      <w:r>
        <w:rPr>
          <w:rStyle w:val="33"/>
        </w:rPr>
        <w:instrText xml:space="preserve"> </w:instrText>
      </w:r>
      <w:r>
        <w:rPr>
          <w:rStyle w:val="33"/>
        </w:rPr>
        <w:fldChar w:fldCharType="separate"/>
      </w:r>
      <w:r>
        <w:rPr>
          <w:rStyle w:val="33"/>
        </w:rPr>
        <w:t>3</w:t>
      </w:r>
      <w:r>
        <w:rPr>
          <w:rStyle w:val="33"/>
          <w:rFonts w:hint="eastAsia"/>
        </w:rPr>
        <w:t xml:space="preserve"> 术语</w:t>
      </w:r>
      <w:r>
        <w:tab/>
      </w:r>
      <w:r>
        <w:rPr>
          <w:rFonts w:hint="eastAsia"/>
          <w:lang w:val="en-US" w:eastAsia="zh-CN"/>
        </w:rPr>
        <w:t>2</w:t>
      </w:r>
      <w:r>
        <w:rPr>
          <w:rStyle w:val="33"/>
        </w:rPr>
        <w:fldChar w:fldCharType="end"/>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ascii="Calibri" w:hAnsi="Calibri"/>
          <w:szCs w:val="22"/>
        </w:rPr>
      </w:pPr>
      <w:r>
        <w:rPr>
          <w:rStyle w:val="33"/>
        </w:rPr>
        <w:fldChar w:fldCharType="begin"/>
      </w:r>
      <w:r>
        <w:rPr>
          <w:rStyle w:val="33"/>
        </w:rPr>
        <w:instrText xml:space="preserve"> </w:instrText>
      </w:r>
      <w:r>
        <w:instrText xml:space="preserve">HYPERLINK \l "_Toc63589288"</w:instrText>
      </w:r>
      <w:r>
        <w:rPr>
          <w:rStyle w:val="33"/>
        </w:rPr>
        <w:instrText xml:space="preserve"> </w:instrText>
      </w:r>
      <w:r>
        <w:rPr>
          <w:rStyle w:val="33"/>
        </w:rPr>
        <w:fldChar w:fldCharType="separate"/>
      </w:r>
      <w:r>
        <w:rPr>
          <w:rStyle w:val="33"/>
        </w:rPr>
        <w:t>4</w:t>
      </w:r>
      <w:r>
        <w:rPr>
          <w:rStyle w:val="33"/>
          <w:rFonts w:hint="eastAsia"/>
        </w:rPr>
        <w:t xml:space="preserve"> 总则</w:t>
      </w:r>
      <w:r>
        <w:tab/>
      </w:r>
      <w:r>
        <w:rPr>
          <w:rFonts w:hint="eastAsia"/>
          <w:lang w:val="en-US" w:eastAsia="zh-CN"/>
        </w:rPr>
        <w:t>3</w:t>
      </w:r>
      <w:r>
        <w:rPr>
          <w:rStyle w:val="33"/>
        </w:rPr>
        <w:fldChar w:fldCharType="end"/>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ascii="Calibri" w:hAnsi="Calibri"/>
          <w:szCs w:val="22"/>
        </w:rPr>
      </w:pPr>
      <w:r>
        <w:rPr>
          <w:rStyle w:val="33"/>
        </w:rPr>
        <w:fldChar w:fldCharType="begin"/>
      </w:r>
      <w:r>
        <w:rPr>
          <w:rStyle w:val="33"/>
        </w:rPr>
        <w:instrText xml:space="preserve"> </w:instrText>
      </w:r>
      <w:r>
        <w:instrText xml:space="preserve">HYPERLINK \l "_Toc63589292"</w:instrText>
      </w:r>
      <w:r>
        <w:rPr>
          <w:rStyle w:val="33"/>
        </w:rPr>
        <w:instrText xml:space="preserve"> </w:instrText>
      </w:r>
      <w:r>
        <w:rPr>
          <w:rStyle w:val="33"/>
        </w:rPr>
        <w:fldChar w:fldCharType="separate"/>
      </w:r>
      <w:r>
        <w:rPr>
          <w:rStyle w:val="33"/>
        </w:rPr>
        <w:t>5</w:t>
      </w:r>
      <w:r>
        <w:rPr>
          <w:rStyle w:val="33"/>
          <w:rFonts w:hint="eastAsia"/>
        </w:rPr>
        <w:t xml:space="preserve"> 基本规定</w:t>
      </w:r>
      <w:r>
        <w:tab/>
      </w:r>
      <w:r>
        <w:rPr>
          <w:rFonts w:hint="eastAsia"/>
          <w:lang w:val="en-US" w:eastAsia="zh-CN"/>
        </w:rPr>
        <w:t>3</w:t>
      </w:r>
      <w:r>
        <w:rPr>
          <w:rStyle w:val="33"/>
        </w:rPr>
        <w:fldChar w:fldCharType="end"/>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ascii="Calibri" w:hAnsi="Calibri"/>
          <w:szCs w:val="22"/>
        </w:rPr>
      </w:pPr>
      <w:r>
        <w:rPr>
          <w:rStyle w:val="33"/>
        </w:rPr>
        <w:fldChar w:fldCharType="begin"/>
      </w:r>
      <w:r>
        <w:rPr>
          <w:rStyle w:val="33"/>
        </w:rPr>
        <w:instrText xml:space="preserve"> </w:instrText>
      </w:r>
      <w:r>
        <w:instrText xml:space="preserve">HYPERLINK \l "_Toc63589308"</w:instrText>
      </w:r>
      <w:r>
        <w:rPr>
          <w:rStyle w:val="33"/>
        </w:rPr>
        <w:instrText xml:space="preserve"> </w:instrText>
      </w:r>
      <w:r>
        <w:rPr>
          <w:rStyle w:val="33"/>
        </w:rPr>
        <w:fldChar w:fldCharType="separate"/>
      </w:r>
      <w:r>
        <w:rPr>
          <w:rStyle w:val="33"/>
        </w:rPr>
        <w:t>6</w:t>
      </w:r>
      <w:r>
        <w:rPr>
          <w:rStyle w:val="33"/>
          <w:rFonts w:hint="eastAsia"/>
        </w:rPr>
        <w:t xml:space="preserve"> 预制构件材料质量检验</w:t>
      </w:r>
      <w:r>
        <w:tab/>
      </w:r>
      <w:r>
        <w:rPr>
          <w:rFonts w:hint="eastAsia"/>
          <w:lang w:val="en-US" w:eastAsia="zh-CN"/>
        </w:rPr>
        <w:t>4</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"_Toc63589309"</w:instrText>
      </w:r>
      <w:r>
        <w:rPr>
          <w:rStyle w:val="33"/>
        </w:rPr>
        <w:instrText xml:space="preserve"> </w:instrText>
      </w:r>
      <w:r>
        <w:rPr>
          <w:rStyle w:val="33"/>
        </w:rPr>
        <w:fldChar w:fldCharType="separate"/>
      </w:r>
      <w:r>
        <w:rPr>
          <w:rStyle w:val="33"/>
        </w:rPr>
        <w:t>6.1</w:t>
      </w:r>
      <w:r>
        <w:rPr>
          <w:rStyle w:val="33"/>
          <w:rFonts w:hint="eastAsia"/>
        </w:rPr>
        <w:t xml:space="preserve"> 一般规定</w:t>
      </w:r>
      <w:r>
        <w:tab/>
      </w:r>
      <w:r>
        <w:rPr>
          <w:rFonts w:hint="eastAsia"/>
          <w:lang w:val="en-US" w:eastAsia="zh-CN"/>
        </w:rPr>
        <w:t>4</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"_Toc63589310"</w:instrText>
      </w:r>
      <w:r>
        <w:rPr>
          <w:rStyle w:val="33"/>
        </w:rPr>
        <w:instrText xml:space="preserve"> </w:instrText>
      </w:r>
      <w:r>
        <w:rPr>
          <w:rStyle w:val="33"/>
        </w:rPr>
        <w:fldChar w:fldCharType="separate"/>
      </w:r>
      <w:r>
        <w:rPr>
          <w:rStyle w:val="33"/>
        </w:rPr>
        <w:t>6.2</w:t>
      </w:r>
      <w:r>
        <w:rPr>
          <w:rStyle w:val="33"/>
          <w:rFonts w:hint="eastAsia" w:ascii="Times New Roman"/>
        </w:rPr>
        <w:t xml:space="preserve"> 混凝土用原材料</w:t>
      </w:r>
      <w:r>
        <w:tab/>
      </w:r>
      <w:r>
        <w:rPr>
          <w:rFonts w:hint="eastAsia"/>
          <w:lang w:val="en-US" w:eastAsia="zh-CN"/>
        </w:rPr>
        <w:t>4</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"_Toc63589311"</w:instrText>
      </w:r>
      <w:r>
        <w:rPr>
          <w:rStyle w:val="33"/>
        </w:rPr>
        <w:instrText xml:space="preserve"> </w:instrText>
      </w:r>
      <w:r>
        <w:rPr>
          <w:rStyle w:val="33"/>
        </w:rPr>
        <w:fldChar w:fldCharType="separate"/>
      </w:r>
      <w:r>
        <w:rPr>
          <w:rStyle w:val="33"/>
        </w:rPr>
        <w:t>6.3</w:t>
      </w:r>
      <w:r>
        <w:rPr>
          <w:rStyle w:val="33"/>
          <w:rFonts w:hint="eastAsia" w:ascii="Times New Roman"/>
        </w:rPr>
        <w:t xml:space="preserve"> 钢筋与预应力材料</w:t>
      </w:r>
      <w:r>
        <w:tab/>
      </w:r>
      <w:r>
        <w:rPr>
          <w:rFonts w:hint="eastAsia"/>
          <w:lang w:val="en-US" w:eastAsia="zh-CN"/>
        </w:rPr>
        <w:t>6</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"_Toc63589312"</w:instrText>
      </w:r>
      <w:r>
        <w:rPr>
          <w:rStyle w:val="33"/>
        </w:rPr>
        <w:instrText xml:space="preserve"> </w:instrText>
      </w:r>
      <w:r>
        <w:rPr>
          <w:rStyle w:val="33"/>
        </w:rPr>
        <w:fldChar w:fldCharType="separate"/>
      </w:r>
      <w:r>
        <w:rPr>
          <w:rStyle w:val="33"/>
        </w:rPr>
        <w:t>6.4</w:t>
      </w:r>
      <w:r>
        <w:rPr>
          <w:rStyle w:val="33"/>
          <w:rFonts w:hint="eastAsia" w:ascii="Times New Roman"/>
        </w:rPr>
        <w:t xml:space="preserve"> 连接材料</w:t>
      </w:r>
      <w:r>
        <w:tab/>
      </w:r>
      <w:r>
        <w:rPr>
          <w:rFonts w:hint="eastAsia"/>
          <w:lang w:val="en-US" w:eastAsia="zh-CN"/>
        </w:rPr>
        <w:t>7</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"_Toc63589313"</w:instrText>
      </w:r>
      <w:r>
        <w:rPr>
          <w:rStyle w:val="33"/>
        </w:rPr>
        <w:instrText xml:space="preserve"> </w:instrText>
      </w:r>
      <w:r>
        <w:rPr>
          <w:rStyle w:val="33"/>
        </w:rPr>
        <w:fldChar w:fldCharType="separate"/>
      </w:r>
      <w:r>
        <w:rPr>
          <w:rStyle w:val="33"/>
        </w:rPr>
        <w:t>6.5</w:t>
      </w:r>
      <w:r>
        <w:rPr>
          <w:rStyle w:val="33"/>
          <w:rFonts w:hint="eastAsia" w:ascii="Times New Roman"/>
        </w:rPr>
        <w:t xml:space="preserve"> 预埋件材料</w:t>
      </w:r>
      <w:r>
        <w:tab/>
      </w:r>
      <w:r>
        <w:rPr>
          <w:rFonts w:hint="eastAsia"/>
          <w:lang w:val="en-US" w:eastAsia="zh-CN"/>
        </w:rPr>
        <w:t>8</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"_Toc63589314"</w:instrText>
      </w:r>
      <w:r>
        <w:rPr>
          <w:rStyle w:val="33"/>
        </w:rPr>
        <w:instrText xml:space="preserve"> </w:instrText>
      </w:r>
      <w:r>
        <w:rPr>
          <w:rStyle w:val="33"/>
        </w:rPr>
        <w:fldChar w:fldCharType="separate"/>
      </w:r>
      <w:r>
        <w:rPr>
          <w:rStyle w:val="33"/>
        </w:rPr>
        <w:t>6.6</w:t>
      </w:r>
      <w:r>
        <w:rPr>
          <w:rStyle w:val="33"/>
          <w:rFonts w:hint="eastAsia"/>
        </w:rPr>
        <w:t xml:space="preserve"> 其他材料</w:t>
      </w:r>
      <w:r>
        <w:tab/>
      </w:r>
      <w:r>
        <w:rPr>
          <w:rFonts w:hint="eastAsia"/>
          <w:lang w:val="en-US" w:eastAsia="zh-CN"/>
        </w:rPr>
        <w:t>9</w:t>
      </w:r>
      <w:r>
        <w:rPr>
          <w:rStyle w:val="33"/>
        </w:rPr>
        <w:fldChar w:fldCharType="end"/>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ascii="Calibri" w:hAnsi="Calibri"/>
          <w:szCs w:val="22"/>
        </w:rPr>
      </w:pPr>
      <w:r>
        <w:rPr>
          <w:rStyle w:val="33"/>
        </w:rPr>
        <w:fldChar w:fldCharType="begin"/>
      </w:r>
      <w:r>
        <w:rPr>
          <w:rStyle w:val="33"/>
        </w:rPr>
        <w:instrText xml:space="preserve"> </w:instrText>
      </w:r>
      <w:r>
        <w:instrText xml:space="preserve">HYPERLINK \l "_Toc63589315"</w:instrText>
      </w:r>
      <w:r>
        <w:rPr>
          <w:rStyle w:val="33"/>
        </w:rPr>
        <w:instrText xml:space="preserve"> </w:instrText>
      </w:r>
      <w:r>
        <w:rPr>
          <w:rStyle w:val="33"/>
        </w:rPr>
        <w:fldChar w:fldCharType="separate"/>
      </w:r>
      <w:r>
        <w:rPr>
          <w:rStyle w:val="33"/>
        </w:rPr>
        <w:t>7</w:t>
      </w:r>
      <w:r>
        <w:rPr>
          <w:rStyle w:val="33"/>
          <w:rFonts w:hint="eastAsia"/>
        </w:rPr>
        <w:t xml:space="preserve"> 生产过程质量检验</w:t>
      </w:r>
      <w:r>
        <w:tab/>
      </w:r>
      <w:r>
        <w:rPr>
          <w:rFonts w:hint="eastAsia"/>
          <w:lang w:val="en-US" w:eastAsia="zh-CN"/>
        </w:rPr>
        <w:t>9</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"_Toc63589316"</w:instrText>
      </w:r>
      <w:r>
        <w:rPr>
          <w:rStyle w:val="33"/>
        </w:rPr>
        <w:instrText xml:space="preserve"> </w:instrText>
      </w:r>
      <w:r>
        <w:rPr>
          <w:rStyle w:val="33"/>
        </w:rPr>
        <w:fldChar w:fldCharType="separate"/>
      </w:r>
      <w:r>
        <w:rPr>
          <w:rStyle w:val="33"/>
        </w:rPr>
        <w:t>7.1</w:t>
      </w:r>
      <w:r>
        <w:rPr>
          <w:rStyle w:val="33"/>
          <w:rFonts w:hint="eastAsia"/>
        </w:rPr>
        <w:t xml:space="preserve"> 一般规定</w:t>
      </w:r>
      <w:r>
        <w:tab/>
      </w:r>
      <w:r>
        <w:rPr>
          <w:rFonts w:hint="eastAsia"/>
          <w:lang w:val="en-US" w:eastAsia="zh-CN"/>
        </w:rPr>
        <w:t>9</w:t>
      </w:r>
      <w:r>
        <w:rPr>
          <w:rStyle w:val="33"/>
        </w:rPr>
        <w:fldChar w:fldCharType="end"/>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"_Toc63589317"</w:instrText>
      </w:r>
      <w:r>
        <w:rPr>
          <w:rStyle w:val="33"/>
        </w:rPr>
        <w:instrText xml:space="preserve"> </w:instrText>
      </w:r>
      <w:r>
        <w:rPr>
          <w:rStyle w:val="33"/>
        </w:rPr>
        <w:fldChar w:fldCharType="separate"/>
      </w:r>
      <w:r>
        <w:rPr>
          <w:rStyle w:val="33"/>
        </w:rPr>
        <w:t>7.2</w:t>
      </w:r>
      <w:r>
        <w:rPr>
          <w:rStyle w:val="33"/>
          <w:rFonts w:hint="eastAsia" w:ascii="Times New Roman"/>
        </w:rPr>
        <w:t xml:space="preserve"> 模具和台座</w:t>
      </w:r>
      <w:r>
        <w:tab/>
      </w:r>
      <w:r>
        <w:rPr>
          <w:rFonts w:hint="eastAsia"/>
          <w:lang w:val="en-US" w:eastAsia="zh-CN"/>
        </w:rPr>
        <w:t>1</w:t>
      </w:r>
      <w:r>
        <w:rPr>
          <w:rStyle w:val="33"/>
        </w:rPr>
        <w:fldChar w:fldCharType="end"/>
      </w:r>
      <w:r>
        <w:rPr>
          <w:rStyle w:val="33"/>
          <w:rFonts w:hint="eastAsia"/>
          <w:lang w:val="en-US" w:eastAsia="zh-CN"/>
        </w:rPr>
        <w:t>0</w:t>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"_Toc63589318"</w:instrText>
      </w:r>
      <w:r>
        <w:rPr>
          <w:rStyle w:val="33"/>
        </w:rPr>
        <w:instrText xml:space="preserve"> </w:instrText>
      </w:r>
      <w:r>
        <w:rPr>
          <w:rStyle w:val="33"/>
        </w:rPr>
        <w:fldChar w:fldCharType="separate"/>
      </w:r>
      <w:r>
        <w:rPr>
          <w:rStyle w:val="33"/>
        </w:rPr>
        <w:t>7.3</w:t>
      </w:r>
      <w:r>
        <w:rPr>
          <w:rStyle w:val="33"/>
          <w:rFonts w:hint="eastAsia"/>
        </w:rPr>
        <w:t xml:space="preserve"> 钢筋工程</w:t>
      </w:r>
      <w:r>
        <w:tab/>
      </w:r>
      <w:r>
        <w:rPr>
          <w:rFonts w:hint="eastAsia"/>
          <w:lang w:val="en-US" w:eastAsia="zh-CN"/>
        </w:rPr>
        <w:t>1</w:t>
      </w:r>
      <w:r>
        <w:rPr>
          <w:rStyle w:val="33"/>
        </w:rPr>
        <w:fldChar w:fldCharType="end"/>
      </w:r>
      <w:r>
        <w:rPr>
          <w:rStyle w:val="33"/>
          <w:rFonts w:hint="eastAsia"/>
          <w:lang w:val="en-US" w:eastAsia="zh-CN"/>
        </w:rPr>
        <w:t>1</w:t>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"_Toc63589319"</w:instrText>
      </w:r>
      <w:r>
        <w:rPr>
          <w:rStyle w:val="33"/>
        </w:rPr>
        <w:instrText xml:space="preserve"> </w:instrText>
      </w:r>
      <w:r>
        <w:rPr>
          <w:rStyle w:val="33"/>
        </w:rPr>
        <w:fldChar w:fldCharType="separate"/>
      </w:r>
      <w:r>
        <w:rPr>
          <w:rStyle w:val="33"/>
        </w:rPr>
        <w:t>7.4</w:t>
      </w:r>
      <w:r>
        <w:rPr>
          <w:rStyle w:val="33"/>
          <w:rFonts w:hint="eastAsia" w:ascii="Times New Roman"/>
        </w:rPr>
        <w:t xml:space="preserve"> 混凝土工程</w:t>
      </w:r>
      <w:r>
        <w:tab/>
      </w:r>
      <w:r>
        <w:rPr>
          <w:rFonts w:hint="eastAsia"/>
          <w:lang w:val="en-US" w:eastAsia="zh-CN"/>
        </w:rPr>
        <w:t>1</w:t>
      </w:r>
      <w:r>
        <w:rPr>
          <w:rStyle w:val="33"/>
        </w:rPr>
        <w:fldChar w:fldCharType="end"/>
      </w:r>
      <w:r>
        <w:rPr>
          <w:rStyle w:val="33"/>
          <w:rFonts w:hint="eastAsia"/>
          <w:lang w:val="en-US" w:eastAsia="zh-CN"/>
        </w:rPr>
        <w:t>4</w:t>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"_Toc63589320"</w:instrText>
      </w:r>
      <w:r>
        <w:rPr>
          <w:rStyle w:val="33"/>
        </w:rPr>
        <w:instrText xml:space="preserve"> </w:instrText>
      </w:r>
      <w:r>
        <w:rPr>
          <w:rStyle w:val="33"/>
        </w:rPr>
        <w:fldChar w:fldCharType="separate"/>
      </w:r>
      <w:r>
        <w:rPr>
          <w:rStyle w:val="33"/>
        </w:rPr>
        <w:t>7.5</w:t>
      </w:r>
      <w:r>
        <w:rPr>
          <w:rStyle w:val="33"/>
          <w:rFonts w:hint="eastAsia"/>
        </w:rPr>
        <w:t xml:space="preserve"> 预应力工程</w:t>
      </w:r>
      <w:r>
        <w:tab/>
      </w:r>
      <w:r>
        <w:rPr>
          <w:rFonts w:hint="eastAsia"/>
          <w:lang w:val="en-US" w:eastAsia="zh-CN"/>
        </w:rPr>
        <w:t>1</w:t>
      </w:r>
      <w:r>
        <w:rPr>
          <w:rStyle w:val="33"/>
        </w:rPr>
        <w:fldChar w:fldCharType="end"/>
      </w:r>
      <w:r>
        <w:rPr>
          <w:rStyle w:val="33"/>
          <w:rFonts w:hint="eastAsia"/>
          <w:lang w:val="en-US" w:eastAsia="zh-CN"/>
        </w:rPr>
        <w:t>6</w:t>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"_Toc63589321"</w:instrText>
      </w:r>
      <w:r>
        <w:rPr>
          <w:rStyle w:val="33"/>
        </w:rPr>
        <w:instrText xml:space="preserve"> </w:instrText>
      </w:r>
      <w:r>
        <w:rPr>
          <w:rStyle w:val="33"/>
        </w:rPr>
        <w:fldChar w:fldCharType="separate"/>
      </w:r>
      <w:r>
        <w:rPr>
          <w:rStyle w:val="33"/>
        </w:rPr>
        <w:t>8</w:t>
      </w:r>
      <w:r>
        <w:rPr>
          <w:rStyle w:val="33"/>
          <w:rFonts w:hint="eastAsia"/>
        </w:rPr>
        <w:t xml:space="preserve"> 成品质量验收</w:t>
      </w:r>
      <w:r>
        <w:tab/>
      </w:r>
      <w:r>
        <w:rPr>
          <w:rFonts w:hint="eastAsia"/>
          <w:lang w:val="en-US" w:eastAsia="zh-CN"/>
        </w:rPr>
        <w:t>1</w:t>
      </w:r>
      <w:r>
        <w:rPr>
          <w:rStyle w:val="33"/>
        </w:rPr>
        <w:fldChar w:fldCharType="end"/>
      </w:r>
      <w:r>
        <w:rPr>
          <w:rStyle w:val="33"/>
          <w:rFonts w:hint="eastAsia"/>
          <w:lang w:val="en-US" w:eastAsia="zh-CN"/>
        </w:rPr>
        <w:t>8</w:t>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ind w:left="0" w:leftChars="0" w:firstLine="420" w:firstLineChars="200"/>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"_Toc63589322"</w:instrText>
      </w:r>
      <w:r>
        <w:rPr>
          <w:rStyle w:val="33"/>
        </w:rPr>
        <w:instrText xml:space="preserve"> </w:instrText>
      </w:r>
      <w:r>
        <w:rPr>
          <w:rStyle w:val="33"/>
        </w:rPr>
        <w:fldChar w:fldCharType="separate"/>
      </w:r>
      <w:r>
        <w:rPr>
          <w:rStyle w:val="33"/>
        </w:rPr>
        <w:t>8.1</w:t>
      </w:r>
      <w:r>
        <w:rPr>
          <w:rStyle w:val="33"/>
          <w:rFonts w:hint="eastAsia"/>
        </w:rPr>
        <w:t xml:space="preserve"> 一般规定</w:t>
      </w:r>
      <w:r>
        <w:tab/>
      </w:r>
      <w:r>
        <w:rPr>
          <w:rFonts w:hint="eastAsia"/>
          <w:lang w:val="en-US" w:eastAsia="zh-CN"/>
        </w:rPr>
        <w:t>1</w:t>
      </w:r>
      <w:r>
        <w:rPr>
          <w:rStyle w:val="33"/>
        </w:rPr>
        <w:fldChar w:fldCharType="end"/>
      </w:r>
      <w:r>
        <w:rPr>
          <w:rStyle w:val="33"/>
          <w:rFonts w:hint="eastAsia"/>
          <w:lang w:val="en-US" w:eastAsia="zh-CN"/>
        </w:rPr>
        <w:t>8</w:t>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"_Toc63589323"</w:instrText>
      </w:r>
      <w:r>
        <w:rPr>
          <w:rStyle w:val="33"/>
        </w:rPr>
        <w:instrText xml:space="preserve"> </w:instrText>
      </w:r>
      <w:r>
        <w:rPr>
          <w:rStyle w:val="33"/>
        </w:rPr>
        <w:fldChar w:fldCharType="separate"/>
      </w:r>
      <w:r>
        <w:rPr>
          <w:rStyle w:val="33"/>
        </w:rPr>
        <w:t>8.2</w:t>
      </w:r>
      <w:r>
        <w:rPr>
          <w:rStyle w:val="33"/>
          <w:rFonts w:hint="eastAsia" w:ascii="Times New Roman"/>
        </w:rPr>
        <w:t xml:space="preserve"> 成品质量检验及方法</w:t>
      </w:r>
      <w:r>
        <w:tab/>
      </w:r>
      <w:r>
        <w:rPr>
          <w:rFonts w:hint="eastAsia"/>
          <w:lang w:val="en-US" w:eastAsia="zh-CN"/>
        </w:rPr>
        <w:t>1</w:t>
      </w:r>
      <w:r>
        <w:rPr>
          <w:rStyle w:val="33"/>
        </w:rPr>
        <w:fldChar w:fldCharType="end"/>
      </w:r>
      <w:r>
        <w:rPr>
          <w:rStyle w:val="33"/>
          <w:rFonts w:hint="eastAsia"/>
          <w:lang w:val="en-US" w:eastAsia="zh-CN"/>
        </w:rPr>
        <w:t>8</w:t>
      </w:r>
    </w:p>
    <w:p>
      <w:pPr>
        <w:pStyle w:val="16"/>
        <w:keepNext w:val="0"/>
        <w:keepLines w:val="0"/>
        <w:pageBreakBefore w:val="0"/>
        <w:widowControl w:val="0"/>
        <w:tabs>
          <w:tab w:val="right" w:leader="dot" w:pos="9241"/>
        </w:tabs>
        <w:kinsoku/>
        <w:wordWrap/>
        <w:overflowPunct/>
        <w:topLinePunct w:val="0"/>
        <w:autoSpaceDE/>
        <w:autoSpaceDN/>
        <w:bidi w:val="0"/>
        <w:adjustRightInd w:val="0"/>
        <w:snapToGrid/>
        <w:spacing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"_Toc63589324"</w:instrText>
      </w:r>
      <w:r>
        <w:rPr>
          <w:rStyle w:val="33"/>
        </w:rPr>
        <w:instrText xml:space="preserve"> </w:instrText>
      </w:r>
      <w:r>
        <w:rPr>
          <w:rStyle w:val="33"/>
        </w:rPr>
        <w:fldChar w:fldCharType="separate"/>
      </w:r>
      <w:r>
        <w:rPr>
          <w:rStyle w:val="33"/>
        </w:rPr>
        <w:t>8.3</w:t>
      </w:r>
      <w:r>
        <w:rPr>
          <w:rStyle w:val="33"/>
          <w:rFonts w:hint="eastAsia" w:ascii="Times New Roman"/>
        </w:rPr>
        <w:t xml:space="preserve"> 检验规则</w:t>
      </w:r>
      <w:r>
        <w:tab/>
      </w:r>
      <w:r>
        <w:rPr>
          <w:rFonts w:hint="eastAsia"/>
          <w:lang w:val="en-US" w:eastAsia="zh-CN"/>
        </w:rPr>
        <w:t>2</w:t>
      </w:r>
      <w:r>
        <w:rPr>
          <w:rStyle w:val="33"/>
        </w:rPr>
        <w:fldChar w:fldCharType="end"/>
      </w:r>
      <w:r>
        <w:rPr>
          <w:rStyle w:val="33"/>
          <w:rFonts w:hint="eastAsia"/>
          <w:lang w:val="en-US" w:eastAsia="zh-CN"/>
        </w:rPr>
        <w:t>3</w:t>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"_Toc63589325"</w:instrText>
      </w:r>
      <w:r>
        <w:rPr>
          <w:rStyle w:val="33"/>
        </w:rPr>
        <w:instrText xml:space="preserve"> </w:instrText>
      </w:r>
      <w:r>
        <w:rPr>
          <w:rStyle w:val="33"/>
        </w:rPr>
        <w:fldChar w:fldCharType="separate"/>
      </w:r>
      <w:r>
        <w:rPr>
          <w:rStyle w:val="33"/>
        </w:rPr>
        <w:t>9</w:t>
      </w:r>
      <w:r>
        <w:rPr>
          <w:rStyle w:val="33"/>
          <w:rFonts w:hint="eastAsia"/>
        </w:rPr>
        <w:t xml:space="preserve"> 堆放、运输与成品保护</w:t>
      </w:r>
      <w:r>
        <w:tab/>
      </w:r>
      <w:r>
        <w:rPr>
          <w:rFonts w:hint="eastAsia"/>
          <w:lang w:val="en-US" w:eastAsia="zh-CN"/>
        </w:rPr>
        <w:t>2</w:t>
      </w:r>
      <w:r>
        <w:rPr>
          <w:rStyle w:val="33"/>
        </w:rPr>
        <w:fldChar w:fldCharType="end"/>
      </w:r>
      <w:r>
        <w:rPr>
          <w:rStyle w:val="33"/>
          <w:rFonts w:hint="eastAsia"/>
          <w:lang w:val="en-US" w:eastAsia="zh-CN"/>
        </w:rPr>
        <w:t>5</w:t>
      </w:r>
    </w:p>
    <w:p>
      <w:pPr>
        <w:pStyle w:val="25"/>
        <w:keepNext w:val="0"/>
        <w:keepLines w:val="0"/>
        <w:pageBreakBefore w:val="0"/>
        <w:widowControl w:val="0"/>
        <w:tabs>
          <w:tab w:val="right" w:leader="dot" w:pos="9241"/>
          <w:tab w:val="clear" w:pos="9344"/>
        </w:tabs>
        <w:kinsoku/>
        <w:wordWrap/>
        <w:overflowPunct/>
        <w:topLinePunct w:val="0"/>
        <w:autoSpaceDE/>
        <w:autoSpaceDN/>
        <w:bidi w:val="0"/>
        <w:adjustRightInd w:val="0"/>
        <w:snapToGrid/>
        <w:spacing w:line="360" w:lineRule="exact"/>
        <w:ind w:left="0" w:leftChars="0" w:firstLine="0" w:firstLineChars="0"/>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"_Toc63589331"</w:instrText>
      </w:r>
      <w:r>
        <w:rPr>
          <w:rStyle w:val="33"/>
        </w:rPr>
        <w:instrText xml:space="preserve"> </w:instrText>
      </w:r>
      <w:r>
        <w:rPr>
          <w:rStyle w:val="33"/>
        </w:rPr>
        <w:fldChar w:fldCharType="separate"/>
      </w:r>
      <w:r>
        <w:rPr>
          <w:rStyle w:val="33"/>
        </w:rPr>
        <w:t>10</w:t>
      </w:r>
      <w:r>
        <w:rPr>
          <w:rStyle w:val="33"/>
          <w:rFonts w:hint="eastAsia"/>
        </w:rPr>
        <w:t xml:space="preserve"> 档案资料</w:t>
      </w:r>
      <w:r>
        <w:tab/>
      </w:r>
      <w:r>
        <w:rPr>
          <w:rFonts w:hint="eastAsia"/>
          <w:lang w:val="en-US" w:eastAsia="zh-CN"/>
        </w:rPr>
        <w:t>2</w:t>
      </w:r>
      <w:r>
        <w:rPr>
          <w:rStyle w:val="33"/>
        </w:rPr>
        <w:fldChar w:fldCharType="end"/>
      </w:r>
      <w:r>
        <w:rPr>
          <w:rStyle w:val="33"/>
          <w:rFonts w:hint="eastAsia"/>
          <w:lang w:val="en-US" w:eastAsia="zh-CN"/>
        </w:rPr>
        <w:t>5</w:t>
      </w:r>
    </w:p>
    <w:p>
      <w:pPr>
        <w:pStyle w:val="20"/>
        <w:keepNext w:val="0"/>
        <w:keepLines w:val="0"/>
        <w:pageBreakBefore w:val="0"/>
        <w:widowControl w:val="0"/>
        <w:tabs>
          <w:tab w:val="right" w:leader="dot" w:pos="9241"/>
        </w:tabs>
        <w:kinsoku/>
        <w:wordWrap/>
        <w:overflowPunct/>
        <w:topLinePunct w:val="0"/>
        <w:autoSpaceDE/>
        <w:autoSpaceDN/>
        <w:bidi w:val="0"/>
        <w:adjustRightInd w:val="0"/>
        <w:snapToGrid/>
        <w:spacing w:before="78" w:after="78"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"_Toc63589338"</w:instrText>
      </w:r>
      <w:r>
        <w:rPr>
          <w:rStyle w:val="33"/>
        </w:rPr>
        <w:instrText xml:space="preserve"> </w:instrText>
      </w:r>
      <w:r>
        <w:rPr>
          <w:rStyle w:val="33"/>
        </w:rPr>
        <w:fldChar w:fldCharType="separate"/>
      </w:r>
      <w:r>
        <w:rPr>
          <w:rStyle w:val="33"/>
          <w:rFonts w:hint="eastAsia"/>
        </w:rPr>
        <w:t>附录A（规范性附录）原材料进场复检清单</w:t>
      </w:r>
      <w:r>
        <w:tab/>
      </w:r>
      <w:r>
        <w:fldChar w:fldCharType="begin"/>
      </w:r>
      <w:r>
        <w:instrText xml:space="preserve"> PAGEREF _Toc63589338 \h </w:instrText>
      </w:r>
      <w:r>
        <w:fldChar w:fldCharType="separate"/>
      </w:r>
      <w:r>
        <w:t>27</w:t>
      </w:r>
      <w:r>
        <w:fldChar w:fldCharType="end"/>
      </w:r>
      <w:r>
        <w:rPr>
          <w:rStyle w:val="33"/>
        </w:rPr>
        <w:fldChar w:fldCharType="end"/>
      </w:r>
    </w:p>
    <w:p>
      <w:pPr>
        <w:pStyle w:val="20"/>
        <w:keepNext w:val="0"/>
        <w:keepLines w:val="0"/>
        <w:pageBreakBefore w:val="0"/>
        <w:widowControl w:val="0"/>
        <w:tabs>
          <w:tab w:val="right" w:leader="dot" w:pos="9241"/>
        </w:tabs>
        <w:kinsoku/>
        <w:wordWrap/>
        <w:overflowPunct/>
        <w:topLinePunct w:val="0"/>
        <w:autoSpaceDE/>
        <w:autoSpaceDN/>
        <w:bidi w:val="0"/>
        <w:adjustRightInd w:val="0"/>
        <w:snapToGrid/>
        <w:spacing w:before="78" w:after="78"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"_Toc63589340"</w:instrText>
      </w:r>
      <w:r>
        <w:rPr>
          <w:rStyle w:val="33"/>
        </w:rPr>
        <w:instrText xml:space="preserve"> </w:instrText>
      </w:r>
      <w:r>
        <w:rPr>
          <w:rStyle w:val="33"/>
        </w:rPr>
        <w:fldChar w:fldCharType="separate"/>
      </w:r>
      <w:r>
        <w:rPr>
          <w:rStyle w:val="33"/>
          <w:rFonts w:hint="eastAsia"/>
          <w:bCs/>
        </w:rPr>
        <w:t>附录</w:t>
      </w:r>
      <w:r>
        <w:rPr>
          <w:rStyle w:val="33"/>
          <w:rFonts w:hint="eastAsia"/>
          <w:bCs/>
          <w:lang w:val="en-US" w:eastAsia="zh-CN"/>
        </w:rPr>
        <w:t>B</w:t>
      </w:r>
      <w:r>
        <w:rPr>
          <w:rStyle w:val="33"/>
          <w:rFonts w:hint="eastAsia"/>
        </w:rPr>
        <w:t>（规范性附录）</w:t>
      </w:r>
      <w:r>
        <w:rPr>
          <w:rStyle w:val="33"/>
          <w:rFonts w:hint="eastAsia"/>
          <w:bCs/>
        </w:rPr>
        <w:t>纤维增强塑料（</w:t>
      </w:r>
      <w:r>
        <w:rPr>
          <w:rStyle w:val="33"/>
          <w:bCs/>
        </w:rPr>
        <w:t>FRP</w:t>
      </w:r>
      <w:r>
        <w:rPr>
          <w:rStyle w:val="33"/>
          <w:rFonts w:hint="eastAsia"/>
          <w:bCs/>
        </w:rPr>
        <w:t>）拉结件节点组合性能抗拉试验</w:t>
      </w:r>
      <w:r>
        <w:tab/>
      </w:r>
      <w:r>
        <w:rPr>
          <w:rFonts w:hint="eastAsia"/>
          <w:lang w:val="en-US" w:eastAsia="zh-CN"/>
        </w:rPr>
        <w:t>2</w:t>
      </w:r>
      <w:r>
        <w:rPr>
          <w:rStyle w:val="33"/>
        </w:rPr>
        <w:fldChar w:fldCharType="end"/>
      </w:r>
      <w:r>
        <w:rPr>
          <w:rStyle w:val="33"/>
          <w:rFonts w:hint="eastAsia"/>
          <w:lang w:val="en-US" w:eastAsia="zh-CN"/>
        </w:rPr>
        <w:t>9</w:t>
      </w:r>
    </w:p>
    <w:p>
      <w:pPr>
        <w:pStyle w:val="20"/>
        <w:keepNext w:val="0"/>
        <w:keepLines w:val="0"/>
        <w:pageBreakBefore w:val="0"/>
        <w:widowControl w:val="0"/>
        <w:tabs>
          <w:tab w:val="right" w:leader="dot" w:pos="9241"/>
        </w:tabs>
        <w:kinsoku/>
        <w:wordWrap/>
        <w:overflowPunct/>
        <w:topLinePunct w:val="0"/>
        <w:autoSpaceDE/>
        <w:autoSpaceDN/>
        <w:bidi w:val="0"/>
        <w:adjustRightInd w:val="0"/>
        <w:snapToGrid/>
        <w:spacing w:before="78" w:after="78"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"_Toc63589341"</w:instrText>
      </w:r>
      <w:r>
        <w:rPr>
          <w:rStyle w:val="33"/>
        </w:rPr>
        <w:instrText xml:space="preserve"> </w:instrText>
      </w:r>
      <w:r>
        <w:rPr>
          <w:rStyle w:val="33"/>
        </w:rPr>
        <w:fldChar w:fldCharType="separate"/>
      </w:r>
      <w:r>
        <w:rPr>
          <w:rStyle w:val="33"/>
          <w:rFonts w:hint="eastAsia"/>
        </w:rPr>
        <w:t>附录</w:t>
      </w:r>
      <w:r>
        <w:rPr>
          <w:rStyle w:val="33"/>
          <w:rFonts w:hint="eastAsia"/>
          <w:lang w:val="en-US" w:eastAsia="zh-CN"/>
        </w:rPr>
        <w:t>C</w:t>
      </w:r>
      <w:r>
        <w:rPr>
          <w:rStyle w:val="33"/>
          <w:rFonts w:hint="eastAsia"/>
        </w:rPr>
        <w:t>（规范性附录）预制叠合板结构性能试验</w:t>
      </w:r>
      <w:r>
        <w:tab/>
      </w:r>
      <w:r>
        <w:rPr>
          <w:rFonts w:hint="eastAsia"/>
          <w:lang w:val="en-US" w:eastAsia="zh-CN"/>
        </w:rPr>
        <w:t>3</w:t>
      </w:r>
      <w:r>
        <w:rPr>
          <w:rStyle w:val="33"/>
        </w:rPr>
        <w:fldChar w:fldCharType="end"/>
      </w:r>
      <w:r>
        <w:rPr>
          <w:rStyle w:val="33"/>
          <w:rFonts w:hint="eastAsia"/>
          <w:lang w:val="en-US" w:eastAsia="zh-CN"/>
        </w:rPr>
        <w:t>1</w:t>
      </w:r>
    </w:p>
    <w:p>
      <w:pPr>
        <w:pStyle w:val="20"/>
        <w:keepNext w:val="0"/>
        <w:keepLines w:val="0"/>
        <w:pageBreakBefore w:val="0"/>
        <w:widowControl w:val="0"/>
        <w:tabs>
          <w:tab w:val="right" w:leader="dot" w:pos="9241"/>
        </w:tabs>
        <w:kinsoku/>
        <w:wordWrap/>
        <w:overflowPunct/>
        <w:topLinePunct w:val="0"/>
        <w:autoSpaceDE/>
        <w:autoSpaceDN/>
        <w:bidi w:val="0"/>
        <w:adjustRightInd w:val="0"/>
        <w:snapToGrid/>
        <w:spacing w:before="78" w:after="78"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"_Toc63589342"</w:instrText>
      </w:r>
      <w:r>
        <w:rPr>
          <w:rStyle w:val="33"/>
        </w:rPr>
        <w:instrText xml:space="preserve"> </w:instrText>
      </w:r>
      <w:r>
        <w:rPr>
          <w:rStyle w:val="33"/>
        </w:rPr>
        <w:fldChar w:fldCharType="separate"/>
      </w:r>
      <w:r>
        <w:rPr>
          <w:rStyle w:val="33"/>
          <w:rFonts w:hint="eastAsia"/>
        </w:rPr>
        <w:t>附录</w:t>
      </w:r>
      <w:r>
        <w:rPr>
          <w:rStyle w:val="33"/>
          <w:rFonts w:hint="eastAsia"/>
          <w:lang w:val="en-US" w:eastAsia="zh-CN"/>
        </w:rPr>
        <w:t>D</w:t>
      </w:r>
      <w:r>
        <w:rPr>
          <w:rStyle w:val="33"/>
          <w:rFonts w:hint="eastAsia"/>
        </w:rPr>
        <w:t>（规范性附录）叠合梁结构性能试验</w:t>
      </w:r>
      <w:r>
        <w:tab/>
      </w:r>
      <w:r>
        <w:fldChar w:fldCharType="begin"/>
      </w:r>
      <w:r>
        <w:instrText xml:space="preserve"> PAGEREF _Toc63589342 \h </w:instrText>
      </w:r>
      <w:r>
        <w:fldChar w:fldCharType="separate"/>
      </w:r>
      <w:r>
        <w:t>34</w:t>
      </w:r>
      <w:r>
        <w:fldChar w:fldCharType="end"/>
      </w:r>
      <w:r>
        <w:rPr>
          <w:rStyle w:val="33"/>
        </w:rPr>
        <w:fldChar w:fldCharType="end"/>
      </w:r>
    </w:p>
    <w:p>
      <w:pPr>
        <w:pStyle w:val="20"/>
        <w:keepNext w:val="0"/>
        <w:keepLines w:val="0"/>
        <w:pageBreakBefore w:val="0"/>
        <w:widowControl w:val="0"/>
        <w:tabs>
          <w:tab w:val="right" w:leader="dot" w:pos="9241"/>
        </w:tabs>
        <w:kinsoku/>
        <w:wordWrap/>
        <w:overflowPunct/>
        <w:topLinePunct w:val="0"/>
        <w:autoSpaceDE/>
        <w:autoSpaceDN/>
        <w:bidi w:val="0"/>
        <w:adjustRightInd w:val="0"/>
        <w:snapToGrid/>
        <w:spacing w:before="78" w:after="78" w:line="360" w:lineRule="exact"/>
        <w:textAlignment w:val="auto"/>
        <w:rPr>
          <w:rFonts w:ascii="Calibri" w:hAnsi="Calibri"/>
          <w:szCs w:val="22"/>
        </w:rPr>
      </w:pPr>
      <w:r>
        <w:rPr>
          <w:rStyle w:val="33"/>
        </w:rPr>
        <w:fldChar w:fldCharType="begin"/>
      </w:r>
      <w:r>
        <w:rPr>
          <w:rStyle w:val="33"/>
        </w:rPr>
        <w:instrText xml:space="preserve"> </w:instrText>
      </w:r>
      <w:r>
        <w:instrText xml:space="preserve">HYPERLINK \l "_Toc63589343"</w:instrText>
      </w:r>
      <w:r>
        <w:rPr>
          <w:rStyle w:val="33"/>
        </w:rPr>
        <w:instrText xml:space="preserve"> </w:instrText>
      </w:r>
      <w:r>
        <w:rPr>
          <w:rStyle w:val="33"/>
        </w:rPr>
        <w:fldChar w:fldCharType="separate"/>
      </w:r>
      <w:r>
        <w:rPr>
          <w:rStyle w:val="33"/>
          <w:rFonts w:hint="eastAsia"/>
        </w:rPr>
        <w:t>附录</w:t>
      </w:r>
      <w:r>
        <w:rPr>
          <w:rStyle w:val="33"/>
          <w:rFonts w:hint="eastAsia"/>
          <w:lang w:val="en-US" w:eastAsia="zh-CN"/>
        </w:rPr>
        <w:t>E</w:t>
      </w:r>
      <w:r>
        <w:rPr>
          <w:rStyle w:val="33"/>
          <w:rFonts w:hint="eastAsia"/>
        </w:rPr>
        <w:t>（规范性附录）预制混凝土叠合板表面粗糙度试验</w:t>
      </w:r>
      <w:r>
        <w:tab/>
      </w:r>
      <w:r>
        <w:fldChar w:fldCharType="begin"/>
      </w:r>
      <w:r>
        <w:instrText xml:space="preserve"> PAGEREF _Toc63589343 \h </w:instrText>
      </w:r>
      <w:r>
        <w:fldChar w:fldCharType="separate"/>
      </w:r>
      <w:r>
        <w:t>38</w:t>
      </w:r>
      <w:r>
        <w:fldChar w:fldCharType="end"/>
      </w:r>
      <w:r>
        <w:rPr>
          <w:rStyle w:val="33"/>
        </w:rPr>
        <w:fldChar w:fldCharType="end"/>
      </w:r>
    </w:p>
    <w:p>
      <w:pPr>
        <w:pStyle w:val="20"/>
        <w:keepNext w:val="0"/>
        <w:keepLines w:val="0"/>
        <w:pageBreakBefore w:val="0"/>
        <w:widowControl w:val="0"/>
        <w:tabs>
          <w:tab w:val="right" w:leader="dot" w:pos="9241"/>
        </w:tabs>
        <w:kinsoku/>
        <w:wordWrap/>
        <w:overflowPunct/>
        <w:topLinePunct w:val="0"/>
        <w:autoSpaceDE/>
        <w:autoSpaceDN/>
        <w:bidi w:val="0"/>
        <w:adjustRightInd w:val="0"/>
        <w:snapToGrid/>
        <w:spacing w:before="78" w:after="78" w:line="360" w:lineRule="exact"/>
        <w:textAlignment w:val="auto"/>
        <w:rPr>
          <w:rFonts w:hint="eastAsia" w:ascii="Calibri" w:hAnsi="Calibri" w:eastAsia="宋体"/>
          <w:szCs w:val="22"/>
          <w:lang w:val="en-US" w:eastAsia="zh-CN"/>
        </w:rPr>
      </w:pPr>
      <w:r>
        <w:rPr>
          <w:rStyle w:val="33"/>
        </w:rPr>
        <w:fldChar w:fldCharType="begin"/>
      </w:r>
      <w:r>
        <w:rPr>
          <w:rStyle w:val="33"/>
        </w:rPr>
        <w:instrText xml:space="preserve"> </w:instrText>
      </w:r>
      <w:r>
        <w:instrText xml:space="preserve">HYPERLINK \l "_Toc63589344"</w:instrText>
      </w:r>
      <w:r>
        <w:rPr>
          <w:rStyle w:val="33"/>
        </w:rPr>
        <w:instrText xml:space="preserve"> </w:instrText>
      </w:r>
      <w:r>
        <w:rPr>
          <w:rStyle w:val="33"/>
        </w:rPr>
        <w:fldChar w:fldCharType="separate"/>
      </w:r>
      <w:r>
        <w:rPr>
          <w:rStyle w:val="33"/>
          <w:rFonts w:hint="eastAsia"/>
          <w:bCs/>
        </w:rPr>
        <w:t>附录</w:t>
      </w:r>
      <w:r>
        <w:rPr>
          <w:rStyle w:val="33"/>
          <w:rFonts w:hint="eastAsia"/>
          <w:bCs/>
          <w:lang w:val="en-US" w:eastAsia="zh-CN"/>
        </w:rPr>
        <w:t>F</w:t>
      </w:r>
      <w:r>
        <w:rPr>
          <w:rStyle w:val="33"/>
          <w:rFonts w:hint="eastAsia"/>
        </w:rPr>
        <w:t>（规范性附录）</w:t>
      </w:r>
      <w:r>
        <w:rPr>
          <w:rStyle w:val="33"/>
          <w:rFonts w:hint="eastAsia"/>
          <w:bCs/>
        </w:rPr>
        <w:t>预制构件生产质量资料核查记录</w:t>
      </w:r>
      <w:r>
        <w:tab/>
      </w:r>
      <w:r>
        <w:rPr>
          <w:rFonts w:hint="eastAsia"/>
          <w:lang w:val="en-US" w:eastAsia="zh-CN"/>
        </w:rPr>
        <w:t>4</w:t>
      </w:r>
      <w:r>
        <w:rPr>
          <w:rStyle w:val="33"/>
        </w:rPr>
        <w:fldChar w:fldCharType="end"/>
      </w:r>
      <w:r>
        <w:rPr>
          <w:rStyle w:val="33"/>
          <w:rFonts w:hint="eastAsia"/>
          <w:lang w:val="en-US" w:eastAsia="zh-CN"/>
        </w:rPr>
        <w:t>0</w:t>
      </w:r>
    </w:p>
    <w:p>
      <w:pPr>
        <w:pStyle w:val="20"/>
        <w:keepNext w:val="0"/>
        <w:keepLines w:val="0"/>
        <w:pageBreakBefore w:val="0"/>
        <w:widowControl w:val="0"/>
        <w:tabs>
          <w:tab w:val="right" w:leader="dot" w:pos="9344"/>
        </w:tabs>
        <w:kinsoku/>
        <w:wordWrap/>
        <w:overflowPunct/>
        <w:topLinePunct w:val="0"/>
        <w:autoSpaceDE/>
        <w:autoSpaceDN/>
        <w:bidi w:val="0"/>
        <w:adjustRightInd w:val="0"/>
        <w:snapToGrid/>
        <w:spacing w:line="360" w:lineRule="exact"/>
        <w:textAlignment w:val="auto"/>
        <w:rPr>
          <w:rFonts w:asciiTheme="minorHAnsi" w:hAnsiTheme="minorHAnsi" w:eastAsiaTheme="minorEastAsia" w:cstheme="minorBidi"/>
          <w:szCs w:val="22"/>
        </w:rPr>
      </w:pPr>
      <w:r>
        <w:rPr>
          <w:kern w:val="2"/>
          <w:szCs w:val="21"/>
          <w:lang w:val="en-US" w:eastAsia="zh-CN"/>
        </w:rPr>
        <w:fldChar w:fldCharType="end"/>
      </w:r>
    </w:p>
    <w:p>
      <w:pPr>
        <w:pStyle w:val="93"/>
        <w:spacing w:after="468"/>
        <w:sectPr>
          <w:headerReference r:id="rId11" w:type="default"/>
          <w:footerReference r:id="rId13" w:type="default"/>
          <w:headerReference r:id="rId12" w:type="even"/>
          <w:footerReference r:id="rId14" w:type="even"/>
          <w:pgSz w:w="11906" w:h="16838"/>
          <w:pgMar w:top="567" w:right="1134" w:bottom="1134" w:left="1134" w:header="1418" w:footer="1134" w:gutter="284"/>
          <w:pgNumType w:fmt="upperRoman" w:start="1"/>
          <w:cols w:space="425" w:num="1"/>
          <w:formProt w:val="0"/>
          <w:docGrid w:type="lines" w:linePitch="312" w:charSpace="0"/>
        </w:sectPr>
      </w:pPr>
      <w:r>
        <w:fldChar w:fldCharType="end"/>
      </w:r>
    </w:p>
    <w:bookmarkEnd w:id="21"/>
    <w:p>
      <w:pPr>
        <w:pStyle w:val="91"/>
        <w:spacing w:after="468"/>
      </w:pPr>
      <w:bookmarkStart w:id="22" w:name="_Toc71273094"/>
      <w:bookmarkStart w:id="23" w:name="BookMark2"/>
      <w:r>
        <w:rPr>
          <w:spacing w:val="320"/>
        </w:rPr>
        <w:t>前</w:t>
      </w:r>
      <w:r>
        <w:t>言</w:t>
      </w:r>
      <w:bookmarkEnd w:id="22"/>
    </w:p>
    <w:p>
      <w:pPr>
        <w:pStyle w:val="233"/>
        <w:keepNext w:val="0"/>
        <w:keepLines w:val="0"/>
        <w:pageBreakBefore w:val="0"/>
        <w:kinsoku/>
        <w:wordWrap/>
        <w:overflowPunct/>
        <w:topLinePunct w:val="0"/>
        <w:bidi w:val="0"/>
        <w:snapToGrid/>
        <w:spacing w:line="240" w:lineRule="auto"/>
        <w:textAlignment w:val="auto"/>
      </w:pPr>
      <w:r>
        <w:rPr>
          <w:rFonts w:hint="eastAsia"/>
        </w:rPr>
        <w:t>本标准按照</w:t>
      </w:r>
      <w:bookmarkStart w:id="24" w:name="OLE_LINK15"/>
      <w:r>
        <w:rPr>
          <w:rFonts w:hint="eastAsia"/>
        </w:rPr>
        <w:t>GB/T1.1-2009</w:t>
      </w:r>
      <w:bookmarkEnd w:id="24"/>
      <w:r>
        <w:rPr>
          <w:rFonts w:hint="eastAsia"/>
        </w:rPr>
        <w:t>给出的规则起草。</w:t>
      </w:r>
    </w:p>
    <w:p>
      <w:pPr>
        <w:pStyle w:val="58"/>
        <w:keepNext w:val="0"/>
        <w:keepLines w:val="0"/>
        <w:pageBreakBefore w:val="0"/>
        <w:kinsoku/>
        <w:wordWrap/>
        <w:overflowPunct/>
        <w:topLinePunct w:val="0"/>
        <w:bidi w:val="0"/>
        <w:snapToGrid/>
        <w:spacing w:line="240" w:lineRule="auto"/>
        <w:ind w:firstLine="420"/>
        <w:textAlignment w:val="auto"/>
      </w:pPr>
      <w:r>
        <w:rPr>
          <w:rFonts w:hint="eastAsia"/>
        </w:rPr>
        <w:t>本标准由江苏省市场监督管理局提出并归口。</w:t>
      </w:r>
    </w:p>
    <w:p>
      <w:pPr>
        <w:keepNext w:val="0"/>
        <w:keepLines w:val="0"/>
        <w:pageBreakBefore w:val="0"/>
        <w:widowControl/>
        <w:kinsoku/>
        <w:wordWrap/>
        <w:overflowPunct/>
        <w:topLinePunct w:val="0"/>
        <w:bidi w:val="0"/>
        <w:snapToGrid/>
        <w:spacing w:line="240" w:lineRule="auto"/>
        <w:ind w:firstLine="420" w:firstLineChars="200"/>
        <w:textAlignment w:val="auto"/>
        <w:rPr>
          <w:rFonts w:hint="eastAsia" w:ascii="宋体"/>
          <w:kern w:val="0"/>
          <w:szCs w:val="20"/>
          <w:lang w:eastAsia="zh-CN"/>
        </w:rPr>
      </w:pPr>
      <w:r>
        <w:rPr>
          <w:rFonts w:hint="eastAsia"/>
        </w:rPr>
        <w:t>本标准负责起草单位：</w:t>
      </w:r>
      <w:r>
        <w:rPr>
          <w:rFonts w:hint="eastAsia" w:ascii="宋体"/>
          <w:kern w:val="0"/>
          <w:szCs w:val="20"/>
        </w:rPr>
        <w:t>江苏省建筑工程质量检测中心有限公司、江苏省建设工程质量监督总站</w:t>
      </w:r>
      <w:r>
        <w:rPr>
          <w:rFonts w:hint="eastAsia" w:ascii="宋体"/>
          <w:kern w:val="0"/>
          <w:szCs w:val="20"/>
          <w:lang w:eastAsia="zh-CN"/>
        </w:rPr>
        <w:t>。</w:t>
      </w:r>
    </w:p>
    <w:p>
      <w:pPr>
        <w:keepNext w:val="0"/>
        <w:keepLines w:val="0"/>
        <w:pageBreakBefore w:val="0"/>
        <w:kinsoku/>
        <w:wordWrap/>
        <w:overflowPunct/>
        <w:topLinePunct w:val="0"/>
        <w:bidi w:val="0"/>
        <w:snapToGrid/>
        <w:spacing w:line="240" w:lineRule="auto"/>
        <w:ind w:firstLine="420" w:firstLineChars="200"/>
        <w:textAlignment w:val="auto"/>
        <w:rPr>
          <w:rFonts w:hint="eastAsia" w:eastAsia="宋体"/>
          <w:lang w:val="en-US" w:eastAsia="zh-CN"/>
        </w:rPr>
      </w:pPr>
      <w:r>
        <w:rPr>
          <w:rFonts w:hint="eastAsia"/>
        </w:rPr>
        <w:t>本标准参加起草单位：南京市建筑工程质量安全监督站、东南大学、南京长江都市建筑设计股份有限公司、常州市建设工程管理中心、连云港市锐城建设工程有限公司</w:t>
      </w:r>
      <w:r>
        <w:rPr>
          <w:rFonts w:hint="eastAsia"/>
          <w:lang w:eastAsia="zh-CN"/>
        </w:rPr>
        <w:t>。</w:t>
      </w:r>
    </w:p>
    <w:p>
      <w:pPr>
        <w:keepNext w:val="0"/>
        <w:keepLines w:val="0"/>
        <w:pageBreakBefore w:val="0"/>
        <w:widowControl/>
        <w:kinsoku/>
        <w:wordWrap/>
        <w:overflowPunct/>
        <w:topLinePunct w:val="0"/>
        <w:bidi w:val="0"/>
        <w:snapToGrid/>
        <w:spacing w:line="240" w:lineRule="auto"/>
        <w:ind w:firstLine="420" w:firstLineChars="200"/>
        <w:textAlignment w:val="auto"/>
        <w:rPr>
          <w:rFonts w:hint="eastAsia" w:ascii="宋体"/>
          <w:kern w:val="0"/>
          <w:szCs w:val="20"/>
          <w:lang w:val="en-US" w:eastAsia="zh-CN"/>
        </w:rPr>
      </w:pPr>
      <w:r>
        <w:rPr>
          <w:rFonts w:hint="eastAsia" w:ascii="宋体"/>
          <w:kern w:val="0"/>
          <w:szCs w:val="20"/>
          <w:lang w:val="en-US" w:eastAsia="zh-CN"/>
        </w:rPr>
        <w:t>本标准主要起草人：张亚挺、李新忠、彭尧、许国东、吕如楠、冯健、江韩、刘明亮、孙君、朱晓喜、庞涛、周一锋、王金卿、石斌、杨磊、黄新、姜国庆、丁德良、张东亮、马俊晨。</w:t>
      </w:r>
    </w:p>
    <w:p>
      <w:pPr>
        <w:pStyle w:val="58"/>
        <w:ind w:firstLine="420"/>
      </w:pPr>
    </w:p>
    <w:p>
      <w:pPr>
        <w:pStyle w:val="58"/>
        <w:ind w:firstLine="420"/>
        <w:sectPr>
          <w:pgSz w:w="11906" w:h="16838"/>
          <w:pgMar w:top="567" w:right="1134" w:bottom="1134" w:left="1134" w:header="1418" w:footer="1134" w:gutter="284"/>
          <w:pgNumType w:fmt="upperRoman"/>
          <w:cols w:space="425" w:num="1"/>
          <w:formProt w:val="0"/>
          <w:docGrid w:type="lines" w:linePitch="312" w:charSpace="0"/>
        </w:sectPr>
      </w:pPr>
    </w:p>
    <w:bookmarkEnd w:id="23"/>
    <w:p>
      <w:pPr>
        <w:spacing w:line="20" w:lineRule="exact"/>
        <w:jc w:val="center"/>
        <w:rPr>
          <w:rFonts w:ascii="黑体" w:hAnsi="黑体" w:eastAsia="黑体"/>
          <w:sz w:val="32"/>
          <w:szCs w:val="32"/>
        </w:rPr>
      </w:pPr>
      <w:bookmarkStart w:id="25" w:name="BookMark4"/>
    </w:p>
    <w:p>
      <w:pPr>
        <w:spacing w:line="20" w:lineRule="exact"/>
        <w:jc w:val="center"/>
        <w:rPr>
          <w:rFonts w:ascii="黑体" w:hAnsi="黑体" w:eastAsia="黑体"/>
          <w:sz w:val="32"/>
          <w:szCs w:val="32"/>
        </w:rPr>
      </w:pPr>
    </w:p>
    <w:sdt>
      <w:sdtPr>
        <w:tag w:val="NEW_STAND_NAME"/>
        <w:id w:val="595910757"/>
        <w:lock w:val="sdtLocked"/>
        <w:placeholder>
          <w:docPart w:val="0B9AC1DAF4D94C6BB6F8661462FD8D92"/>
        </w:placeholder>
      </w:sdtPr>
      <w:sdtContent>
        <w:p>
          <w:pPr>
            <w:pStyle w:val="179"/>
            <w:spacing w:beforeLines="182" w:afterLines="220"/>
          </w:pPr>
          <w:bookmarkStart w:id="26" w:name="NEW_STAND_NAME"/>
          <w:r>
            <w:rPr>
              <w:rFonts w:ascii="黑体" w:hAnsi="Times New Roman" w:eastAsia="黑体"/>
              <w:color w:val="auto"/>
              <w:kern w:val="0"/>
              <w:sz w:val="32"/>
              <w:szCs w:val="20"/>
            </w:rPr>
            <w:t>装配式混凝土结构预制构件质量检验规程</w:t>
          </w:r>
        </w:p>
      </w:sdtContent>
    </w:sdt>
    <w:bookmarkEnd w:id="26"/>
    <w:p>
      <w:pPr>
        <w:pStyle w:val="106"/>
        <w:spacing w:before="312" w:after="312"/>
      </w:pPr>
      <w:bookmarkStart w:id="27" w:name="_Toc24884218"/>
      <w:bookmarkStart w:id="28" w:name="_Toc17233333"/>
      <w:bookmarkStart w:id="29" w:name="_Toc71273095"/>
      <w:bookmarkStart w:id="30" w:name="_Toc26986771"/>
      <w:bookmarkStart w:id="31" w:name="_Toc26718930"/>
      <w:bookmarkStart w:id="32" w:name="_Toc26648465"/>
      <w:bookmarkStart w:id="33" w:name="_Toc24884211"/>
      <w:bookmarkStart w:id="34" w:name="_Toc17233325"/>
      <w:bookmarkStart w:id="35" w:name="_Toc26986530"/>
      <w:r>
        <w:rPr>
          <w:rFonts w:hint="eastAsia"/>
        </w:rPr>
        <w:t>范围</w:t>
      </w:r>
      <w:bookmarkEnd w:id="27"/>
      <w:bookmarkEnd w:id="28"/>
      <w:bookmarkEnd w:id="29"/>
      <w:bookmarkEnd w:id="30"/>
      <w:bookmarkEnd w:id="31"/>
      <w:bookmarkEnd w:id="32"/>
      <w:bookmarkEnd w:id="33"/>
      <w:bookmarkEnd w:id="34"/>
      <w:bookmarkEnd w:id="35"/>
    </w:p>
    <w:p>
      <w:pPr>
        <w:ind w:firstLine="420" w:firstLineChars="200"/>
      </w:pPr>
      <w:bookmarkStart w:id="36" w:name="_Toc17233334"/>
      <w:bookmarkStart w:id="37" w:name="_Toc24884212"/>
      <w:bookmarkStart w:id="38" w:name="_Toc26648466"/>
      <w:bookmarkStart w:id="39" w:name="_Toc17233326"/>
      <w:bookmarkStart w:id="40" w:name="_Toc24884219"/>
      <w:r>
        <w:rPr>
          <w:rFonts w:hint="eastAsia"/>
        </w:rPr>
        <w:t>本</w:t>
      </w:r>
      <w:r>
        <w:rPr>
          <w:rFonts w:hint="eastAsia"/>
          <w:kern w:val="0"/>
        </w:rPr>
        <w:t>标准规定了</w:t>
      </w:r>
      <w:r>
        <w:rPr>
          <w:kern w:val="0"/>
        </w:rPr>
        <w:t>装配式混凝土结构预制构件质量检验规程</w:t>
      </w:r>
      <w:r>
        <w:rPr>
          <w:rFonts w:hint="eastAsia"/>
        </w:rPr>
        <w:t>的术语、</w:t>
      </w:r>
      <w:r>
        <w:rPr>
          <w:rFonts w:hint="eastAsia"/>
          <w:kern w:val="0"/>
        </w:rPr>
        <w:t>总则、基本规定、制构件材料质量检验、生产过程质量检验、成品质量验收、堆放运输与成品保护、档案资料。</w:t>
      </w:r>
    </w:p>
    <w:p>
      <w:pPr>
        <w:pStyle w:val="58"/>
        <w:ind w:firstLine="420"/>
      </w:pPr>
      <w:r>
        <w:rPr>
          <w:rFonts w:hint="eastAsia"/>
        </w:rPr>
        <w:t>本标准适用于装配式混凝土结构预制构件的材料质量、生产过程质量和成品质量的检验，</w:t>
      </w:r>
      <w:r>
        <w:t>堆放运输</w:t>
      </w:r>
      <w:r>
        <w:rPr>
          <w:rFonts w:hint="eastAsia"/>
        </w:rPr>
        <w:t>，</w:t>
      </w:r>
      <w:r>
        <w:t>成品保护和档案资料</w:t>
      </w:r>
      <w:r>
        <w:rPr>
          <w:rFonts w:hint="eastAsia"/>
        </w:rPr>
        <w:t>管理。</w:t>
      </w:r>
    </w:p>
    <w:p>
      <w:pPr>
        <w:pStyle w:val="106"/>
        <w:spacing w:before="312" w:after="312"/>
      </w:pPr>
      <w:bookmarkStart w:id="41" w:name="_Toc26718931"/>
      <w:bookmarkStart w:id="42" w:name="_Toc26986772"/>
      <w:bookmarkStart w:id="43" w:name="_Toc71273096"/>
      <w:bookmarkStart w:id="44" w:name="_Toc26986531"/>
      <w:r>
        <w:rPr>
          <w:rFonts w:hint="eastAsia"/>
        </w:rPr>
        <w:t>规范性引用文件</w:t>
      </w:r>
      <w:bookmarkEnd w:id="36"/>
      <w:bookmarkEnd w:id="37"/>
      <w:bookmarkEnd w:id="38"/>
      <w:bookmarkEnd w:id="39"/>
      <w:bookmarkEnd w:id="40"/>
      <w:bookmarkEnd w:id="41"/>
      <w:bookmarkEnd w:id="42"/>
      <w:bookmarkEnd w:id="43"/>
      <w:bookmarkEnd w:id="44"/>
    </w:p>
    <w:sdt>
      <w:sdtPr>
        <w:rPr>
          <w:rFonts w:hint="eastAsia"/>
        </w:rPr>
        <w:id w:val="715848253"/>
        <w:placeholder>
          <w:docPart w:val="B61532C5FF6E4BFBA109D27D2165E62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3"/>
      </w:pPr>
      <w:r>
        <w:t>GB 175</w:t>
      </w:r>
      <w:r>
        <w:rPr>
          <w:rFonts w:hint="eastAsia"/>
        </w:rPr>
        <w:t xml:space="preserve"> 通用硅酸盐水泥</w:t>
      </w:r>
    </w:p>
    <w:p>
      <w:pPr>
        <w:pStyle w:val="233"/>
        <w:rPr>
          <w:rFonts w:hint="eastAsia"/>
        </w:rPr>
      </w:pPr>
      <w:r>
        <w:rPr>
          <w:rFonts w:hint="eastAsia"/>
        </w:rPr>
        <w:t>GB/T 17431.1</w:t>
      </w:r>
      <w:r>
        <w:rPr>
          <w:rFonts w:hint="eastAsia"/>
          <w:lang w:val="en-US" w:eastAsia="zh-CN"/>
        </w:rPr>
        <w:t xml:space="preserve"> </w:t>
      </w:r>
      <w:r>
        <w:rPr>
          <w:rFonts w:hint="eastAsia"/>
        </w:rPr>
        <w:t>轻集料及其试验方法第1部分：轻集料</w:t>
      </w:r>
    </w:p>
    <w:p>
      <w:pPr>
        <w:pStyle w:val="233"/>
        <w:rPr>
          <w:rFonts w:hint="eastAsia"/>
        </w:rPr>
      </w:pPr>
      <w:r>
        <w:rPr>
          <w:rFonts w:hint="eastAsia"/>
        </w:rPr>
        <w:t>GB/T 1596</w:t>
      </w:r>
      <w:r>
        <w:rPr>
          <w:rFonts w:hint="eastAsia"/>
          <w:lang w:val="en-US" w:eastAsia="zh-CN"/>
        </w:rPr>
        <w:t xml:space="preserve"> </w:t>
      </w:r>
      <w:r>
        <w:rPr>
          <w:rFonts w:hint="eastAsia"/>
        </w:rPr>
        <w:t>用于水泥、砂浆和混凝土中的粉煤灰</w:t>
      </w:r>
      <w:r>
        <w:rPr>
          <w:rFonts w:hint="eastAsia"/>
          <w:lang w:val="en-US" w:eastAsia="zh-CN"/>
        </w:rPr>
        <w:t xml:space="preserve"> </w:t>
      </w:r>
    </w:p>
    <w:p>
      <w:pPr>
        <w:pStyle w:val="233"/>
        <w:rPr>
          <w:rFonts w:hint="eastAsia" w:hAnsi="Times New Roman" w:eastAsia="宋体" w:cs="Times New Roman"/>
          <w:lang w:val="en-US" w:eastAsia="zh-CN"/>
        </w:rPr>
      </w:pPr>
      <w:r>
        <w:rPr>
          <w:rFonts w:hint="eastAsia" w:hAnsi="Times New Roman" w:eastAsia="宋体" w:cs="Times New Roman"/>
        </w:rPr>
        <w:t>GB/T 18046</w:t>
      </w:r>
      <w:r>
        <w:rPr>
          <w:rFonts w:hint="eastAsia" w:hAnsi="Times New Roman" w:eastAsia="宋体" w:cs="Times New Roman"/>
          <w:lang w:val="en-US" w:eastAsia="zh-CN"/>
        </w:rPr>
        <w:t xml:space="preserve"> </w:t>
      </w:r>
      <w:r>
        <w:rPr>
          <w:rFonts w:hint="eastAsia" w:hAnsi="Times New Roman" w:eastAsia="宋体" w:cs="Times New Roman"/>
        </w:rPr>
        <w:t>用于水泥和混凝土中的粒化高炉矿渣粉</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5223</w:t>
      </w:r>
      <w:r>
        <w:rPr>
          <w:rFonts w:hint="eastAsia" w:hAnsi="Times New Roman" w:eastAsia="宋体" w:cs="Times New Roman"/>
          <w:lang w:val="en-US" w:eastAsia="zh-CN"/>
        </w:rPr>
        <w:t xml:space="preserve"> </w:t>
      </w:r>
      <w:r>
        <w:rPr>
          <w:rFonts w:hint="eastAsia" w:hAnsi="Times New Roman" w:eastAsia="宋体" w:cs="Times New Roman"/>
        </w:rPr>
        <w:t>预应力混凝土用钢丝</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5224</w:t>
      </w:r>
      <w:r>
        <w:rPr>
          <w:rFonts w:hint="eastAsia" w:hAnsi="Times New Roman" w:eastAsia="宋体" w:cs="Times New Roman"/>
          <w:lang w:val="en-US" w:eastAsia="zh-CN"/>
        </w:rPr>
        <w:t xml:space="preserve"> </w:t>
      </w:r>
      <w:r>
        <w:rPr>
          <w:rFonts w:hint="eastAsia" w:hAnsi="Times New Roman" w:eastAsia="宋体" w:cs="Times New Roman"/>
        </w:rPr>
        <w:t>预应力混凝土用钢绞线</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1499.2</w:t>
      </w:r>
      <w:r>
        <w:rPr>
          <w:rFonts w:hint="eastAsia" w:hAnsi="Times New Roman" w:eastAsia="宋体" w:cs="Times New Roman"/>
          <w:lang w:val="en-US" w:eastAsia="zh-CN"/>
        </w:rPr>
        <w:t xml:space="preserve"> </w:t>
      </w:r>
      <w:r>
        <w:rPr>
          <w:rFonts w:hint="eastAsia" w:hAnsi="Times New Roman" w:eastAsia="宋体" w:cs="Times New Roman"/>
        </w:rPr>
        <w:t>钢筋混凝土用钢 第2部分：热轧带肋钢筋</w:t>
      </w:r>
      <w:r>
        <w:rPr>
          <w:rFonts w:hint="eastAsia" w:hAnsi="Times New Roman" w:eastAsia="宋体" w:cs="Times New Roman"/>
          <w:lang w:val="en-US" w:eastAsia="zh-CN"/>
        </w:rPr>
        <w:t xml:space="preserve"> </w:t>
      </w:r>
    </w:p>
    <w:p>
      <w:pPr>
        <w:pStyle w:val="233"/>
        <w:rPr>
          <w:rFonts w:hint="eastAsia" w:hAnsi="Times New Roman" w:eastAsia="宋体" w:cs="Times New Roman"/>
          <w:lang w:val="en-US" w:eastAsia="zh-CN"/>
        </w:rPr>
      </w:pPr>
      <w:r>
        <w:rPr>
          <w:rFonts w:hint="eastAsia" w:hAnsi="Times New Roman" w:eastAsia="宋体" w:cs="Times New Roman"/>
        </w:rPr>
        <w:t>GB/T50448</w:t>
      </w:r>
      <w:r>
        <w:rPr>
          <w:rFonts w:hint="eastAsia" w:hAnsi="Times New Roman" w:eastAsia="宋体" w:cs="Times New Roman"/>
          <w:lang w:val="en-US" w:eastAsia="zh-CN"/>
        </w:rPr>
        <w:t xml:space="preserve"> </w:t>
      </w:r>
      <w:r>
        <w:rPr>
          <w:rFonts w:hint="eastAsia" w:hAnsi="Times New Roman" w:eastAsia="宋体" w:cs="Times New Roman"/>
        </w:rPr>
        <w:t>水泥基灌浆材料应用技术规程</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 50017</w:t>
      </w:r>
      <w:r>
        <w:rPr>
          <w:rFonts w:hint="eastAsia" w:hAnsi="Times New Roman" w:eastAsia="宋体" w:cs="Times New Roman"/>
          <w:lang w:val="en-US" w:eastAsia="zh-CN"/>
        </w:rPr>
        <w:t xml:space="preserve"> </w:t>
      </w:r>
      <w:r>
        <w:rPr>
          <w:rFonts w:hint="eastAsia" w:hAnsi="Times New Roman" w:eastAsia="宋体" w:cs="Times New Roman"/>
        </w:rPr>
        <w:t>钢结构设计标准</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 50661</w:t>
      </w:r>
      <w:r>
        <w:rPr>
          <w:rFonts w:hint="eastAsia" w:hAnsi="Times New Roman" w:eastAsia="宋体" w:cs="Times New Roman"/>
          <w:lang w:val="en-US" w:eastAsia="zh-CN"/>
        </w:rPr>
        <w:t xml:space="preserve"> </w:t>
      </w:r>
      <w:r>
        <w:rPr>
          <w:rFonts w:hint="eastAsia" w:hAnsi="Times New Roman" w:eastAsia="宋体" w:cs="Times New Roman"/>
        </w:rPr>
        <w:t>钢结构焊接规范</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14902</w:t>
      </w:r>
      <w:r>
        <w:rPr>
          <w:rFonts w:hint="eastAsia" w:hAnsi="Times New Roman" w:eastAsia="宋体" w:cs="Times New Roman"/>
          <w:lang w:val="en-US" w:eastAsia="zh-CN"/>
        </w:rPr>
        <w:t xml:space="preserve"> </w:t>
      </w:r>
      <w:r>
        <w:rPr>
          <w:rFonts w:hint="eastAsia" w:hAnsi="Times New Roman" w:eastAsia="宋体" w:cs="Times New Roman"/>
        </w:rPr>
        <w:t>预拌混凝土</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50107</w:t>
      </w:r>
      <w:r>
        <w:rPr>
          <w:rFonts w:hint="eastAsia" w:hAnsi="Times New Roman" w:eastAsia="宋体" w:cs="Times New Roman"/>
          <w:lang w:val="en-US" w:eastAsia="zh-CN"/>
        </w:rPr>
        <w:t xml:space="preserve"> </w:t>
      </w:r>
      <w:r>
        <w:rPr>
          <w:rFonts w:hint="eastAsia" w:hAnsi="Times New Roman" w:eastAsia="宋体" w:cs="Times New Roman"/>
        </w:rPr>
        <w:t>混凝土强度检验评定标准</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 50010</w:t>
      </w:r>
      <w:r>
        <w:rPr>
          <w:rFonts w:hint="eastAsia" w:hAnsi="Times New Roman" w:eastAsia="宋体" w:cs="Times New Roman"/>
          <w:lang w:val="en-US" w:eastAsia="zh-CN"/>
        </w:rPr>
        <w:t xml:space="preserve"> </w:t>
      </w:r>
      <w:r>
        <w:rPr>
          <w:rFonts w:hint="eastAsia" w:hAnsi="Times New Roman" w:eastAsia="宋体" w:cs="Times New Roman"/>
        </w:rPr>
        <w:t>混凝土结构设计规范</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 50666</w:t>
      </w:r>
      <w:r>
        <w:rPr>
          <w:rFonts w:hint="eastAsia" w:hAnsi="Times New Roman" w:eastAsia="宋体" w:cs="Times New Roman"/>
          <w:lang w:val="en-US" w:eastAsia="zh-CN"/>
        </w:rPr>
        <w:t xml:space="preserve"> </w:t>
      </w:r>
      <w:r>
        <w:rPr>
          <w:rFonts w:hint="eastAsia" w:hAnsi="Times New Roman" w:eastAsia="宋体" w:cs="Times New Roman"/>
        </w:rPr>
        <w:t>混凝土结构工程施工规范</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 50204</w:t>
      </w:r>
      <w:r>
        <w:rPr>
          <w:rFonts w:hint="eastAsia" w:hAnsi="Times New Roman" w:eastAsia="宋体" w:cs="Times New Roman"/>
          <w:lang w:val="en-US" w:eastAsia="zh-CN"/>
        </w:rPr>
        <w:t xml:space="preserve"> </w:t>
      </w:r>
      <w:r>
        <w:rPr>
          <w:rFonts w:hint="eastAsia" w:hAnsi="Times New Roman" w:eastAsia="宋体" w:cs="Times New Roman"/>
        </w:rPr>
        <w:t>混凝土结构工程施工质量验收规范</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50081</w:t>
      </w:r>
      <w:r>
        <w:rPr>
          <w:rFonts w:hint="eastAsia" w:hAnsi="Times New Roman" w:eastAsia="宋体" w:cs="Times New Roman"/>
          <w:lang w:val="en-US" w:eastAsia="zh-CN"/>
        </w:rPr>
        <w:t xml:space="preserve"> </w:t>
      </w:r>
      <w:r>
        <w:rPr>
          <w:rFonts w:hint="eastAsia" w:hAnsi="Times New Roman" w:eastAsia="宋体" w:cs="Times New Roman"/>
        </w:rPr>
        <w:t>混凝土物理力学性能试验方法标准</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13475</w:t>
      </w:r>
      <w:r>
        <w:rPr>
          <w:rFonts w:hint="eastAsia" w:hAnsi="Times New Roman" w:eastAsia="宋体" w:cs="Times New Roman"/>
          <w:lang w:val="en-US" w:eastAsia="zh-CN"/>
        </w:rPr>
        <w:t xml:space="preserve"> </w:t>
      </w:r>
      <w:r>
        <w:rPr>
          <w:rFonts w:hint="eastAsia" w:hAnsi="Times New Roman" w:eastAsia="宋体" w:cs="Times New Roman"/>
        </w:rPr>
        <w:t>绝热 稳态传热性质的测定 标定和防护热箱法</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 8624</w:t>
      </w:r>
      <w:r>
        <w:rPr>
          <w:rFonts w:hint="eastAsia" w:hAnsi="Times New Roman" w:eastAsia="宋体" w:cs="Times New Roman"/>
          <w:lang w:val="en-US" w:eastAsia="zh-CN"/>
        </w:rPr>
        <w:t xml:space="preserve"> </w:t>
      </w:r>
      <w:r>
        <w:rPr>
          <w:rFonts w:hint="eastAsia" w:hAnsi="Times New Roman" w:eastAsia="宋体" w:cs="Times New Roman"/>
        </w:rPr>
        <w:t>建筑材料及制品燃烧性能分级</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19889.3</w:t>
      </w:r>
      <w:r>
        <w:rPr>
          <w:rFonts w:hint="eastAsia" w:hAnsi="Times New Roman" w:eastAsia="宋体" w:cs="Times New Roman"/>
          <w:lang w:val="en-US" w:eastAsia="zh-CN"/>
        </w:rPr>
        <w:t xml:space="preserve"> </w:t>
      </w:r>
      <w:r>
        <w:rPr>
          <w:rFonts w:hint="eastAsia" w:hAnsi="Times New Roman" w:eastAsia="宋体" w:cs="Times New Roman"/>
        </w:rPr>
        <w:t>声学 建筑和建筑构件隔声测量 第3部分：建筑构件空气声隔声的实验室测量</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GB/T 15227</w:t>
      </w:r>
      <w:r>
        <w:rPr>
          <w:rFonts w:hint="eastAsia" w:hAnsi="Times New Roman" w:eastAsia="宋体" w:cs="Times New Roman"/>
          <w:lang w:val="en-US" w:eastAsia="zh-CN"/>
        </w:rPr>
        <w:t xml:space="preserve"> </w:t>
      </w:r>
      <w:r>
        <w:rPr>
          <w:rFonts w:hint="eastAsia" w:hAnsi="Times New Roman" w:eastAsia="宋体" w:cs="Times New Roman"/>
        </w:rPr>
        <w:t>建筑幕墙气密、水密、抗风压性能检测方法</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JGJ 52</w:t>
      </w:r>
      <w:r>
        <w:rPr>
          <w:rFonts w:hint="eastAsia" w:hAnsi="Times New Roman" w:eastAsia="宋体" w:cs="Times New Roman"/>
          <w:lang w:val="en-US" w:eastAsia="zh-CN"/>
        </w:rPr>
        <w:t xml:space="preserve"> </w:t>
      </w:r>
      <w:r>
        <w:rPr>
          <w:rFonts w:hint="eastAsia" w:hAnsi="Times New Roman" w:eastAsia="宋体" w:cs="Times New Roman"/>
        </w:rPr>
        <w:t>普通混凝土用砂、石质量及检验方法标准</w:t>
      </w:r>
      <w:r>
        <w:rPr>
          <w:rFonts w:hint="eastAsia" w:hAnsi="Times New Roman" w:eastAsia="宋体" w:cs="Times New Roman"/>
          <w:lang w:val="en-US" w:eastAsia="zh-CN"/>
        </w:rPr>
        <w:t xml:space="preserve"> </w:t>
      </w:r>
    </w:p>
    <w:p>
      <w:pPr>
        <w:pStyle w:val="233"/>
        <w:rPr>
          <w:rFonts w:hint="eastAsia" w:hAnsi="Times New Roman" w:eastAsia="宋体" w:cs="Times New Roman"/>
          <w:lang w:val="en-US" w:eastAsia="zh-CN"/>
        </w:rPr>
      </w:pPr>
      <w:r>
        <w:rPr>
          <w:rFonts w:hint="eastAsia" w:hAnsi="Times New Roman" w:eastAsia="宋体" w:cs="Times New Roman"/>
        </w:rPr>
        <w:t>JGJ 85</w:t>
      </w:r>
      <w:r>
        <w:rPr>
          <w:rFonts w:hint="eastAsia" w:hAnsi="Times New Roman" w:eastAsia="宋体" w:cs="Times New Roman"/>
          <w:lang w:val="en-US" w:eastAsia="zh-CN"/>
        </w:rPr>
        <w:t xml:space="preserve"> </w:t>
      </w:r>
      <w:r>
        <w:rPr>
          <w:rFonts w:hint="eastAsia" w:hAnsi="Times New Roman" w:eastAsia="宋体" w:cs="Times New Roman"/>
        </w:rPr>
        <w:t>预应力筋用锚具、夹具和连接器应用技术规程</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JG/T 408</w:t>
      </w:r>
      <w:r>
        <w:rPr>
          <w:rFonts w:hint="eastAsia" w:hAnsi="Times New Roman" w:eastAsia="宋体" w:cs="Times New Roman"/>
          <w:lang w:val="en-US" w:eastAsia="zh-CN"/>
        </w:rPr>
        <w:t xml:space="preserve"> </w:t>
      </w:r>
      <w:r>
        <w:rPr>
          <w:rFonts w:hint="eastAsia" w:hAnsi="Times New Roman" w:eastAsia="宋体" w:cs="Times New Roman"/>
        </w:rPr>
        <w:t>钢筋连接用套筒灌浆料</w:t>
      </w:r>
      <w:r>
        <w:rPr>
          <w:rFonts w:hint="eastAsia" w:hAnsi="Times New Roman" w:eastAsia="宋体" w:cs="Times New Roman"/>
          <w:lang w:val="en-US" w:eastAsia="zh-CN"/>
        </w:rPr>
        <w:t xml:space="preserve"> </w:t>
      </w:r>
    </w:p>
    <w:p>
      <w:pPr>
        <w:pStyle w:val="233"/>
        <w:rPr>
          <w:rFonts w:hint="eastAsia" w:hAnsi="Times New Roman" w:eastAsia="宋体" w:cs="Times New Roman"/>
          <w:lang w:val="en-US" w:eastAsia="zh-CN"/>
        </w:rPr>
      </w:pPr>
      <w:r>
        <w:rPr>
          <w:rFonts w:hint="eastAsia" w:hAnsi="Times New Roman" w:eastAsia="宋体" w:cs="Times New Roman"/>
        </w:rPr>
        <w:t>JGJ 18</w:t>
      </w:r>
      <w:r>
        <w:rPr>
          <w:rFonts w:hint="eastAsia" w:hAnsi="Times New Roman" w:eastAsia="宋体" w:cs="Times New Roman"/>
          <w:lang w:val="en-US" w:eastAsia="zh-CN"/>
        </w:rPr>
        <w:t xml:space="preserve"> </w:t>
      </w:r>
      <w:r>
        <w:rPr>
          <w:rFonts w:hint="eastAsia" w:hAnsi="Times New Roman" w:eastAsia="宋体" w:cs="Times New Roman"/>
        </w:rPr>
        <w:t>钢筋焊接及验收规程</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JGJ 55</w:t>
      </w:r>
      <w:r>
        <w:rPr>
          <w:rFonts w:hint="eastAsia" w:hAnsi="Times New Roman" w:eastAsia="宋体" w:cs="Times New Roman"/>
          <w:lang w:val="en-US" w:eastAsia="zh-CN"/>
        </w:rPr>
        <w:t xml:space="preserve"> </w:t>
      </w:r>
      <w:r>
        <w:rPr>
          <w:rFonts w:hint="eastAsia" w:hAnsi="Times New Roman" w:eastAsia="宋体" w:cs="Times New Roman"/>
        </w:rPr>
        <w:t>普通混凝土配合比设计规程</w:t>
      </w:r>
      <w:r>
        <w:rPr>
          <w:rFonts w:hint="eastAsia" w:hAnsi="Times New Roman" w:eastAsia="宋体" w:cs="Times New Roman"/>
          <w:lang w:val="en-US" w:eastAsia="zh-CN"/>
        </w:rPr>
        <w:t xml:space="preserve"> </w:t>
      </w:r>
    </w:p>
    <w:p>
      <w:pPr>
        <w:pStyle w:val="233"/>
        <w:rPr>
          <w:rFonts w:hint="eastAsia" w:hAnsi="Times New Roman" w:eastAsia="宋体" w:cs="Times New Roman"/>
          <w:lang w:val="en-US" w:eastAsia="zh-CN"/>
        </w:rPr>
      </w:pPr>
      <w:r>
        <w:rPr>
          <w:rFonts w:hint="eastAsia" w:hAnsi="Times New Roman" w:eastAsia="宋体" w:cs="Times New Roman"/>
        </w:rPr>
        <w:t>JGJ 107</w:t>
      </w:r>
      <w:r>
        <w:rPr>
          <w:rFonts w:hint="eastAsia" w:hAnsi="Times New Roman" w:eastAsia="宋体" w:cs="Times New Roman"/>
          <w:lang w:val="en-US" w:eastAsia="zh-CN"/>
        </w:rPr>
        <w:t xml:space="preserve"> </w:t>
      </w:r>
      <w:r>
        <w:rPr>
          <w:rFonts w:hint="eastAsia" w:hAnsi="Times New Roman" w:eastAsia="宋体" w:cs="Times New Roman"/>
        </w:rPr>
        <w:t>钢筋机械连接技术规程</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JGJ/T 152</w:t>
      </w:r>
      <w:r>
        <w:rPr>
          <w:rFonts w:hint="eastAsia" w:hAnsi="Times New Roman" w:eastAsia="宋体" w:cs="Times New Roman"/>
          <w:lang w:val="en-US" w:eastAsia="zh-CN"/>
        </w:rPr>
        <w:t xml:space="preserve"> </w:t>
      </w:r>
      <w:r>
        <w:rPr>
          <w:rFonts w:hint="eastAsia" w:hAnsi="Times New Roman" w:eastAsia="宋体" w:cs="Times New Roman"/>
        </w:rPr>
        <w:t>混凝土中钢筋检测技术标准</w:t>
      </w:r>
      <w:r>
        <w:rPr>
          <w:rFonts w:hint="eastAsia" w:hAnsi="Times New Roman" w:eastAsia="宋体" w:cs="Times New Roman"/>
          <w:lang w:val="en-US" w:eastAsia="zh-CN"/>
        </w:rPr>
        <w:t xml:space="preserve"> </w:t>
      </w:r>
    </w:p>
    <w:p>
      <w:pPr>
        <w:pStyle w:val="233"/>
        <w:rPr>
          <w:rFonts w:hint="eastAsia" w:hAnsi="Times New Roman" w:eastAsia="宋体" w:cs="Times New Roman"/>
          <w:lang w:val="en-US" w:eastAsia="zh-CN"/>
        </w:rPr>
      </w:pPr>
      <w:r>
        <w:rPr>
          <w:rFonts w:hint="eastAsia" w:hAnsi="Times New Roman" w:eastAsia="宋体" w:cs="Times New Roman"/>
        </w:rPr>
        <w:t>JGJ/T 378</w:t>
      </w:r>
      <w:r>
        <w:rPr>
          <w:rFonts w:hint="eastAsia" w:hAnsi="Times New Roman" w:eastAsia="宋体" w:cs="Times New Roman"/>
          <w:lang w:val="en-US" w:eastAsia="zh-CN"/>
        </w:rPr>
        <w:t xml:space="preserve"> </w:t>
      </w:r>
      <w:r>
        <w:rPr>
          <w:rFonts w:hint="eastAsia" w:hAnsi="Times New Roman" w:eastAsia="宋体" w:cs="Times New Roman"/>
        </w:rPr>
        <w:t>拉脱法检测混凝土抗压强度技术规程</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JGJ/T 23</w:t>
      </w:r>
      <w:r>
        <w:rPr>
          <w:rFonts w:hint="eastAsia" w:hAnsi="Times New Roman" w:eastAsia="宋体" w:cs="Times New Roman"/>
          <w:lang w:val="en-US" w:eastAsia="zh-CN"/>
        </w:rPr>
        <w:t xml:space="preserve"> </w:t>
      </w:r>
      <w:r>
        <w:rPr>
          <w:rFonts w:hint="eastAsia" w:hAnsi="Times New Roman" w:eastAsia="宋体" w:cs="Times New Roman"/>
        </w:rPr>
        <w:t>回弹法检测混凝土抗压强度技术规程</w:t>
      </w:r>
      <w:r>
        <w:rPr>
          <w:rFonts w:hint="eastAsia" w:hAnsi="Times New Roman" w:eastAsia="宋体" w:cs="Times New Roman"/>
          <w:lang w:val="en-US" w:eastAsia="zh-CN"/>
        </w:rPr>
        <w:t xml:space="preserve"> </w:t>
      </w:r>
    </w:p>
    <w:p>
      <w:pPr>
        <w:pStyle w:val="233"/>
        <w:rPr>
          <w:rFonts w:hint="eastAsia" w:hAnsi="Times New Roman" w:eastAsia="宋体" w:cs="Times New Roman"/>
          <w:lang w:eastAsia="zh-CN"/>
        </w:rPr>
      </w:pPr>
      <w:r>
        <w:rPr>
          <w:rFonts w:hint="eastAsia" w:hAnsi="Times New Roman" w:eastAsia="宋体" w:cs="Times New Roman"/>
        </w:rPr>
        <w:t>DGJ32/TJ 145</w:t>
      </w:r>
      <w:r>
        <w:rPr>
          <w:rFonts w:hint="eastAsia" w:hAnsi="Times New Roman" w:eastAsia="宋体" w:cs="Times New Roman"/>
          <w:lang w:val="en-US" w:eastAsia="zh-CN"/>
        </w:rPr>
        <w:t xml:space="preserve"> </w:t>
      </w:r>
      <w:r>
        <w:rPr>
          <w:rFonts w:hint="eastAsia" w:hAnsi="Times New Roman" w:eastAsia="宋体" w:cs="Times New Roman"/>
        </w:rPr>
        <w:t>回弹法检测混凝土抗压强度技术规程</w:t>
      </w:r>
      <w:r>
        <w:rPr>
          <w:rFonts w:hint="eastAsia" w:hAnsi="Times New Roman" w:eastAsia="宋体" w:cs="Times New Roman"/>
          <w:lang w:val="en-US" w:eastAsia="zh-CN"/>
        </w:rPr>
        <w:t xml:space="preserve"> </w:t>
      </w:r>
    </w:p>
    <w:p>
      <w:pPr>
        <w:pStyle w:val="58"/>
        <w:ind w:firstLine="420"/>
      </w:pPr>
      <w:r>
        <w:rPr>
          <w:rFonts w:hint="eastAsia" w:hAnsi="Times New Roman" w:eastAsia="宋体" w:cs="Times New Roman"/>
        </w:rPr>
        <w:t>DB32/T 3754-2020</w:t>
      </w:r>
      <w:r>
        <w:rPr>
          <w:rFonts w:hint="eastAsia" w:hAnsi="Times New Roman" w:eastAsia="宋体" w:cs="Times New Roman"/>
          <w:lang w:val="en-US" w:eastAsia="zh-CN"/>
        </w:rPr>
        <w:t xml:space="preserve"> </w:t>
      </w:r>
      <w:r>
        <w:rPr>
          <w:rFonts w:hint="eastAsia" w:hAnsi="Times New Roman" w:eastAsia="宋体" w:cs="Times New Roman"/>
        </w:rPr>
        <w:t>装配整体式混凝土结构检测技术规程</w:t>
      </w:r>
    </w:p>
    <w:p>
      <w:pPr>
        <w:pStyle w:val="106"/>
        <w:spacing w:before="312" w:after="312"/>
      </w:pPr>
      <w:bookmarkStart w:id="45" w:name="_Toc71273097"/>
      <w:r>
        <w:rPr>
          <w:rFonts w:hint="eastAsia"/>
          <w:szCs w:val="21"/>
        </w:rPr>
        <w:t>术语和定义</w:t>
      </w:r>
      <w:bookmarkEnd w:id="45"/>
    </w:p>
    <w:sdt>
      <w:sdtPr>
        <w:id w:val="-1909835108"/>
        <w:placeholder>
          <w:docPart w:val="CCC8D6C67D014AA0ADC4A6423145A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6" w:name="_Toc26986532"/>
          <w:bookmarkEnd w:id="46"/>
          <w:r>
            <w:t>下列术语和定义适用于本文件。</w:t>
          </w:r>
        </w:p>
      </w:sdtContent>
    </w:sdt>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预</w:t>
      </w:r>
      <w:r>
        <w:rPr>
          <w:rFonts w:hint="eastAsia" w:ascii="黑体" w:hAnsi="黑体" w:eastAsia="黑体"/>
          <w:szCs w:val="21"/>
        </w:rPr>
        <w:t>制混凝土</w:t>
      </w:r>
      <w:r>
        <w:rPr>
          <w:rFonts w:ascii="黑体" w:hAnsi="黑体" w:eastAsia="黑体"/>
          <w:szCs w:val="21"/>
        </w:rPr>
        <w:t>构件</w:t>
      </w:r>
      <w:r>
        <w:rPr>
          <w:rFonts w:hint="eastAsia" w:ascii="黑体" w:hAnsi="黑体" w:eastAsia="黑体"/>
          <w:szCs w:val="21"/>
        </w:rPr>
        <w:t xml:space="preserve"> Precast concrete Components</w:t>
      </w:r>
    </w:p>
    <w:p>
      <w:pPr>
        <w:pStyle w:val="233"/>
      </w:pPr>
      <w:r>
        <w:rPr>
          <w:rFonts w:hint="eastAsia"/>
        </w:rPr>
        <w:t>在工厂预先生产制作的混凝土构件，简称预制构件。</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预</w:t>
      </w:r>
      <w:r>
        <w:rPr>
          <w:rFonts w:hint="eastAsia" w:ascii="黑体" w:hAnsi="黑体" w:eastAsia="黑体"/>
          <w:szCs w:val="21"/>
        </w:rPr>
        <w:t>埋件</w:t>
      </w:r>
      <w:r>
        <w:rPr>
          <w:rFonts w:ascii="黑体" w:hAnsi="黑体" w:eastAsia="黑体"/>
          <w:szCs w:val="21"/>
        </w:rPr>
        <w:t xml:space="preserve"> Embedded </w:t>
      </w:r>
      <w:r>
        <w:rPr>
          <w:rFonts w:hint="eastAsia" w:ascii="黑体" w:hAnsi="黑体" w:eastAsia="黑体"/>
          <w:szCs w:val="21"/>
        </w:rPr>
        <w:t>p</w:t>
      </w:r>
      <w:r>
        <w:rPr>
          <w:rFonts w:ascii="黑体" w:hAnsi="黑体" w:eastAsia="黑体"/>
          <w:szCs w:val="21"/>
        </w:rPr>
        <w:t>arts</w:t>
      </w:r>
    </w:p>
    <w:p>
      <w:pPr>
        <w:pStyle w:val="58"/>
        <w:ind w:firstLine="420"/>
      </w:pPr>
      <w:r>
        <w:rPr>
          <w:rFonts w:hint="eastAsia"/>
          <w:lang w:val="en-US" w:eastAsia="zh-CN"/>
        </w:rPr>
        <w:t>在</w:t>
      </w:r>
      <w:r>
        <w:rPr>
          <w:rFonts w:hint="eastAsia"/>
        </w:rPr>
        <w:t>浇筑混凝土前预先固定在预制混凝土构件模具中或钢筋骨架上的部件，可依据其用途分为受力型和功能型。</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成</w:t>
      </w:r>
      <w:r>
        <w:rPr>
          <w:rFonts w:hint="eastAsia" w:ascii="黑体" w:hAnsi="黑体" w:eastAsia="黑体"/>
          <w:szCs w:val="21"/>
        </w:rPr>
        <w:t>型钢筋</w:t>
      </w:r>
      <w:r>
        <w:rPr>
          <w:rFonts w:ascii="黑体" w:hAnsi="黑体" w:eastAsia="黑体"/>
          <w:szCs w:val="21"/>
        </w:rPr>
        <w:t xml:space="preserve"> </w:t>
      </w:r>
      <w:r>
        <w:rPr>
          <w:rFonts w:hint="eastAsia" w:ascii="黑体" w:hAnsi="黑体" w:eastAsia="黑体"/>
          <w:szCs w:val="21"/>
        </w:rPr>
        <w:t>Fabricated steel bar</w:t>
      </w:r>
    </w:p>
    <w:p>
      <w:pPr>
        <w:pStyle w:val="58"/>
        <w:ind w:firstLine="420"/>
      </w:pPr>
      <w:r>
        <w:rPr>
          <w:rFonts w:hint="eastAsia"/>
        </w:rPr>
        <w:t>采用专用设备，按规定尺寸、形状预先加工成型的普通钢筋制品，主要包括钢筋骨架（网片）和桁架等。</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生</w:t>
      </w:r>
      <w:r>
        <w:rPr>
          <w:rFonts w:hint="eastAsia" w:ascii="黑体" w:hAnsi="黑体" w:eastAsia="黑体"/>
          <w:szCs w:val="21"/>
        </w:rPr>
        <w:t>产过程质量检验</w:t>
      </w:r>
      <w:r>
        <w:rPr>
          <w:rFonts w:ascii="黑体" w:hAnsi="黑体" w:eastAsia="黑体"/>
          <w:szCs w:val="21"/>
        </w:rPr>
        <w:t xml:space="preserve"> Quality inspection of production process</w:t>
      </w:r>
    </w:p>
    <w:p>
      <w:pPr>
        <w:pStyle w:val="58"/>
        <w:ind w:firstLine="420"/>
      </w:pPr>
      <w:r>
        <w:rPr>
          <w:rFonts w:hint="eastAsia"/>
          <w:lang w:val="en-US" w:eastAsia="zh-CN"/>
        </w:rPr>
        <w:t>在</w:t>
      </w:r>
      <w:r>
        <w:rPr>
          <w:rFonts w:hint="eastAsia"/>
        </w:rPr>
        <w:t>构件的生产过程中，为保证生产质量而做的检查、检测和验收，包括模具、钢筋、预应力、预埋件、混凝土等工序质量检验。</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成</w:t>
      </w:r>
      <w:r>
        <w:rPr>
          <w:rFonts w:hint="eastAsia" w:ascii="黑体" w:hAnsi="黑体" w:eastAsia="黑体"/>
          <w:szCs w:val="21"/>
        </w:rPr>
        <w:t>品质量检验</w:t>
      </w:r>
      <w:r>
        <w:rPr>
          <w:rFonts w:ascii="黑体" w:hAnsi="黑体" w:eastAsia="黑体"/>
          <w:szCs w:val="21"/>
        </w:rPr>
        <w:t xml:space="preserve"> Quality inspection of component products</w:t>
      </w:r>
    </w:p>
    <w:p>
      <w:pPr>
        <w:pStyle w:val="58"/>
        <w:ind w:firstLine="420"/>
      </w:pPr>
      <w:r>
        <w:rPr>
          <w:rFonts w:hint="eastAsia"/>
          <w:lang w:val="en-US" w:eastAsia="zh-CN"/>
        </w:rPr>
        <w:t>对</w:t>
      </w:r>
      <w:r>
        <w:rPr>
          <w:rFonts w:hint="eastAsia"/>
        </w:rPr>
        <w:t>预制成型的构件进行外观尺寸、实体质量、物理性能和结构性能检验。</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严</w:t>
      </w:r>
      <w:r>
        <w:rPr>
          <w:rFonts w:hint="eastAsia" w:ascii="黑体" w:hAnsi="黑体" w:eastAsia="黑体"/>
          <w:szCs w:val="21"/>
        </w:rPr>
        <w:t>重缺陷S</w:t>
      </w:r>
      <w:r>
        <w:rPr>
          <w:rFonts w:ascii="黑体" w:hAnsi="黑体" w:eastAsia="黑体"/>
          <w:szCs w:val="21"/>
        </w:rPr>
        <w:t>erious defect</w:t>
      </w:r>
    </w:p>
    <w:p>
      <w:pPr>
        <w:pStyle w:val="58"/>
        <w:ind w:firstLine="420"/>
      </w:pPr>
      <w:r>
        <w:rPr>
          <w:rFonts w:hint="eastAsia"/>
          <w:lang w:val="en-US" w:eastAsia="zh-CN"/>
        </w:rPr>
        <w:t>对</w:t>
      </w:r>
      <w:r>
        <w:rPr>
          <w:rFonts w:hint="eastAsia"/>
        </w:rPr>
        <w:t>预制构件的受力性能、耐久性能或安装、使用功能有决定性影响的缺陷。</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一</w:t>
      </w:r>
      <w:r>
        <w:rPr>
          <w:rFonts w:hint="eastAsia" w:ascii="黑体" w:hAnsi="黑体" w:eastAsia="黑体"/>
          <w:szCs w:val="21"/>
        </w:rPr>
        <w:t>般缺陷C</w:t>
      </w:r>
      <w:r>
        <w:rPr>
          <w:rFonts w:ascii="黑体" w:hAnsi="黑体" w:eastAsia="黑体"/>
          <w:szCs w:val="21"/>
        </w:rPr>
        <w:t>ommon defect</w:t>
      </w:r>
    </w:p>
    <w:p>
      <w:pPr>
        <w:pStyle w:val="233"/>
        <w:rPr>
          <w:rFonts w:hint="eastAsia"/>
        </w:rPr>
      </w:pPr>
      <w:r>
        <w:rPr>
          <w:rFonts w:hint="eastAsia"/>
        </w:rPr>
        <w:t>对预制构件的受力性能、耐久性能或安装、使用功能无决定性影响的缺陷。</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检</w:t>
      </w:r>
      <w:r>
        <w:rPr>
          <w:rFonts w:hint="eastAsia" w:ascii="黑体" w:hAnsi="黑体" w:eastAsia="黑体"/>
          <w:szCs w:val="21"/>
        </w:rPr>
        <w:t>验批</w:t>
      </w:r>
      <w:r>
        <w:rPr>
          <w:rFonts w:ascii="黑体" w:hAnsi="黑体" w:eastAsia="黑体"/>
          <w:szCs w:val="21"/>
        </w:rPr>
        <w:fldChar w:fldCharType="begin"/>
      </w:r>
      <w:r>
        <w:rPr>
          <w:rFonts w:ascii="黑体" w:hAnsi="黑体" w:eastAsia="黑体"/>
          <w:szCs w:val="21"/>
        </w:rPr>
        <w:instrText xml:space="preserve"> HYPERLINK "javascript:;"</w:instrText>
      </w:r>
      <w:r>
        <w:rPr>
          <w:rFonts w:ascii="黑体" w:hAnsi="黑体" w:eastAsia="黑体"/>
          <w:szCs w:val="21"/>
        </w:rPr>
        <w:fldChar w:fldCharType="separate"/>
      </w:r>
      <w:r>
        <w:rPr>
          <w:rFonts w:hint="eastAsia" w:ascii="黑体" w:hAnsi="黑体" w:eastAsia="黑体"/>
          <w:szCs w:val="21"/>
        </w:rPr>
        <w:t>I</w:t>
      </w:r>
      <w:r>
        <w:rPr>
          <w:rFonts w:ascii="黑体" w:hAnsi="黑体" w:eastAsia="黑体"/>
          <w:szCs w:val="21"/>
        </w:rPr>
        <w:t>nspection</w:t>
      </w:r>
      <w:r>
        <w:rPr>
          <w:rFonts w:ascii="黑体" w:hAnsi="黑体" w:eastAsia="黑体"/>
          <w:szCs w:val="21"/>
        </w:rPr>
        <w:fldChar w:fldCharType="end"/>
      </w:r>
      <w:r>
        <w:rPr>
          <w:rFonts w:ascii="黑体" w:hAnsi="黑体" w:eastAsia="黑体"/>
          <w:szCs w:val="21"/>
        </w:rPr>
        <w:t> </w:t>
      </w:r>
      <w:r>
        <w:rPr>
          <w:rFonts w:ascii="黑体" w:hAnsi="黑体" w:eastAsia="黑体"/>
          <w:szCs w:val="21"/>
        </w:rPr>
        <w:fldChar w:fldCharType="begin"/>
      </w:r>
      <w:r>
        <w:rPr>
          <w:rFonts w:ascii="黑体" w:hAnsi="黑体" w:eastAsia="黑体"/>
          <w:szCs w:val="21"/>
        </w:rPr>
        <w:instrText xml:space="preserve"> HYPERLINK "javascript:;"</w:instrText>
      </w:r>
      <w:r>
        <w:rPr>
          <w:rFonts w:ascii="黑体" w:hAnsi="黑体" w:eastAsia="黑体"/>
          <w:szCs w:val="21"/>
        </w:rPr>
        <w:fldChar w:fldCharType="separate"/>
      </w:r>
      <w:r>
        <w:rPr>
          <w:rFonts w:ascii="黑体" w:hAnsi="黑体" w:eastAsia="黑体"/>
          <w:szCs w:val="21"/>
        </w:rPr>
        <w:t>lot</w:t>
      </w:r>
      <w:r>
        <w:rPr>
          <w:rFonts w:ascii="黑体" w:hAnsi="黑体" w:eastAsia="黑体"/>
          <w:szCs w:val="21"/>
        </w:rPr>
        <w:fldChar w:fldCharType="end"/>
      </w:r>
    </w:p>
    <w:p>
      <w:pPr>
        <w:pStyle w:val="58"/>
        <w:ind w:firstLine="420"/>
      </w:pPr>
      <w:r>
        <w:rPr>
          <w:rFonts w:hint="eastAsia"/>
        </w:rPr>
        <w:t>按相同的生产条件或按规定的方式汇总起来供抽样检验用的，由一定数量样本组成的检验体。</w:t>
      </w:r>
    </w:p>
    <w:p>
      <w:pPr>
        <w:pStyle w:val="225"/>
        <w:ind w:left="420" w:hanging="420" w:hangingChars="200"/>
        <w:rPr>
          <w:rFonts w:ascii="黑体" w:hAnsi="黑体" w:eastAsia="黑体"/>
        </w:rPr>
      </w:pPr>
      <w:r>
        <w:rPr>
          <w:rFonts w:ascii="黑体" w:hAnsi="黑体" w:eastAsia="黑体"/>
        </w:rPr>
        <w:br w:type="textWrapping"/>
      </w:r>
      <w:r>
        <w:rPr>
          <w:rFonts w:hint="eastAsia" w:ascii="黑体" w:hAnsi="黑体" w:eastAsia="黑体"/>
          <w:lang w:val="en-US" w:eastAsia="zh-CN"/>
        </w:rPr>
        <w:t>质</w:t>
      </w:r>
      <w:r>
        <w:rPr>
          <w:rFonts w:hint="eastAsia" w:ascii="黑体" w:hAnsi="黑体" w:eastAsia="黑体"/>
          <w:szCs w:val="21"/>
        </w:rPr>
        <w:t>量证明文件 Quality proof document</w:t>
      </w:r>
    </w:p>
    <w:p>
      <w:pPr>
        <w:pStyle w:val="58"/>
        <w:ind w:firstLine="420"/>
      </w:pPr>
      <w:r>
        <w:rPr>
          <w:rFonts w:hint="eastAsia"/>
        </w:rPr>
        <w:t>随同进场材料、半成品及成品等一同提供的能够证明其质量状况的文件。</w:t>
      </w:r>
    </w:p>
    <w:p>
      <w:pPr>
        <w:pStyle w:val="58"/>
        <w:ind w:left="0" w:leftChars="0" w:firstLine="0" w:firstLineChars="0"/>
      </w:pPr>
    </w:p>
    <w:p>
      <w:pPr>
        <w:pStyle w:val="106"/>
        <w:spacing w:before="312" w:after="312"/>
      </w:pPr>
      <w:r>
        <w:rPr>
          <w:rFonts w:hint="eastAsia"/>
          <w:lang w:val="en-US" w:eastAsia="zh-CN"/>
        </w:rPr>
        <w:t>总则</w:t>
      </w:r>
    </w:p>
    <w:p>
      <w:pPr>
        <w:pStyle w:val="107"/>
        <w:spacing w:before="156" w:after="156"/>
      </w:pPr>
      <w:r>
        <w:rPr>
          <w:rFonts w:hint="eastAsia" w:ascii="宋体" w:hAnsi="宋体" w:eastAsia="宋体"/>
        </w:rPr>
        <w:t>为促进装配式预制构件行业的发展，加强预制构件生产企业的质量管理，保证预制构件的生产质量，推进预制构件在建设工程中的应用，制定本标准</w:t>
      </w:r>
      <w:r>
        <w:rPr>
          <w:rFonts w:hint="eastAsia" w:ascii="宋体" w:hAnsi="宋体" w:eastAsia="宋体"/>
          <w:lang w:eastAsia="zh-CN"/>
        </w:rPr>
        <w:t>。</w:t>
      </w:r>
    </w:p>
    <w:p>
      <w:pPr>
        <w:pStyle w:val="107"/>
        <w:spacing w:before="156" w:after="156"/>
      </w:pPr>
      <w:r>
        <w:rPr>
          <w:rFonts w:hint="eastAsia" w:ascii="宋体" w:hAnsi="宋体" w:eastAsia="宋体"/>
        </w:rPr>
        <w:t>本标准适用于装配式混凝土结构预制构件的材料质量、生产过程质量和成品质量的检验，</w:t>
      </w:r>
      <w:r>
        <w:rPr>
          <w:rFonts w:ascii="宋体" w:hAnsi="宋体" w:eastAsia="宋体"/>
        </w:rPr>
        <w:t>堆放运输</w:t>
      </w:r>
      <w:r>
        <w:rPr>
          <w:rFonts w:hint="eastAsia" w:ascii="宋体" w:hAnsi="宋体" w:eastAsia="宋体"/>
        </w:rPr>
        <w:t>，</w:t>
      </w:r>
      <w:r>
        <w:rPr>
          <w:rFonts w:ascii="宋体" w:hAnsi="宋体" w:eastAsia="宋体"/>
        </w:rPr>
        <w:t>成品保护和档案资料</w:t>
      </w:r>
      <w:r>
        <w:rPr>
          <w:rFonts w:hint="eastAsia" w:ascii="宋体" w:hAnsi="宋体" w:eastAsia="宋体"/>
        </w:rPr>
        <w:t>管理</w:t>
      </w:r>
      <w:r>
        <w:rPr>
          <w:rFonts w:hint="eastAsia" w:ascii="宋体" w:hAnsi="宋体" w:eastAsia="宋体"/>
          <w:lang w:eastAsia="zh-CN"/>
        </w:rPr>
        <w:t>。</w:t>
      </w:r>
    </w:p>
    <w:p>
      <w:pPr>
        <w:pStyle w:val="107"/>
        <w:spacing w:before="156" w:after="156"/>
      </w:pPr>
      <w:r>
        <w:rPr>
          <w:rFonts w:hint="eastAsia" w:ascii="宋体" w:hAnsi="宋体" w:eastAsia="宋体"/>
        </w:rPr>
        <w:t>装配式混凝土结构预制构件生产管理与质量检验除应执行本标准外，尚应符合国家、行业和地方现行有关标准、规范的规定</w:t>
      </w:r>
      <w:r>
        <w:rPr>
          <w:rFonts w:hint="eastAsia" w:ascii="宋体" w:hAnsi="宋体" w:eastAsia="宋体"/>
          <w:lang w:eastAsia="zh-CN"/>
        </w:rPr>
        <w:t>。</w:t>
      </w:r>
    </w:p>
    <w:p>
      <w:pPr>
        <w:pStyle w:val="106"/>
        <w:spacing w:before="312" w:after="312"/>
      </w:pPr>
      <w:r>
        <w:rPr>
          <w:rFonts w:hint="eastAsia"/>
          <w:lang w:val="en-US" w:eastAsia="zh-CN"/>
        </w:rPr>
        <w:t>基本规定</w:t>
      </w:r>
    </w:p>
    <w:p>
      <w:pPr>
        <w:pStyle w:val="107"/>
        <w:spacing w:before="156" w:after="156"/>
      </w:pPr>
      <w:bookmarkStart w:id="47" w:name="_Toc32085013"/>
      <w:r>
        <w:rPr>
          <w:rFonts w:hint="eastAsia" w:ascii="宋体" w:hAnsi="宋体" w:eastAsia="宋体"/>
        </w:rPr>
        <w:t>预制构件生产企业须建立完整的质量管理体系、安全生产管理体系与环境管理体系</w:t>
      </w:r>
      <w:bookmarkEnd w:id="47"/>
      <w:r>
        <w:rPr>
          <w:rFonts w:hint="eastAsia" w:ascii="宋体" w:hAnsi="宋体" w:eastAsia="宋体"/>
          <w:lang w:eastAsia="zh-CN"/>
        </w:rPr>
        <w:t>。</w:t>
      </w:r>
    </w:p>
    <w:p>
      <w:pPr>
        <w:pStyle w:val="107"/>
        <w:spacing w:before="156" w:after="156"/>
      </w:pPr>
      <w:bookmarkStart w:id="48" w:name="_Toc63589294"/>
      <w:bookmarkStart w:id="49" w:name="_Toc71273106"/>
      <w:r>
        <w:rPr>
          <w:rFonts w:hint="eastAsia" w:ascii="宋体" w:hAnsi="宋体" w:eastAsia="宋体"/>
        </w:rPr>
        <w:t>预</w:t>
      </w:r>
      <w:bookmarkEnd w:id="48"/>
      <w:r>
        <w:rPr>
          <w:rFonts w:hint="eastAsia" w:ascii="宋体" w:hAnsi="宋体" w:eastAsia="宋体"/>
        </w:rPr>
        <w:t>制构件生产企业生产车间和堆场的面积，生产设备、设施的数量及性能应符合工厂的生产规模、预制构件的生产特点和质量要求。生产设备应至少包括混凝土成型、养护和吊装设备，生产企业宜具有与构件生产配套的混凝土生产设备</w:t>
      </w:r>
      <w:r>
        <w:rPr>
          <w:rFonts w:hint="eastAsia" w:ascii="宋体" w:hAnsi="宋体" w:eastAsia="宋体"/>
          <w:lang w:eastAsia="zh-CN"/>
        </w:rPr>
        <w:t>。</w:t>
      </w:r>
    </w:p>
    <w:bookmarkEnd w:id="49"/>
    <w:p>
      <w:pPr>
        <w:pStyle w:val="107"/>
        <w:spacing w:before="156" w:after="156"/>
      </w:pPr>
      <w:bookmarkStart w:id="50" w:name="_Toc63589295"/>
      <w:r>
        <w:rPr>
          <w:rFonts w:hint="eastAsia" w:ascii="宋体" w:hAnsi="宋体" w:eastAsia="宋体"/>
        </w:rPr>
        <w:t>预</w:t>
      </w:r>
      <w:bookmarkEnd w:id="50"/>
      <w:r>
        <w:rPr>
          <w:rFonts w:hint="eastAsia" w:ascii="宋体" w:hAnsi="宋体" w:eastAsia="宋体"/>
        </w:rPr>
        <w:t>制构件生产企业应具备保证产品质量要求的原材料、半成品和成品试验检测能力。各种检测、试验、计量、张拉等设备及仪器仪表均应检定合格，并应在有效期内使用</w:t>
      </w:r>
      <w:r>
        <w:rPr>
          <w:rFonts w:hint="eastAsia" w:ascii="宋体" w:hAnsi="宋体" w:eastAsia="宋体"/>
          <w:lang w:eastAsia="zh-CN"/>
        </w:rPr>
        <w:t>。</w:t>
      </w:r>
    </w:p>
    <w:p>
      <w:pPr>
        <w:pStyle w:val="107"/>
        <w:spacing w:before="156" w:after="156"/>
      </w:pPr>
      <w:bookmarkStart w:id="51" w:name="_Toc63589296"/>
      <w:bookmarkStart w:id="52" w:name="_Toc71273107"/>
      <w:r>
        <w:rPr>
          <w:rFonts w:hint="eastAsia" w:ascii="宋体" w:hAnsi="宋体" w:eastAsia="宋体"/>
        </w:rPr>
        <w:t>预</w:t>
      </w:r>
      <w:bookmarkEnd w:id="51"/>
      <w:r>
        <w:rPr>
          <w:rFonts w:hint="eastAsia" w:ascii="宋体" w:hAnsi="宋体" w:eastAsia="宋体"/>
        </w:rPr>
        <w:t>制构件生产前应进行预制构件加工图设计，预制构件加工图应包含模板图、配筋图、设备管线预留预埋图、预埋件布置图、外观饰面铺贴图、预留孔洞图、吊点布置图及相关要求等。预制构件加工图由施工图设计单位设计，也可由其他单位设计经施工图设计单位审核通过后方可实施。预制构件加工图需要变更时，应及时办理变更文件</w:t>
      </w:r>
      <w:r>
        <w:rPr>
          <w:rFonts w:hint="eastAsia" w:ascii="宋体" w:hAnsi="宋体" w:eastAsia="宋体"/>
          <w:lang w:eastAsia="zh-CN"/>
        </w:rPr>
        <w:t>。</w:t>
      </w:r>
    </w:p>
    <w:p>
      <w:pPr>
        <w:pStyle w:val="107"/>
        <w:spacing w:before="156" w:after="156"/>
      </w:pPr>
      <w:bookmarkStart w:id="53" w:name="_Toc63589297"/>
      <w:r>
        <w:rPr>
          <w:rFonts w:hint="eastAsia" w:ascii="宋体" w:hAnsi="宋体" w:eastAsia="宋体"/>
        </w:rPr>
        <w:t>预</w:t>
      </w:r>
      <w:bookmarkEnd w:id="53"/>
      <w:r>
        <w:rPr>
          <w:rFonts w:hint="eastAsia" w:ascii="宋体" w:hAnsi="宋体" w:eastAsia="宋体"/>
        </w:rPr>
        <w:t>制构件生产企业应在预制构件制作前，对其技术要求和质量标准进行技术交底；根据构件型号、形状、重量等特点制定相应的生产方案，明确质量要求和控制要点，对预制构件进行生产全过程质量控制和管理。生产方案应包括生产计划及生产工艺、模具方案、技术质量控制措施及检验要求、成品存放、运输和保护方案等</w:t>
      </w:r>
      <w:r>
        <w:rPr>
          <w:rFonts w:hint="eastAsia" w:ascii="宋体" w:hAnsi="宋体" w:eastAsia="宋体"/>
          <w:lang w:eastAsia="zh-CN"/>
        </w:rPr>
        <w:t>。</w:t>
      </w:r>
    </w:p>
    <w:p>
      <w:pPr>
        <w:pStyle w:val="107"/>
        <w:spacing w:before="156" w:after="156"/>
      </w:pPr>
      <w:bookmarkStart w:id="54" w:name="_Toc63589298"/>
      <w:r>
        <w:rPr>
          <w:rFonts w:hint="eastAsia" w:ascii="宋体" w:hAnsi="宋体" w:eastAsia="宋体"/>
        </w:rPr>
        <w:t>预</w:t>
      </w:r>
      <w:bookmarkEnd w:id="54"/>
      <w:r>
        <w:rPr>
          <w:rFonts w:hint="eastAsia" w:ascii="宋体" w:hAnsi="宋体" w:eastAsia="宋体"/>
        </w:rPr>
        <w:t>制构件生产企业应根据生产工艺要求，对相关人员进行专业操作技能的岗位培训</w:t>
      </w:r>
      <w:r>
        <w:rPr>
          <w:rFonts w:hint="eastAsia" w:ascii="宋体" w:hAnsi="宋体" w:eastAsia="宋体"/>
          <w:lang w:eastAsia="zh-CN"/>
        </w:rPr>
        <w:t>。</w:t>
      </w:r>
    </w:p>
    <w:p>
      <w:pPr>
        <w:pStyle w:val="107"/>
        <w:spacing w:before="156" w:after="156"/>
      </w:pPr>
      <w:bookmarkStart w:id="55" w:name="_Toc63589299"/>
      <w:r>
        <w:rPr>
          <w:rFonts w:hint="eastAsia" w:ascii="宋体" w:hAnsi="宋体" w:eastAsia="宋体"/>
        </w:rPr>
        <w:t>预</w:t>
      </w:r>
      <w:bookmarkEnd w:id="55"/>
      <w:r>
        <w:rPr>
          <w:rFonts w:hint="eastAsia" w:ascii="宋体" w:hAnsi="宋体" w:eastAsia="宋体" w:cs="Times New Roman"/>
        </w:rPr>
        <w:t>制构件生产企业应对进场材料的质量进行检验，并应有质量检验记录。可将用于多个工程项目的同厂家、同批次、同规格材料，划分为一个检验批进行检验</w:t>
      </w:r>
      <w:r>
        <w:rPr>
          <w:rFonts w:hint="eastAsia" w:ascii="宋体" w:hAnsi="宋体" w:eastAsia="宋体" w:cs="Times New Roman"/>
          <w:lang w:eastAsia="zh-CN"/>
        </w:rPr>
        <w:t>。</w:t>
      </w:r>
    </w:p>
    <w:p>
      <w:pPr>
        <w:pStyle w:val="107"/>
        <w:spacing w:before="156" w:after="156"/>
      </w:pPr>
      <w:bookmarkStart w:id="56" w:name="_Toc63589300"/>
      <w:r>
        <w:rPr>
          <w:rFonts w:hint="eastAsia" w:ascii="宋体" w:hAnsi="宋体" w:eastAsia="宋体"/>
        </w:rPr>
        <w:t>预</w:t>
      </w:r>
      <w:bookmarkEnd w:id="56"/>
      <w:r>
        <w:rPr>
          <w:rFonts w:hint="eastAsia" w:ascii="宋体" w:hAnsi="宋体" w:eastAsia="宋体" w:cs="Times New Roman"/>
        </w:rPr>
        <w:t>制构件生产过程的质量检验应包括模具、钢筋、预埋件、预应力、混凝土等工序质量检验</w:t>
      </w:r>
      <w:r>
        <w:rPr>
          <w:rFonts w:hint="eastAsia" w:ascii="宋体" w:hAnsi="宋体" w:eastAsia="宋体" w:cs="Times New Roman"/>
          <w:lang w:eastAsia="zh-CN"/>
        </w:rPr>
        <w:t>。</w:t>
      </w:r>
    </w:p>
    <w:p>
      <w:pPr>
        <w:pStyle w:val="107"/>
        <w:spacing w:before="156" w:after="156"/>
      </w:pPr>
      <w:bookmarkStart w:id="57" w:name="_Toc63589301"/>
      <w:r>
        <w:rPr>
          <w:rFonts w:hint="eastAsia" w:ascii="宋体" w:hAnsi="宋体" w:eastAsia="宋体"/>
        </w:rPr>
        <w:t>预</w:t>
      </w:r>
      <w:bookmarkEnd w:id="57"/>
      <w:r>
        <w:rPr>
          <w:rFonts w:hint="eastAsia" w:ascii="宋体" w:hAnsi="宋体" w:eastAsia="宋体" w:cs="Times New Roman"/>
        </w:rPr>
        <w:t>制构件的制作质量，应在班组自检、互检、交接检的基础上，由专职检验人员根据本标准所规定的检查数量随机抽样，并按工作班组</w:t>
      </w:r>
      <w:r>
        <w:rPr>
          <w:rFonts w:hint="eastAsia" w:ascii="宋体" w:hAnsi="宋体" w:eastAsia="宋体" w:cs="Times New Roman"/>
          <w:lang w:val="en-US" w:eastAsia="zh-CN"/>
        </w:rPr>
        <w:t>逐</w:t>
      </w:r>
      <w:r>
        <w:rPr>
          <w:rFonts w:hint="eastAsia" w:ascii="宋体" w:hAnsi="宋体" w:eastAsia="宋体" w:cs="Times New Roman"/>
        </w:rPr>
        <w:t>批进行检查和验收</w:t>
      </w:r>
      <w:r>
        <w:rPr>
          <w:rFonts w:hint="eastAsia" w:ascii="宋体" w:hAnsi="宋体" w:eastAsia="宋体" w:cs="Times New Roman"/>
          <w:lang w:eastAsia="zh-CN"/>
        </w:rPr>
        <w:t>。</w:t>
      </w:r>
    </w:p>
    <w:p>
      <w:pPr>
        <w:pStyle w:val="107"/>
        <w:spacing w:before="156" w:after="156"/>
      </w:pPr>
      <w:r>
        <w:rPr>
          <w:rFonts w:hint="eastAsia" w:ascii="宋体" w:hAnsi="宋体" w:eastAsia="宋体"/>
        </w:rPr>
        <w:t>对检验合格的检验批，应作出合格标识；检验批质量合格应符合下列规定</w:t>
      </w:r>
      <w:r>
        <w:rPr>
          <w:rFonts w:hint="eastAsia" w:ascii="宋体" w:hAnsi="宋体" w:eastAsia="宋体"/>
          <w:lang w:eastAsia="zh-CN"/>
        </w:rPr>
        <w:t>：</w:t>
      </w:r>
    </w:p>
    <w:p>
      <w:pPr>
        <w:pStyle w:val="176"/>
        <w:numPr>
          <w:ilvl w:val="0"/>
          <w:numId w:val="32"/>
        </w:numPr>
      </w:pPr>
      <w:r>
        <w:rPr>
          <w:rFonts w:hint="eastAsia"/>
        </w:rPr>
        <w:t>主控项目的质量经抽样检验均应合格</w:t>
      </w:r>
      <w:r>
        <w:rPr>
          <w:rFonts w:hint="eastAsia"/>
          <w:lang w:eastAsia="zh-CN"/>
        </w:rPr>
        <w:t>；</w:t>
      </w:r>
    </w:p>
    <w:p>
      <w:pPr>
        <w:pStyle w:val="176"/>
        <w:numPr>
          <w:ilvl w:val="0"/>
          <w:numId w:val="32"/>
        </w:numPr>
      </w:pPr>
      <w:r>
        <w:rPr>
          <w:rFonts w:hint="eastAsia"/>
        </w:rPr>
        <w:t>一般项目的质量经抽样检验应合格；当采用计数检验时，除专门要求外，一般项目的合格点率应达到</w:t>
      </w:r>
      <w:r>
        <w:t>80</w:t>
      </w:r>
      <w:r>
        <w:rPr>
          <w:rFonts w:hint="eastAsia"/>
        </w:rPr>
        <w:t>％及以上，不合格点的偏差不应超过允许偏差的</w:t>
      </w:r>
      <w:r>
        <w:t>1.</w:t>
      </w:r>
      <w:r>
        <w:rPr>
          <w:rFonts w:hint="eastAsia"/>
        </w:rPr>
        <w:t>5倍，且不得有严重缺陷</w:t>
      </w:r>
      <w:r>
        <w:rPr>
          <w:rFonts w:hint="eastAsia"/>
          <w:lang w:eastAsia="zh-CN"/>
        </w:rPr>
        <w:t>；</w:t>
      </w:r>
    </w:p>
    <w:p>
      <w:pPr>
        <w:pStyle w:val="176"/>
        <w:numPr>
          <w:ilvl w:val="0"/>
          <w:numId w:val="32"/>
        </w:numPr>
      </w:pPr>
      <w:r>
        <w:rPr>
          <w:rFonts w:hint="eastAsia"/>
        </w:rPr>
        <w:t>应具有完整的质量检验记录，重要工序应具有完整的施工操作记录</w:t>
      </w:r>
      <w:r>
        <w:rPr>
          <w:rFonts w:hint="eastAsia"/>
          <w:lang w:eastAsia="zh-CN"/>
        </w:rPr>
        <w:t>。</w:t>
      </w:r>
    </w:p>
    <w:p>
      <w:pPr>
        <w:pStyle w:val="107"/>
        <w:spacing w:before="156" w:after="156"/>
      </w:pPr>
      <w:r>
        <w:rPr>
          <w:rFonts w:hint="eastAsia" w:ascii="宋体" w:hAnsi="宋体" w:eastAsia="宋体"/>
        </w:rPr>
        <w:t>对检验不合格的检验批，应按下列规定处理</w:t>
      </w:r>
      <w:r>
        <w:rPr>
          <w:rFonts w:hint="eastAsia" w:ascii="宋体" w:hAnsi="宋体" w:eastAsia="宋体"/>
          <w:lang w:eastAsia="zh-CN"/>
        </w:rPr>
        <w:t>：</w:t>
      </w:r>
    </w:p>
    <w:p>
      <w:pPr>
        <w:pStyle w:val="176"/>
        <w:numPr>
          <w:ilvl w:val="0"/>
          <w:numId w:val="33"/>
        </w:numPr>
      </w:pPr>
      <w:r>
        <w:rPr>
          <w:rFonts w:hint="eastAsia"/>
        </w:rPr>
        <w:t>材料检验批不合格时不得使用</w:t>
      </w:r>
      <w:r>
        <w:rPr>
          <w:rFonts w:hint="eastAsia"/>
          <w:lang w:eastAsia="zh-CN"/>
        </w:rPr>
        <w:t>；</w:t>
      </w:r>
    </w:p>
    <w:p>
      <w:pPr>
        <w:pStyle w:val="176"/>
        <w:numPr>
          <w:ilvl w:val="0"/>
          <w:numId w:val="33"/>
        </w:numPr>
      </w:pPr>
      <w:r>
        <w:rPr>
          <w:rFonts w:hint="eastAsia"/>
        </w:rPr>
        <w:t>混凝土浇筑前安装质量不合格的检验批，应返工、返修，并应重新验收</w:t>
      </w:r>
      <w:r>
        <w:rPr>
          <w:rFonts w:hint="eastAsia"/>
          <w:lang w:eastAsia="zh-CN"/>
        </w:rPr>
        <w:t>；</w:t>
      </w:r>
    </w:p>
    <w:p>
      <w:pPr>
        <w:pStyle w:val="176"/>
        <w:numPr>
          <w:ilvl w:val="0"/>
          <w:numId w:val="33"/>
        </w:numPr>
      </w:pPr>
      <w:r>
        <w:rPr>
          <w:rFonts w:hint="eastAsia"/>
        </w:rPr>
        <w:t>混凝土构件质量不合格的检验批，应按本标</w:t>
      </w:r>
      <w:r>
        <w:rPr>
          <w:rFonts w:hint="eastAsia"/>
          <w:color w:val="auto"/>
        </w:rPr>
        <w:t>准</w:t>
      </w:r>
      <w:bookmarkStart w:id="134" w:name="_GoBack"/>
      <w:r>
        <w:rPr>
          <w:rFonts w:hint="eastAsia"/>
          <w:color w:val="auto"/>
        </w:rPr>
        <w:t>8</w:t>
      </w:r>
      <w:r>
        <w:rPr>
          <w:color w:val="auto"/>
        </w:rPr>
        <w:t>.1.4</w:t>
      </w:r>
      <w:bookmarkEnd w:id="134"/>
      <w:r>
        <w:rPr>
          <w:rFonts w:hint="eastAsia"/>
          <w:color w:val="auto"/>
        </w:rPr>
        <w:t>条进行</w:t>
      </w:r>
      <w:r>
        <w:rPr>
          <w:rFonts w:hint="eastAsia"/>
        </w:rPr>
        <w:t>处理</w:t>
      </w:r>
      <w:r>
        <w:rPr>
          <w:rFonts w:hint="eastAsia"/>
          <w:lang w:eastAsia="zh-CN"/>
        </w:rPr>
        <w:t>。</w:t>
      </w:r>
    </w:p>
    <w:p>
      <w:pPr>
        <w:pStyle w:val="107"/>
        <w:spacing w:before="156" w:after="156"/>
      </w:pPr>
      <w:r>
        <w:rPr>
          <w:rFonts w:hint="eastAsia" w:ascii="宋体" w:hAnsi="宋体" w:eastAsia="宋体"/>
        </w:rPr>
        <w:t>检验批验收时，抽样样本应随机抽取，并应满足分布均匀、具有代表性的要求；明显不合格的个体可不纳入检验批，但应进行单独处理与验收</w:t>
      </w:r>
      <w:r>
        <w:rPr>
          <w:rFonts w:hint="eastAsia" w:ascii="宋体" w:hAnsi="宋体" w:eastAsia="宋体"/>
          <w:lang w:eastAsia="zh-CN"/>
        </w:rPr>
        <w:t>。</w:t>
      </w:r>
    </w:p>
    <w:p>
      <w:pPr>
        <w:pStyle w:val="107"/>
        <w:spacing w:before="156" w:after="156"/>
      </w:pPr>
      <w:bookmarkStart w:id="58" w:name="_Toc63589305"/>
      <w:r>
        <w:rPr>
          <w:rFonts w:hint="eastAsia" w:ascii="宋体" w:hAnsi="宋体" w:eastAsia="宋体"/>
        </w:rPr>
        <w:t>预</w:t>
      </w:r>
      <w:bookmarkEnd w:id="58"/>
      <w:r>
        <w:rPr>
          <w:rFonts w:hint="eastAsia" w:ascii="宋体" w:hAnsi="宋体" w:eastAsia="宋体" w:cs="Times New Roman"/>
        </w:rPr>
        <w:t>制构件的成品质量验收应包括资料核查和构件实体质量检验。成品质量验收应在模具、钢筋、预应力、预埋件、混凝土等工序验收合格的基础上进行</w:t>
      </w:r>
      <w:r>
        <w:rPr>
          <w:rFonts w:hint="eastAsia" w:ascii="宋体" w:hAnsi="宋体" w:eastAsia="宋体" w:cs="Times New Roman"/>
          <w:lang w:eastAsia="zh-CN"/>
        </w:rPr>
        <w:t>。</w:t>
      </w:r>
    </w:p>
    <w:p>
      <w:pPr>
        <w:pStyle w:val="107"/>
        <w:spacing w:before="156" w:after="156"/>
      </w:pPr>
      <w:bookmarkStart w:id="59" w:name="_Toc63589306"/>
      <w:r>
        <w:rPr>
          <w:rFonts w:hint="eastAsia" w:ascii="宋体" w:hAnsi="宋体" w:eastAsia="宋体"/>
        </w:rPr>
        <w:t>预</w:t>
      </w:r>
      <w:bookmarkEnd w:id="59"/>
      <w:r>
        <w:rPr>
          <w:rFonts w:hint="eastAsia" w:ascii="宋体" w:hAnsi="宋体" w:eastAsia="宋体" w:cs="Times New Roman"/>
        </w:rPr>
        <w:t>制构件生产企业应建立可追溯的质量管理信息系统，以及管理预制构件全过程质量资料的体系文件。质量资料应有唯一性编号，并与预制构件生产批次关联对应。预制构件应有唯一对应的二维码或芯片</w:t>
      </w:r>
      <w:r>
        <w:rPr>
          <w:rFonts w:hint="eastAsia" w:ascii="宋体" w:hAnsi="宋体" w:eastAsia="宋体" w:cs="Times New Roman"/>
          <w:lang w:eastAsia="zh-CN"/>
        </w:rPr>
        <w:t>。</w:t>
      </w:r>
    </w:p>
    <w:p>
      <w:pPr>
        <w:pStyle w:val="107"/>
        <w:spacing w:before="156" w:after="156"/>
      </w:pPr>
      <w:bookmarkStart w:id="60" w:name="_Toc63589307"/>
      <w:r>
        <w:rPr>
          <w:rFonts w:hint="eastAsia" w:ascii="宋体" w:hAnsi="宋体" w:eastAsia="宋体"/>
        </w:rPr>
        <w:t>预</w:t>
      </w:r>
      <w:bookmarkEnd w:id="60"/>
      <w:r>
        <w:rPr>
          <w:rFonts w:hint="eastAsia" w:ascii="宋体" w:hAnsi="宋体" w:eastAsia="宋体" w:cs="Times New Roman"/>
        </w:rPr>
        <w:t>制构件应作出标识，标识系统应满足唯一性、可追溯性要求。标识内容应包括：工程名称、构件型号、生产日期、生产单位、合格标识等。预制构件出厂时，应出具质量证明文件</w:t>
      </w:r>
      <w:r>
        <w:rPr>
          <w:rFonts w:hint="eastAsia" w:ascii="宋体" w:hAnsi="宋体" w:eastAsia="宋体" w:cs="Times New Roman"/>
          <w:lang w:eastAsia="zh-CN"/>
        </w:rPr>
        <w:t>。</w:t>
      </w:r>
      <w:bookmarkEnd w:id="52"/>
    </w:p>
    <w:p>
      <w:pPr>
        <w:pStyle w:val="106"/>
        <w:spacing w:before="312" w:after="312"/>
      </w:pPr>
      <w:r>
        <w:rPr>
          <w:rFonts w:hint="eastAsia"/>
          <w:lang w:val="en-US" w:eastAsia="zh-CN"/>
        </w:rPr>
        <w:t>预</w:t>
      </w:r>
      <w:r>
        <w:rPr>
          <w:rFonts w:hint="eastAsia"/>
        </w:rPr>
        <w:t>制构件材料质量检验</w:t>
      </w:r>
    </w:p>
    <w:p>
      <w:pPr>
        <w:pStyle w:val="107"/>
        <w:spacing w:before="156" w:after="156"/>
      </w:pPr>
      <w:bookmarkStart w:id="61" w:name="_Toc71273110"/>
      <w:r>
        <w:rPr>
          <w:rFonts w:hint="eastAsia"/>
        </w:rPr>
        <w:t>一般规定</w:t>
      </w:r>
      <w:bookmarkEnd w:id="61"/>
    </w:p>
    <w:p>
      <w:pPr>
        <w:pStyle w:val="167"/>
        <w:rPr>
          <w:rFonts w:hint="default"/>
          <w:lang w:val="en-US"/>
        </w:rPr>
      </w:pPr>
      <w:r>
        <w:rPr>
          <w:rFonts w:hint="eastAsia" w:ascii="宋体" w:hAnsi="宋体" w:eastAsia="宋体"/>
        </w:rPr>
        <w:t>原材料进场应进行验收并查验质量证明文件，建立档案。进场验收内容主要包括</w:t>
      </w:r>
      <w:r>
        <w:rPr>
          <w:rFonts w:hint="eastAsia"/>
          <w:lang w:eastAsia="zh-CN"/>
        </w:rPr>
        <w:t>：</w:t>
      </w:r>
    </w:p>
    <w:p>
      <w:pPr>
        <w:pStyle w:val="176"/>
        <w:numPr>
          <w:ilvl w:val="0"/>
          <w:numId w:val="34"/>
        </w:numPr>
      </w:pPr>
      <w:r>
        <w:rPr>
          <w:rFonts w:hint="eastAsia"/>
        </w:rPr>
        <w:t>厂家、品种、规格、等级和数量等信息正确；</w:t>
      </w:r>
    </w:p>
    <w:p>
      <w:pPr>
        <w:pStyle w:val="176"/>
        <w:numPr>
          <w:ilvl w:val="0"/>
          <w:numId w:val="34"/>
        </w:numPr>
      </w:pPr>
      <w:r>
        <w:rPr>
          <w:rFonts w:hint="eastAsia"/>
        </w:rPr>
        <w:t>型式检验报告、出厂检验报告等质量证明文件齐全</w:t>
      </w:r>
      <w:r>
        <w:rPr>
          <w:rFonts w:hint="eastAsia"/>
          <w:lang w:eastAsia="zh-CN"/>
        </w:rPr>
        <w:t>；</w:t>
      </w:r>
    </w:p>
    <w:p>
      <w:pPr>
        <w:pStyle w:val="176"/>
        <w:numPr>
          <w:ilvl w:val="0"/>
          <w:numId w:val="34"/>
        </w:numPr>
      </w:pPr>
      <w:r>
        <w:rPr>
          <w:rFonts w:hint="eastAsia"/>
        </w:rPr>
        <w:t>外观质量应符合要求</w:t>
      </w:r>
      <w:r>
        <w:rPr>
          <w:rFonts w:hint="eastAsia"/>
          <w:lang w:eastAsia="zh-CN"/>
        </w:rPr>
        <w:t>。</w:t>
      </w:r>
    </w:p>
    <w:p>
      <w:pPr>
        <w:pStyle w:val="167"/>
      </w:pPr>
      <w:r>
        <w:rPr>
          <w:rFonts w:hint="eastAsia" w:ascii="宋体" w:hAnsi="宋体" w:eastAsia="宋体"/>
        </w:rPr>
        <w:t>预制构件生产所用的混凝土原材料、钢筋原材及成型钢筋、预应力材料、连接套筒、拉结件、预埋件、密封胶等材料应符合本标准和国家相关标准规定，并按照本标准规定的项目进行进场抽检。当国家、行业、地方等相关标准规定或者设计、合同约定有其他要求时，还应对相应的其他性能进行抽检，经检验合格后方可使用。本标准未提及的预制构件生产所用原材料检验按照相关国家、行业、地方标准执行</w:t>
      </w:r>
      <w:r>
        <w:rPr>
          <w:rFonts w:hint="eastAsia"/>
          <w:lang w:eastAsia="zh-CN"/>
        </w:rPr>
        <w:t>。</w:t>
      </w:r>
    </w:p>
    <w:p>
      <w:pPr>
        <w:pStyle w:val="167"/>
      </w:pPr>
      <w:r>
        <w:rPr>
          <w:rFonts w:hint="eastAsia" w:ascii="宋体" w:hAnsi="宋体" w:eastAsia="宋体"/>
        </w:rPr>
        <w:t>原材料应分类、分品种和等级进行仓储，并应设有明显标识，标识应注明材料的名称、产地（厂家）、等级、规格和检验状态等信息；水泥、矿物掺合料、钢筋等在仓储过程中应有防潮措施</w:t>
      </w:r>
      <w:r>
        <w:rPr>
          <w:rFonts w:hint="eastAsia" w:hAnsi="宋体"/>
          <w:lang w:eastAsia="zh-CN"/>
        </w:rPr>
        <w:t>。</w:t>
      </w:r>
    </w:p>
    <w:p>
      <w:pPr>
        <w:pStyle w:val="107"/>
        <w:spacing w:before="156" w:after="156"/>
        <w:rPr>
          <w:rFonts w:hint="default"/>
          <w:lang w:val="en-US"/>
        </w:rPr>
      </w:pPr>
      <w:r>
        <w:rPr>
          <w:rFonts w:hint="eastAsia"/>
          <w:lang w:val="en-US" w:eastAsia="zh-CN"/>
        </w:rPr>
        <w:t>混凝土用原材料</w:t>
      </w:r>
    </w:p>
    <w:p>
      <w:pPr>
        <w:pStyle w:val="107"/>
        <w:numPr>
          <w:ilvl w:val="2"/>
          <w:numId w:val="0"/>
        </w:numPr>
        <w:spacing w:before="156" w:after="156"/>
        <w:ind w:leftChars="0"/>
        <w:jc w:val="center"/>
        <w:rPr>
          <w:rFonts w:hint="default"/>
          <w:lang w:val="en-US"/>
        </w:rPr>
      </w:pPr>
      <w:r>
        <w:rPr>
          <w:rFonts w:hint="eastAsia"/>
          <w:lang w:val="en-US" w:eastAsia="zh-CN"/>
        </w:rPr>
        <w:t>主控项目</w:t>
      </w:r>
    </w:p>
    <w:p>
      <w:pPr>
        <w:pStyle w:val="167"/>
      </w:pPr>
      <w:r>
        <w:rPr>
          <w:rFonts w:hint="eastAsia" w:ascii="宋体" w:hAnsi="宋体" w:eastAsia="宋体"/>
        </w:rPr>
        <w:t>水泥安定性、凝结时间和强度等级应符合设计要求，宜采用强度等级不低于42.5的硅酸盐水泥、普通硅酸盐水泥；进场抽检质量应符合《通用硅酸盐水泥》GB 175的规定</w:t>
      </w:r>
      <w:r>
        <w:rPr>
          <w:rFonts w:hint="eastAsia"/>
          <w:lang w:eastAsia="zh-CN"/>
        </w:rPr>
        <w:t>。</w:t>
      </w:r>
    </w:p>
    <w:p>
      <w:pPr>
        <w:pStyle w:val="242"/>
        <w:ind w:firstLine="420" w:firstLineChars="200"/>
      </w:pPr>
      <w:r>
        <w:rPr>
          <w:rFonts w:hint="eastAsia"/>
        </w:rPr>
        <w:t>检查数量：按批检查，同一厂家、同一品种且同一强度等级的散装水泥不超过500t为一批。</w:t>
      </w:r>
    </w:p>
    <w:p>
      <w:pPr>
        <w:pStyle w:val="167"/>
        <w:numPr>
          <w:ilvl w:val="3"/>
          <w:numId w:val="0"/>
        </w:numPr>
        <w:ind w:leftChars="0" w:firstLine="420" w:firstLineChars="200"/>
      </w:pPr>
      <w:r>
        <w:rPr>
          <w:rFonts w:hint="eastAsia"/>
        </w:rPr>
        <w:t>检验方法：检查质量证明文件和抽样检验报告。</w:t>
      </w:r>
    </w:p>
    <w:p>
      <w:pPr>
        <w:pStyle w:val="167"/>
      </w:pPr>
      <w:r>
        <w:rPr>
          <w:rFonts w:hint="eastAsia" w:ascii="宋体" w:hAnsi="宋体" w:eastAsia="宋体"/>
        </w:rPr>
        <w:t>细骨料颗粒级配、细度模数、氯离子含量、贝壳含量、含泥量（石粉含量）和泥块含量应符合设计要求；宜选用细度模数为</w:t>
      </w:r>
      <w:r>
        <w:rPr>
          <w:rFonts w:ascii="宋体" w:hAnsi="宋体" w:eastAsia="宋体"/>
        </w:rPr>
        <w:t>2.3</w:t>
      </w:r>
      <w:r>
        <w:rPr>
          <w:rFonts w:hint="eastAsia" w:ascii="宋体" w:hAnsi="宋体" w:eastAsia="宋体"/>
        </w:rPr>
        <w:t>～</w:t>
      </w:r>
      <w:r>
        <w:rPr>
          <w:rFonts w:ascii="宋体" w:hAnsi="宋体" w:eastAsia="宋体"/>
        </w:rPr>
        <w:t>3.0</w:t>
      </w:r>
      <w:r>
        <w:rPr>
          <w:rFonts w:hint="eastAsia" w:ascii="宋体" w:hAnsi="宋体" w:eastAsia="宋体"/>
        </w:rPr>
        <w:t>的中砂，细骨料堆积密度宜大于</w:t>
      </w:r>
      <w:r>
        <w:rPr>
          <w:rFonts w:ascii="宋体" w:hAnsi="宋体" w:eastAsia="宋体"/>
        </w:rPr>
        <w:t>1500</w:t>
      </w:r>
      <w:r>
        <w:rPr>
          <w:rFonts w:hint="eastAsia" w:ascii="宋体" w:hAnsi="宋体" w:eastAsia="宋体"/>
        </w:rPr>
        <w:t>kg</w:t>
      </w:r>
      <w:r>
        <w:rPr>
          <w:rFonts w:ascii="宋体" w:hAnsi="宋体" w:eastAsia="宋体"/>
        </w:rPr>
        <w:t>/m</w:t>
      </w:r>
      <w:r>
        <w:rPr>
          <w:rFonts w:ascii="宋体" w:hAnsi="宋体" w:eastAsia="宋体"/>
          <w:vertAlign w:val="superscript"/>
        </w:rPr>
        <w:t>3</w:t>
      </w:r>
      <w:r>
        <w:rPr>
          <w:rFonts w:hint="eastAsia" w:ascii="宋体" w:hAnsi="宋体" w:eastAsia="宋体"/>
        </w:rPr>
        <w:t>，用于钢筋混凝土的砂中氯离子含量（以干砂的质量百分率计）不应超过</w:t>
      </w:r>
      <w:r>
        <w:rPr>
          <w:rFonts w:ascii="宋体" w:hAnsi="宋体" w:eastAsia="宋体"/>
        </w:rPr>
        <w:t>0.02</w:t>
      </w:r>
      <w:r>
        <w:rPr>
          <w:rFonts w:hint="eastAsia" w:ascii="宋体" w:hAnsi="宋体" w:eastAsia="宋体"/>
        </w:rPr>
        <w:t>％。复验结果应符合《普通混凝土用砂、石质量及检验方法标准》</w:t>
      </w:r>
      <w:r>
        <w:rPr>
          <w:rFonts w:ascii="宋体" w:hAnsi="宋体" w:eastAsia="宋体"/>
        </w:rPr>
        <w:t>JGJ 52</w:t>
      </w:r>
      <w:r>
        <w:rPr>
          <w:rFonts w:hint="eastAsia" w:ascii="宋体" w:hAnsi="宋体" w:eastAsia="宋体"/>
        </w:rPr>
        <w:t>的有关规定。用于预应力混凝土的砂中氯离子含量（以干砂的质量百分率计）不应超过0.01％。不得使用海砂</w:t>
      </w:r>
      <w:r>
        <w:rPr>
          <w:rFonts w:hint="eastAsia"/>
          <w:lang w:eastAsia="zh-CN"/>
        </w:rPr>
        <w:t>。</w:t>
      </w:r>
    </w:p>
    <w:p>
      <w:pPr>
        <w:pStyle w:val="242"/>
        <w:ind w:firstLine="420" w:firstLineChars="200"/>
      </w:pPr>
      <w:r>
        <w:rPr>
          <w:rFonts w:hint="eastAsia"/>
        </w:rPr>
        <w:t>检查数量：按批检查，同一厂家（产地）且同一规格的骨料不超过</w:t>
      </w:r>
      <w:r>
        <w:t>400m</w:t>
      </w:r>
      <w:r>
        <w:rPr>
          <w:vertAlign w:val="superscript"/>
        </w:rPr>
        <w:t>3</w:t>
      </w:r>
      <w:r>
        <w:rPr>
          <w:rFonts w:hint="eastAsia"/>
        </w:rPr>
        <w:t>或</w:t>
      </w:r>
      <w:r>
        <w:t>600t</w:t>
      </w:r>
      <w:r>
        <w:rPr>
          <w:rFonts w:hint="eastAsia"/>
        </w:rPr>
        <w:t>为一批。</w:t>
      </w:r>
    </w:p>
    <w:p>
      <w:pPr>
        <w:pStyle w:val="167"/>
        <w:numPr>
          <w:ilvl w:val="3"/>
          <w:numId w:val="0"/>
        </w:numPr>
        <w:ind w:leftChars="0" w:firstLine="420" w:firstLineChars="200"/>
      </w:pPr>
      <w:r>
        <w:rPr>
          <w:rFonts w:hint="eastAsia"/>
        </w:rPr>
        <w:t>检验方法：检查质量证明文件和抽样检验报告。</w:t>
      </w:r>
    </w:p>
    <w:p>
      <w:pPr>
        <w:pStyle w:val="167"/>
      </w:pPr>
      <w:r>
        <w:rPr>
          <w:rFonts w:hint="eastAsia" w:ascii="宋体" w:hAnsi="宋体" w:eastAsia="宋体"/>
        </w:rPr>
        <w:t>粗骨料颗粒级配、含泥量、泥块含量和针片状颗粒含量应符合设计要求，宜选用</w:t>
      </w:r>
      <w:r>
        <w:rPr>
          <w:rFonts w:ascii="宋体" w:hAnsi="宋体" w:eastAsia="宋体"/>
        </w:rPr>
        <w:t>5mm</w:t>
      </w:r>
      <w:r>
        <w:rPr>
          <w:rFonts w:hint="eastAsia" w:ascii="宋体" w:hAnsi="宋体" w:eastAsia="宋体"/>
        </w:rPr>
        <w:t>～</w:t>
      </w:r>
      <w:r>
        <w:rPr>
          <w:rFonts w:ascii="宋体" w:hAnsi="宋体" w:eastAsia="宋体"/>
        </w:rPr>
        <w:t>25mm</w:t>
      </w:r>
      <w:r>
        <w:rPr>
          <w:rFonts w:hint="eastAsia" w:ascii="宋体" w:hAnsi="宋体" w:eastAsia="宋体"/>
        </w:rPr>
        <w:t>碎石，二级或多级配，堆积密度宜大于</w:t>
      </w:r>
      <w:r>
        <w:rPr>
          <w:rFonts w:ascii="宋体" w:hAnsi="宋体" w:eastAsia="宋体"/>
        </w:rPr>
        <w:t>1500</w:t>
      </w:r>
      <w:r>
        <w:rPr>
          <w:rFonts w:hint="eastAsia" w:ascii="宋体" w:hAnsi="宋体" w:eastAsia="宋体"/>
        </w:rPr>
        <w:t>k</w:t>
      </w:r>
      <w:r>
        <w:rPr>
          <w:rFonts w:ascii="宋体" w:hAnsi="宋体" w:eastAsia="宋体"/>
        </w:rPr>
        <w:t>g/m</w:t>
      </w:r>
      <w:r>
        <w:rPr>
          <w:rFonts w:ascii="宋体" w:hAnsi="宋体" w:eastAsia="宋体"/>
          <w:vertAlign w:val="superscript"/>
        </w:rPr>
        <w:t>3</w:t>
      </w:r>
      <w:r>
        <w:rPr>
          <w:rFonts w:hint="eastAsia" w:ascii="宋体" w:hAnsi="宋体" w:eastAsia="宋体"/>
        </w:rPr>
        <w:t>，紧密密度的空隙率宜小于</w:t>
      </w:r>
      <w:r>
        <w:rPr>
          <w:rFonts w:ascii="宋体" w:hAnsi="宋体" w:eastAsia="宋体"/>
        </w:rPr>
        <w:t>40</w:t>
      </w:r>
      <w:r>
        <w:rPr>
          <w:rFonts w:hint="eastAsia" w:ascii="宋体" w:hAnsi="宋体" w:eastAsia="宋体"/>
        </w:rPr>
        <w:t>％；粗骨料最大公称粒径不得大于预制构件截面最小尺寸的</w:t>
      </w:r>
      <w:r>
        <w:rPr>
          <w:rFonts w:ascii="宋体" w:hAnsi="宋体" w:eastAsia="宋体"/>
        </w:rPr>
        <w:t>1/4</w:t>
      </w:r>
      <w:r>
        <w:rPr>
          <w:rFonts w:hint="eastAsia" w:ascii="宋体" w:hAnsi="宋体" w:eastAsia="宋体"/>
        </w:rPr>
        <w:t>，也不得大于钢筋最小净距的</w:t>
      </w:r>
      <w:r>
        <w:rPr>
          <w:rFonts w:ascii="宋体" w:hAnsi="宋体" w:eastAsia="宋体"/>
        </w:rPr>
        <w:t>3/4</w:t>
      </w:r>
      <w:r>
        <w:rPr>
          <w:rFonts w:hint="eastAsia" w:ascii="宋体" w:hAnsi="宋体" w:eastAsia="宋体"/>
        </w:rPr>
        <w:t>；对预制混凝土实心板，骨料的最大粒径不宜大于板厚的</w:t>
      </w:r>
      <w:r>
        <w:rPr>
          <w:rFonts w:ascii="宋体" w:hAnsi="宋体" w:eastAsia="宋体"/>
        </w:rPr>
        <w:t>1/3</w:t>
      </w:r>
      <w:r>
        <w:rPr>
          <w:rFonts w:hint="eastAsia" w:ascii="宋体" w:hAnsi="宋体" w:eastAsia="宋体"/>
        </w:rPr>
        <w:t>，且不得大于</w:t>
      </w:r>
      <w:r>
        <w:rPr>
          <w:rFonts w:ascii="宋体" w:hAnsi="宋体" w:eastAsia="宋体"/>
        </w:rPr>
        <w:t>40mm</w:t>
      </w:r>
      <w:r>
        <w:rPr>
          <w:rFonts w:hint="eastAsia" w:ascii="宋体" w:hAnsi="宋体" w:eastAsia="宋体"/>
        </w:rPr>
        <w:t>。复验结果应符合《普通混凝土用砂、石质量及检验方法标准》</w:t>
      </w:r>
      <w:r>
        <w:rPr>
          <w:rFonts w:ascii="宋体" w:hAnsi="宋体" w:eastAsia="宋体"/>
        </w:rPr>
        <w:t>JGJ 52</w:t>
      </w:r>
      <w:r>
        <w:rPr>
          <w:rFonts w:hint="eastAsia" w:ascii="宋体" w:hAnsi="宋体" w:eastAsia="宋体"/>
        </w:rPr>
        <w:t>的有关规定</w:t>
      </w:r>
      <w:r>
        <w:rPr>
          <w:rFonts w:hint="eastAsia" w:hAnsi="宋体"/>
          <w:lang w:eastAsia="zh-CN"/>
        </w:rPr>
        <w:t>。</w:t>
      </w:r>
    </w:p>
    <w:p>
      <w:pPr>
        <w:pStyle w:val="242"/>
        <w:ind w:firstLine="420" w:firstLineChars="200"/>
      </w:pPr>
      <w:r>
        <w:rPr>
          <w:rFonts w:hint="eastAsia"/>
        </w:rPr>
        <w:t>检查数量：按批检查，同一厂家（产地）且同一规格的骨料不超过</w:t>
      </w:r>
      <w:r>
        <w:t>400m</w:t>
      </w:r>
      <w:r>
        <w:rPr>
          <w:vertAlign w:val="superscript"/>
        </w:rPr>
        <w:t>3</w:t>
      </w:r>
      <w:r>
        <w:rPr>
          <w:rFonts w:hint="eastAsia"/>
        </w:rPr>
        <w:t>或</w:t>
      </w:r>
      <w:r>
        <w:t>600t</w:t>
      </w:r>
      <w:r>
        <w:rPr>
          <w:rFonts w:hint="eastAsia"/>
        </w:rPr>
        <w:t>为一批。</w:t>
      </w:r>
    </w:p>
    <w:p>
      <w:pPr>
        <w:pStyle w:val="167"/>
        <w:numPr>
          <w:ilvl w:val="3"/>
          <w:numId w:val="0"/>
        </w:numPr>
        <w:ind w:leftChars="0" w:firstLine="420" w:firstLineChars="200"/>
      </w:pPr>
      <w:r>
        <w:rPr>
          <w:rFonts w:hint="eastAsia"/>
        </w:rPr>
        <w:t>检验方法：检查质量证明文件和抽样检验报告。</w:t>
      </w:r>
    </w:p>
    <w:p>
      <w:pPr>
        <w:pStyle w:val="167"/>
      </w:pPr>
      <w:r>
        <w:rPr>
          <w:rFonts w:hint="eastAsia" w:ascii="宋体" w:hAnsi="宋体" w:eastAsia="宋体"/>
        </w:rPr>
        <w:t>轻粗骨料的颗粒级配、堆积密度、粒形系数、筒压强度和吸水率应符合设计要求，高强轻粗骨料还应进行强度标号试验。预制构件用轻骨料应按设计文件、轻骨料混凝土强度等级和密度等级以及生产工艺等要求进行选用，并应通过试验确定。抽检结果应符合《轻集料及其试验方法第1部分：轻集料》GB/T 17431.1等标准的有关规定</w:t>
      </w:r>
      <w:r>
        <w:rPr>
          <w:rFonts w:hint="eastAsia"/>
        </w:rPr>
        <w:t>。</w:t>
      </w:r>
    </w:p>
    <w:p>
      <w:pPr>
        <w:pStyle w:val="242"/>
        <w:ind w:firstLine="420" w:firstLineChars="200"/>
      </w:pPr>
      <w:r>
        <w:rPr>
          <w:rFonts w:hint="eastAsia"/>
        </w:rPr>
        <w:t>检查数量：按批检查，同一类别、同一规格且同密度等级不超过</w:t>
      </w:r>
      <w:r>
        <w:t>200m</w:t>
      </w:r>
      <w:r>
        <w:rPr>
          <w:vertAlign w:val="superscript"/>
        </w:rPr>
        <w:t>3</w:t>
      </w:r>
      <w:r>
        <w:rPr>
          <w:rFonts w:hint="eastAsia"/>
        </w:rPr>
        <w:t>为一批；</w:t>
      </w:r>
    </w:p>
    <w:p>
      <w:pPr>
        <w:pStyle w:val="242"/>
        <w:ind w:firstLine="420" w:firstLineChars="200"/>
      </w:pPr>
      <w:r>
        <w:rPr>
          <w:rFonts w:hint="eastAsia"/>
        </w:rPr>
        <w:t>检验方法：检查质量证明文件和抽样检验报告。</w:t>
      </w:r>
    </w:p>
    <w:p>
      <w:pPr>
        <w:pStyle w:val="167"/>
      </w:pPr>
      <w:r>
        <w:rPr>
          <w:rFonts w:hint="eastAsia" w:ascii="宋体" w:hAnsi="宋体" w:eastAsia="宋体"/>
        </w:rPr>
        <w:t>粉煤灰的细度、需水量比、烧失量和强度活性指数应符合设计要求，设计有其他要求时，尚应对相应的其他性能进行试验。粉煤灰宜选用F类Ⅰ级或Ⅱ级。抽检结果应符合《用于水泥和混凝土中的粉煤灰》GB/T 1596等标准的有关规定</w:t>
      </w:r>
      <w:r>
        <w:rPr>
          <w:rFonts w:hint="eastAsia" w:hAnsi="宋体"/>
          <w:lang w:eastAsia="zh-CN"/>
        </w:rPr>
        <w:t>。</w:t>
      </w:r>
    </w:p>
    <w:p>
      <w:pPr>
        <w:pStyle w:val="242"/>
        <w:ind w:firstLine="420" w:firstLineChars="200"/>
      </w:pPr>
      <w:r>
        <w:rPr>
          <w:rFonts w:hint="eastAsia"/>
        </w:rPr>
        <w:t>检查数量：按批检查，同一厂家、同一品种且同一等级的粉煤灰不超过</w:t>
      </w:r>
      <w:r>
        <w:t>200t</w:t>
      </w:r>
      <w:r>
        <w:rPr>
          <w:rFonts w:hint="eastAsia"/>
        </w:rPr>
        <w:t>为一批。</w:t>
      </w:r>
    </w:p>
    <w:p>
      <w:pPr>
        <w:pStyle w:val="242"/>
        <w:ind w:firstLine="420" w:firstLineChars="200"/>
      </w:pPr>
      <w:r>
        <w:rPr>
          <w:rFonts w:hint="eastAsia"/>
        </w:rPr>
        <w:t>检验方法：检查质量证明文件和抽样检验报告。</w:t>
      </w:r>
    </w:p>
    <w:p>
      <w:pPr>
        <w:pStyle w:val="167"/>
      </w:pPr>
      <w:r>
        <w:rPr>
          <w:rFonts w:hint="eastAsia" w:ascii="宋体" w:hAnsi="宋体" w:eastAsia="宋体"/>
        </w:rPr>
        <w:t>粒化高炉矿渣的细度、比表面积、流动度比、烧失量和活性指数应符合设计要求，设计有其他要求时，尚应对相应的其他性能进行试验。抽检结果应符合《用于水泥、砂浆和混凝土中的粒化高炉矿渣粉》GB/T 18046等标准的有关规定</w:t>
      </w:r>
      <w:r>
        <w:rPr>
          <w:rFonts w:hint="eastAsia" w:hAnsi="宋体"/>
          <w:lang w:eastAsia="zh-CN"/>
        </w:rPr>
        <w:t>。</w:t>
      </w:r>
    </w:p>
    <w:p>
      <w:pPr>
        <w:pStyle w:val="242"/>
        <w:ind w:firstLine="420" w:firstLineChars="200"/>
      </w:pPr>
      <w:r>
        <w:rPr>
          <w:rFonts w:hint="eastAsia"/>
        </w:rPr>
        <w:t>检查数量：按批检查，同一厂家、同一品种且同一等级的粒化高炉矿渣粉不超过</w:t>
      </w:r>
      <w:r>
        <w:t>200t</w:t>
      </w:r>
      <w:r>
        <w:rPr>
          <w:rFonts w:hint="eastAsia"/>
        </w:rPr>
        <w:t>为一批。</w:t>
      </w:r>
    </w:p>
    <w:p>
      <w:pPr>
        <w:pStyle w:val="242"/>
        <w:ind w:firstLine="420" w:firstLineChars="200"/>
      </w:pPr>
      <w:r>
        <w:rPr>
          <w:rFonts w:hint="eastAsia"/>
        </w:rPr>
        <w:t>检验方法：检查质量证明文件和抽样检验报告。</w:t>
      </w:r>
    </w:p>
    <w:p>
      <w:pPr>
        <w:pStyle w:val="167"/>
      </w:pPr>
      <w:r>
        <w:rPr>
          <w:rFonts w:hint="eastAsia" w:ascii="宋体" w:hAnsi="宋体" w:eastAsia="宋体"/>
        </w:rPr>
        <w:t>当选用硅灰、钢铁渣粉或石灰石粉等矿物掺合料时，其性能应分别符合相关标准的要求。当选用标准无规定的矿物掺合料时，应有充足的技术依据，并应在使用前进行试验验证</w:t>
      </w:r>
      <w:r>
        <w:rPr>
          <w:rFonts w:hint="eastAsia"/>
          <w:lang w:eastAsia="zh-CN"/>
        </w:rPr>
        <w:t>。</w:t>
      </w:r>
    </w:p>
    <w:p>
      <w:pPr>
        <w:pStyle w:val="242"/>
        <w:ind w:firstLine="420" w:firstLineChars="200"/>
      </w:pPr>
      <w:r>
        <w:rPr>
          <w:rFonts w:hint="eastAsia"/>
        </w:rPr>
        <w:t>检查数量：按批检查。</w:t>
      </w:r>
    </w:p>
    <w:p>
      <w:pPr>
        <w:pStyle w:val="242"/>
        <w:ind w:firstLine="420" w:firstLineChars="200"/>
      </w:pPr>
      <w:r>
        <w:rPr>
          <w:rFonts w:hint="eastAsia"/>
        </w:rPr>
        <w:t>检验方法：检查质量证明文件和抽样检验报告。</w:t>
      </w:r>
    </w:p>
    <w:p>
      <w:pPr>
        <w:pStyle w:val="107"/>
        <w:spacing w:before="156" w:after="156"/>
      </w:pPr>
      <w:bookmarkStart w:id="62" w:name="_Toc71273112"/>
      <w:r>
        <w:rPr>
          <w:rFonts w:hint="eastAsia" w:ascii="Times New Roman"/>
          <w:lang w:val="en-US" w:eastAsia="zh-CN"/>
        </w:rPr>
        <w:t>钢</w:t>
      </w:r>
      <w:r>
        <w:rPr>
          <w:rFonts w:hint="eastAsia" w:ascii="Times New Roman"/>
        </w:rPr>
        <w:t>筋与预应力材料</w:t>
      </w:r>
    </w:p>
    <w:p>
      <w:pPr>
        <w:pStyle w:val="233"/>
        <w:ind w:firstLine="0" w:firstLineChars="0"/>
        <w:jc w:val="center"/>
        <w:rPr>
          <w:rFonts w:hint="eastAsia" w:ascii="Times New Roman" w:eastAsia="黑体"/>
          <w:szCs w:val="21"/>
          <w:lang w:val="en-US" w:eastAsia="zh-CN"/>
        </w:rPr>
      </w:pPr>
      <w:r>
        <w:rPr>
          <w:rFonts w:hint="eastAsia" w:ascii="Times New Roman" w:eastAsia="黑体"/>
          <w:szCs w:val="21"/>
          <w:lang w:val="en-US" w:eastAsia="zh-CN"/>
        </w:rPr>
        <w:t>主控项目</w:t>
      </w:r>
    </w:p>
    <w:p>
      <w:pPr>
        <w:pStyle w:val="167"/>
      </w:pPr>
      <w:r>
        <w:rPr>
          <w:rFonts w:hint="eastAsia" w:ascii="宋体" w:hAnsi="宋体" w:eastAsia="宋体"/>
        </w:rPr>
        <w:t>预制构件采用的钢筋应符合设计图纸和国家有关标准的要求和规定</w:t>
      </w:r>
      <w:r>
        <w:rPr>
          <w:rFonts w:hint="eastAsia"/>
        </w:rPr>
        <w:t>。</w:t>
      </w:r>
    </w:p>
    <w:p>
      <w:pPr>
        <w:pStyle w:val="167"/>
      </w:pPr>
      <w:r>
        <w:rPr>
          <w:rFonts w:hint="eastAsia" w:ascii="宋体" w:hAnsi="宋体" w:eastAsia="宋体"/>
        </w:rPr>
        <w:t>钢筋进场时，应按国家相关标准规定抽取试件进行屈服强度、抗拉强度、伸长率、弯曲性能及重量偏差检验，检验方法及结果应符合设计图纸和国家有关标准的规定，抗震钢筋还应检测最大力总延伸率</w:t>
      </w:r>
      <w:r>
        <w:rPr>
          <w:rFonts w:hint="eastAsia" w:hAnsi="宋体"/>
          <w:lang w:eastAsia="zh-CN"/>
        </w:rPr>
        <w:t>。</w:t>
      </w:r>
    </w:p>
    <w:p>
      <w:pPr>
        <w:pStyle w:val="242"/>
        <w:ind w:firstLine="420" w:firstLineChars="200"/>
      </w:pPr>
      <w:bookmarkStart w:id="63" w:name="_Toc531952364"/>
      <w:r>
        <w:rPr>
          <w:rFonts w:hint="eastAsia"/>
        </w:rPr>
        <w:t>检查数量：同一厂家、同一牌号且同一规格不超过</w:t>
      </w:r>
      <w:r>
        <w:t>60t</w:t>
      </w:r>
      <w:r>
        <w:rPr>
          <w:rFonts w:hint="eastAsia"/>
        </w:rPr>
        <w:t>为一批，超过</w:t>
      </w:r>
      <w:r>
        <w:t>60t</w:t>
      </w:r>
      <w:r>
        <w:rPr>
          <w:rFonts w:hint="eastAsia"/>
        </w:rPr>
        <w:t>的部分，每增加</w:t>
      </w:r>
      <w:r>
        <w:t>40t</w:t>
      </w:r>
      <w:r>
        <w:rPr>
          <w:rFonts w:hint="eastAsia"/>
        </w:rPr>
        <w:t>（含不足</w:t>
      </w:r>
      <w:r>
        <w:t>40t</w:t>
      </w:r>
      <w:r>
        <w:rPr>
          <w:rFonts w:hint="eastAsia"/>
        </w:rPr>
        <w:t>）增加一个拉伸试验试件和一个弯曲试验试件。</w:t>
      </w:r>
    </w:p>
    <w:p>
      <w:pPr>
        <w:pStyle w:val="167"/>
        <w:numPr>
          <w:ilvl w:val="3"/>
          <w:numId w:val="0"/>
        </w:numPr>
        <w:ind w:leftChars="0" w:firstLine="420" w:firstLineChars="200"/>
      </w:pPr>
      <w:r>
        <w:rPr>
          <w:rFonts w:hint="eastAsia"/>
        </w:rPr>
        <w:t>检验方法：检查质量证明文件和抽样检验报告。</w:t>
      </w:r>
      <w:bookmarkEnd w:id="63"/>
    </w:p>
    <w:p>
      <w:pPr>
        <w:pStyle w:val="167"/>
      </w:pPr>
      <w:r>
        <w:rPr>
          <w:rFonts w:hint="eastAsia" w:ascii="宋体" w:hAnsi="宋体" w:eastAsia="宋体"/>
        </w:rPr>
        <w:t>成型钢筋进场时，应抽取试件进行屈服强度、抗拉强度、伸长率和重量偏差检验，检验结果应符合国家有关标准的规定</w:t>
      </w:r>
      <w:r>
        <w:rPr>
          <w:rFonts w:hint="eastAsia" w:hAnsi="宋体"/>
          <w:lang w:eastAsia="zh-CN"/>
        </w:rPr>
        <w:t>。</w:t>
      </w:r>
    </w:p>
    <w:p>
      <w:pPr>
        <w:pStyle w:val="167"/>
        <w:numPr>
          <w:ilvl w:val="3"/>
          <w:numId w:val="0"/>
        </w:numPr>
        <w:ind w:leftChars="0" w:firstLine="420" w:firstLineChars="200"/>
        <w:rPr>
          <w:rFonts w:hint="eastAsia"/>
          <w:lang w:eastAsia="zh-CN"/>
        </w:rPr>
      </w:pPr>
      <w:r>
        <w:rPr>
          <w:rFonts w:hint="eastAsia"/>
        </w:rPr>
        <w:t>对采用热轧钢筋为原材料的成型钢筋，当有预制构件生产企业或监理单位的代表驻厂监督加工过程并能提供原材料力学性能第三方检验报告时，可仅进行重量偏差试验</w:t>
      </w:r>
      <w:r>
        <w:rPr>
          <w:rFonts w:hint="eastAsia"/>
          <w:lang w:eastAsia="zh-CN"/>
        </w:rPr>
        <w:t>。</w:t>
      </w:r>
    </w:p>
    <w:p>
      <w:pPr>
        <w:pStyle w:val="242"/>
        <w:ind w:firstLine="420" w:firstLineChars="200"/>
      </w:pPr>
      <w:r>
        <w:rPr>
          <w:rFonts w:hint="eastAsia"/>
        </w:rPr>
        <w:t>检查数量：同一厂家、同一类型且同一钢筋来源的成型钢筋不超过</w:t>
      </w:r>
      <w:r>
        <w:t>30t</w:t>
      </w:r>
      <w:r>
        <w:rPr>
          <w:rFonts w:hint="eastAsia"/>
        </w:rPr>
        <w:t>为一批，每批中每种钢筋牌号、规格均应至少抽取一个钢筋试件，总数不应少于</w:t>
      </w:r>
      <w:r>
        <w:t>3</w:t>
      </w:r>
      <w:r>
        <w:rPr>
          <w:rFonts w:hint="eastAsia"/>
        </w:rPr>
        <w:t>个。</w:t>
      </w:r>
    </w:p>
    <w:p>
      <w:pPr>
        <w:pStyle w:val="167"/>
        <w:numPr>
          <w:ilvl w:val="3"/>
          <w:numId w:val="0"/>
        </w:numPr>
        <w:ind w:leftChars="0" w:firstLine="420" w:firstLineChars="200"/>
        <w:rPr>
          <w:rFonts w:hint="eastAsia"/>
          <w:lang w:eastAsia="zh-CN"/>
        </w:rPr>
      </w:pPr>
      <w:r>
        <w:rPr>
          <w:rFonts w:hint="eastAsia"/>
        </w:rPr>
        <w:t>检验方法：检查质量证明文件和抽样检验报告。</w:t>
      </w:r>
    </w:p>
    <w:p>
      <w:pPr>
        <w:pStyle w:val="167"/>
      </w:pPr>
      <w:r>
        <w:rPr>
          <w:rFonts w:hint="eastAsia" w:ascii="宋体" w:hAnsi="宋体" w:eastAsia="宋体"/>
        </w:rPr>
        <w:t>预应力筋宜采用预应力螺旋肋钢丝、钢绞线，且强度标准值不宜低于1570MPa。进场时，应抽取试件进行抗拉强度、伸长率和弹性模量检验，检验结果应符合《预应力混凝土用钢丝》GB/T 5223、《预应力混凝土用钢绞线》GB/T 5224等标准的规定</w:t>
      </w:r>
      <w:r>
        <w:rPr>
          <w:rFonts w:hint="eastAsia" w:hAnsi="宋体"/>
          <w:lang w:eastAsia="zh-CN"/>
        </w:rPr>
        <w:t>。</w:t>
      </w:r>
    </w:p>
    <w:p>
      <w:pPr>
        <w:pStyle w:val="242"/>
        <w:ind w:firstLine="420" w:firstLineChars="200"/>
      </w:pPr>
      <w:r>
        <w:rPr>
          <w:rFonts w:hint="eastAsia"/>
        </w:rPr>
        <w:t>检查数量：同一厂家、同一规格、同一强度等级且同一批号不超过</w:t>
      </w:r>
      <w:r>
        <w:t>60t</w:t>
      </w:r>
      <w:r>
        <w:rPr>
          <w:rFonts w:hint="eastAsia"/>
        </w:rPr>
        <w:t>为一批。</w:t>
      </w:r>
    </w:p>
    <w:p>
      <w:pPr>
        <w:pStyle w:val="167"/>
        <w:numPr>
          <w:ilvl w:val="3"/>
          <w:numId w:val="0"/>
        </w:numPr>
        <w:ind w:leftChars="0" w:firstLine="420" w:firstLineChars="200"/>
      </w:pPr>
      <w:r>
        <w:rPr>
          <w:rFonts w:hint="eastAsia"/>
        </w:rPr>
        <w:t>检验方法：检查质量证明文件和抽样检验报告。</w:t>
      </w:r>
    </w:p>
    <w:p>
      <w:pPr>
        <w:pStyle w:val="167"/>
      </w:pPr>
      <w:r>
        <w:rPr>
          <w:rFonts w:hint="eastAsia" w:ascii="宋体" w:hAnsi="宋体" w:eastAsia="宋体"/>
        </w:rPr>
        <w:t>预制预应力混凝土梁键槽内的</w:t>
      </w:r>
      <w:r>
        <w:rPr>
          <w:rFonts w:ascii="宋体" w:hAnsi="宋体" w:eastAsia="宋体"/>
        </w:rPr>
        <w:t>U</w:t>
      </w:r>
      <w:r>
        <w:rPr>
          <w:rFonts w:hint="eastAsia" w:ascii="宋体" w:hAnsi="宋体" w:eastAsia="宋体"/>
        </w:rPr>
        <w:t>型钢筋应采用</w:t>
      </w:r>
      <w:r>
        <w:rPr>
          <w:rFonts w:ascii="宋体" w:hAnsi="宋体" w:eastAsia="宋体"/>
        </w:rPr>
        <w:t>HRB400</w:t>
      </w:r>
      <w:r>
        <w:rPr>
          <w:rFonts w:hint="eastAsia" w:ascii="宋体" w:hAnsi="宋体" w:eastAsia="宋体"/>
        </w:rPr>
        <w:t>级或</w:t>
      </w:r>
      <w:r>
        <w:rPr>
          <w:rFonts w:ascii="宋体" w:hAnsi="宋体" w:eastAsia="宋体"/>
        </w:rPr>
        <w:t>HRB500</w:t>
      </w:r>
      <w:r>
        <w:rPr>
          <w:rFonts w:hint="eastAsia" w:ascii="宋体" w:hAnsi="宋体" w:eastAsia="宋体"/>
        </w:rPr>
        <w:t>级钢筋。进场时，应抽取试件进行抗拉强度和伸长率检验，检验结果应符合</w:t>
      </w:r>
      <w:r>
        <w:rPr>
          <w:rFonts w:ascii="宋体" w:hAnsi="宋体" w:eastAsia="宋体"/>
        </w:rPr>
        <w:t>《钢筋混凝土用钢 第2部分:热轧带肋钢筋》 GB/T 1499.2</w:t>
      </w:r>
      <w:r>
        <w:rPr>
          <w:rFonts w:hint="eastAsia" w:ascii="宋体" w:hAnsi="宋体" w:eastAsia="宋体"/>
        </w:rPr>
        <w:t>等标准的规定</w:t>
      </w:r>
      <w:r>
        <w:rPr>
          <w:rFonts w:hint="eastAsia" w:hAnsi="宋体"/>
          <w:lang w:eastAsia="zh-CN"/>
        </w:rPr>
        <w:t>。</w:t>
      </w:r>
    </w:p>
    <w:p>
      <w:pPr>
        <w:pStyle w:val="242"/>
        <w:ind w:firstLine="420" w:firstLineChars="200"/>
      </w:pPr>
      <w:bookmarkStart w:id="64" w:name="_Toc531952366"/>
      <w:r>
        <w:rPr>
          <w:rFonts w:hint="eastAsia"/>
        </w:rPr>
        <w:t>检查数量：同一厂家、同一牌号且同一规格不超过</w:t>
      </w:r>
      <w:r>
        <w:t>60t</w:t>
      </w:r>
      <w:r>
        <w:rPr>
          <w:rFonts w:hint="eastAsia"/>
        </w:rPr>
        <w:t>为一批。</w:t>
      </w:r>
      <w:bookmarkEnd w:id="64"/>
    </w:p>
    <w:p>
      <w:pPr>
        <w:pStyle w:val="242"/>
        <w:ind w:firstLine="420" w:firstLineChars="200"/>
      </w:pPr>
      <w:r>
        <w:rPr>
          <w:rFonts w:hint="eastAsia"/>
        </w:rPr>
        <w:t>检验方法：检查质量证明文件和抽样检验报告。</w:t>
      </w:r>
    </w:p>
    <w:p>
      <w:pPr>
        <w:pStyle w:val="167"/>
      </w:pPr>
      <w:r>
        <w:rPr>
          <w:rFonts w:hint="eastAsia" w:ascii="宋体" w:hAnsi="宋体" w:eastAsia="宋体"/>
        </w:rPr>
        <w:t>锚具、夹具进场时，应按《预应力筋用锚具、夹具和连接器应用技术规程》JGJ 85的相关规定对其性能进行检验，检验结果应符合该标准的规定</w:t>
      </w:r>
      <w:r>
        <w:rPr>
          <w:rFonts w:hint="eastAsia" w:hAnsi="宋体"/>
          <w:lang w:eastAsia="zh-CN"/>
        </w:rPr>
        <w:t>。</w:t>
      </w:r>
    </w:p>
    <w:p>
      <w:pPr>
        <w:pStyle w:val="242"/>
        <w:ind w:firstLine="420" w:firstLineChars="200"/>
      </w:pPr>
      <w:r>
        <w:rPr>
          <w:rFonts w:hint="eastAsia"/>
        </w:rPr>
        <w:t>检查数量：同一厂家、同一型号、同一规格且同一批号的锚具不超过</w:t>
      </w:r>
      <w:r>
        <w:t>1000</w:t>
      </w:r>
      <w:r>
        <w:rPr>
          <w:rFonts w:hint="eastAsia"/>
        </w:rPr>
        <w:t>套为一批，夹具和连接器不超过</w:t>
      </w:r>
      <w:r>
        <w:t>500</w:t>
      </w:r>
      <w:r>
        <w:rPr>
          <w:rFonts w:hint="eastAsia"/>
        </w:rPr>
        <w:t>套为一批。</w:t>
      </w:r>
    </w:p>
    <w:p>
      <w:pPr>
        <w:pStyle w:val="242"/>
        <w:ind w:firstLine="420" w:firstLineChars="200"/>
      </w:pPr>
      <w:r>
        <w:rPr>
          <w:rFonts w:hint="eastAsia"/>
        </w:rPr>
        <w:t>检验项目：对有硬度要求的锚具、夹具，每批随机抽取5％且不少于5套进行硬度检验；经上述检验合格后，应从同批锚具中随机抽取6套锚具、夹具组成3个预应力锚具组装件，进行静载锚固性能试验；锚具、夹具用量不足检验批规定数量的50％，且供货方提供有效的检验报告时，可不做静载锚固性能检验。</w:t>
      </w:r>
    </w:p>
    <w:p>
      <w:pPr>
        <w:pStyle w:val="167"/>
        <w:numPr>
          <w:ilvl w:val="3"/>
          <w:numId w:val="0"/>
        </w:numPr>
        <w:ind w:leftChars="0" w:firstLine="420" w:firstLineChars="200"/>
        <w:rPr>
          <w:rFonts w:hint="eastAsia"/>
          <w:lang w:eastAsia="zh-CN"/>
        </w:rPr>
      </w:pPr>
      <w:r>
        <w:rPr>
          <w:rFonts w:hint="eastAsia"/>
        </w:rPr>
        <w:t>检验方法：检查质量证明文件和抽样检验报告</w:t>
      </w:r>
      <w:r>
        <w:rPr>
          <w:rFonts w:hint="eastAsia"/>
          <w:lang w:eastAsia="zh-CN"/>
        </w:rPr>
        <w:t>。</w:t>
      </w:r>
    </w:p>
    <w:p>
      <w:pPr>
        <w:pStyle w:val="233"/>
        <w:ind w:firstLine="0" w:firstLineChars="0"/>
        <w:jc w:val="center"/>
        <w:rPr>
          <w:rFonts w:hint="eastAsia" w:ascii="黑体" w:eastAsia="黑体"/>
          <w:szCs w:val="21"/>
          <w:lang w:val="en-US" w:eastAsia="zh-CN"/>
        </w:rPr>
      </w:pPr>
      <w:r>
        <w:rPr>
          <w:rFonts w:hint="eastAsia" w:ascii="黑体" w:eastAsia="黑体"/>
          <w:szCs w:val="21"/>
          <w:lang w:val="en-US" w:eastAsia="zh-CN"/>
        </w:rPr>
        <w:t>一般项目</w:t>
      </w:r>
    </w:p>
    <w:p>
      <w:pPr>
        <w:pStyle w:val="167"/>
      </w:pPr>
      <w:r>
        <w:rPr>
          <w:rFonts w:hint="eastAsia" w:ascii="宋体" w:hAnsi="宋体" w:eastAsia="宋体"/>
        </w:rPr>
        <w:t>钢筋表面目测应无损伤、裂纹、油污、颗粒状或片状老锈；钢筋表面铁锈及杂物应在使用前清理干净</w:t>
      </w:r>
      <w:r>
        <w:rPr>
          <w:rFonts w:hint="eastAsia" w:hAnsi="宋体"/>
          <w:lang w:eastAsia="zh-CN"/>
        </w:rPr>
        <w:t>。</w:t>
      </w:r>
    </w:p>
    <w:p>
      <w:pPr>
        <w:pStyle w:val="242"/>
        <w:ind w:firstLine="420" w:firstLineChars="200"/>
      </w:pPr>
      <w:bookmarkStart w:id="65" w:name="_Toc531952368"/>
      <w:r>
        <w:rPr>
          <w:rFonts w:hint="eastAsia"/>
        </w:rPr>
        <w:t>检查数量：全数检查。</w:t>
      </w:r>
      <w:bookmarkEnd w:id="65"/>
    </w:p>
    <w:p>
      <w:pPr>
        <w:pStyle w:val="242"/>
        <w:ind w:firstLine="420" w:firstLineChars="200"/>
        <w:rPr>
          <w:rFonts w:hint="eastAsia"/>
        </w:rPr>
      </w:pPr>
      <w:r>
        <w:rPr>
          <w:rFonts w:hint="eastAsia"/>
        </w:rPr>
        <w:t>检验方法：观察。</w:t>
      </w:r>
    </w:p>
    <w:p>
      <w:pPr>
        <w:pStyle w:val="167"/>
        <w:numPr>
          <w:ilvl w:val="3"/>
          <w:numId w:val="0"/>
        </w:numPr>
        <w:ind w:leftChars="0"/>
      </w:pPr>
    </w:p>
    <w:p>
      <w:pPr>
        <w:pStyle w:val="167"/>
      </w:pPr>
      <w:r>
        <w:rPr>
          <w:rFonts w:hint="eastAsia" w:ascii="宋体" w:hAnsi="宋体" w:eastAsia="宋体"/>
        </w:rPr>
        <w:t>成型钢筋的外观质量和尺寸偏差，应符合国家有关标准的规定</w:t>
      </w:r>
      <w:r>
        <w:rPr>
          <w:rFonts w:hint="eastAsia" w:hAnsi="宋体"/>
          <w:lang w:eastAsia="zh-CN"/>
        </w:rPr>
        <w:t>。</w:t>
      </w:r>
    </w:p>
    <w:p>
      <w:pPr>
        <w:pStyle w:val="242"/>
        <w:ind w:firstLine="420" w:firstLineChars="200"/>
      </w:pPr>
      <w:bookmarkStart w:id="66" w:name="_Toc531952370"/>
      <w:r>
        <w:rPr>
          <w:rFonts w:hint="eastAsia"/>
        </w:rPr>
        <w:t>检查数量：同一厂家、同一类型的成型钢筋，不超过</w:t>
      </w:r>
      <w:r>
        <w:t>30t</w:t>
      </w:r>
      <w:r>
        <w:rPr>
          <w:rFonts w:hint="eastAsia"/>
        </w:rPr>
        <w:t>为一批，每批随机抽取</w:t>
      </w:r>
      <w:r>
        <w:t>3</w:t>
      </w:r>
      <w:r>
        <w:rPr>
          <w:rFonts w:hint="eastAsia"/>
        </w:rPr>
        <w:t>个试件。</w:t>
      </w:r>
      <w:bookmarkEnd w:id="66"/>
    </w:p>
    <w:p>
      <w:pPr>
        <w:pStyle w:val="167"/>
        <w:numPr>
          <w:ilvl w:val="3"/>
          <w:numId w:val="0"/>
        </w:numPr>
        <w:ind w:leftChars="0" w:firstLine="420" w:firstLineChars="200"/>
        <w:rPr>
          <w:rFonts w:hint="eastAsia" w:eastAsia="宋体"/>
          <w:lang w:eastAsia="zh-CN"/>
        </w:rPr>
      </w:pPr>
      <w:r>
        <w:rPr>
          <w:rFonts w:hint="eastAsia"/>
        </w:rPr>
        <w:t>检验方法：观察，尺量</w:t>
      </w:r>
      <w:r>
        <w:rPr>
          <w:rFonts w:hint="eastAsia"/>
          <w:lang w:eastAsia="zh-CN"/>
        </w:rPr>
        <w:t>。</w:t>
      </w:r>
    </w:p>
    <w:p>
      <w:pPr>
        <w:pStyle w:val="167"/>
      </w:pPr>
      <w:r>
        <w:rPr>
          <w:rFonts w:hint="eastAsia" w:ascii="宋体" w:hAnsi="宋体" w:eastAsia="宋体"/>
        </w:rPr>
        <w:t>预应力筋进场时，应进行外观检查，其表面不应有裂纹、小刺、机械损伤、氧化铁皮和油污等，展开后应平顺、不应有弯折</w:t>
      </w:r>
      <w:r>
        <w:rPr>
          <w:rFonts w:hint="eastAsia" w:hAnsi="宋体"/>
          <w:lang w:eastAsia="zh-CN"/>
        </w:rPr>
        <w:t>。</w:t>
      </w:r>
    </w:p>
    <w:p>
      <w:pPr>
        <w:pStyle w:val="242"/>
        <w:ind w:firstLine="420" w:firstLineChars="200"/>
      </w:pPr>
      <w:bookmarkStart w:id="67" w:name="_Toc531952372"/>
      <w:r>
        <w:rPr>
          <w:rFonts w:hint="eastAsia"/>
        </w:rPr>
        <w:t>检查数量：全数检查。</w:t>
      </w:r>
    </w:p>
    <w:p>
      <w:pPr>
        <w:pStyle w:val="242"/>
        <w:ind w:firstLine="420" w:firstLineChars="200"/>
        <w:rPr>
          <w:rFonts w:hint="eastAsia"/>
        </w:rPr>
      </w:pPr>
      <w:r>
        <w:rPr>
          <w:rFonts w:hint="eastAsia"/>
        </w:rPr>
        <w:t>检验方法：观察。</w:t>
      </w:r>
      <w:bookmarkEnd w:id="67"/>
    </w:p>
    <w:p>
      <w:pPr>
        <w:pStyle w:val="167"/>
      </w:pPr>
      <w:r>
        <w:rPr>
          <w:rFonts w:hint="eastAsia" w:ascii="宋体" w:hAnsi="宋体" w:eastAsia="宋体"/>
        </w:rPr>
        <w:t>预应力筋用锚具、夹具和连接器进场时，应进行外观检查，其表面应无污物、锈蚀、机械损伤和裂纹</w:t>
      </w:r>
      <w:r>
        <w:rPr>
          <w:rFonts w:hint="eastAsia" w:hAnsi="宋体"/>
          <w:lang w:eastAsia="zh-CN"/>
        </w:rPr>
        <w:t>。</w:t>
      </w:r>
    </w:p>
    <w:p>
      <w:pPr>
        <w:pStyle w:val="242"/>
        <w:ind w:firstLine="420" w:firstLineChars="200"/>
      </w:pPr>
      <w:r>
        <w:rPr>
          <w:rFonts w:hint="eastAsia"/>
        </w:rPr>
        <w:t>检查数量：全数检查。</w:t>
      </w:r>
    </w:p>
    <w:p>
      <w:pPr>
        <w:pStyle w:val="242"/>
        <w:ind w:firstLine="420" w:firstLineChars="200"/>
      </w:pPr>
      <w:r>
        <w:rPr>
          <w:rFonts w:hint="eastAsia"/>
        </w:rPr>
        <w:t>检验方法：观察。</w:t>
      </w:r>
    </w:p>
    <w:p>
      <w:pPr>
        <w:pStyle w:val="107"/>
        <w:spacing w:before="156" w:after="156"/>
      </w:pPr>
      <w:r>
        <w:rPr>
          <w:rFonts w:hint="eastAsia"/>
          <w:lang w:val="en-US" w:eastAsia="zh-CN"/>
        </w:rPr>
        <w:t>连接材料</w:t>
      </w:r>
    </w:p>
    <w:p>
      <w:pPr>
        <w:pStyle w:val="167"/>
      </w:pPr>
      <w:r>
        <w:rPr>
          <w:rFonts w:hint="eastAsia" w:ascii="宋体" w:hAnsi="宋体" w:eastAsia="宋体"/>
        </w:rPr>
        <w:t>灌浆套筒进厂(场)时，应抽取灌浆套筒并采用与之匹配的灌浆料制作对中连接接头试件，并进行抗拉强度检验</w:t>
      </w:r>
      <w:r>
        <w:rPr>
          <w:rFonts w:hint="eastAsia" w:hAnsi="宋体"/>
          <w:lang w:eastAsia="zh-CN"/>
        </w:rPr>
        <w:t>。</w:t>
      </w:r>
    </w:p>
    <w:p>
      <w:pPr>
        <w:pStyle w:val="242"/>
        <w:ind w:firstLine="420" w:firstLineChars="200"/>
      </w:pPr>
      <w:bookmarkStart w:id="68" w:name="_Toc531952375"/>
      <w:r>
        <w:rPr>
          <w:rFonts w:hint="eastAsia"/>
        </w:rPr>
        <w:t>检查数量：同一批号、同一类型、同一规格的灌浆套筒，不超过1000个为一批，每批随机抽取3个灌浆套筒制作对中连接接头试件。</w:t>
      </w:r>
    </w:p>
    <w:p>
      <w:pPr>
        <w:pStyle w:val="167"/>
        <w:numPr>
          <w:ilvl w:val="3"/>
          <w:numId w:val="0"/>
        </w:numPr>
        <w:ind w:leftChars="0" w:firstLine="420" w:firstLineChars="200"/>
        <w:rPr>
          <w:rFonts w:hint="eastAsia" w:eastAsia="宋体"/>
          <w:lang w:eastAsia="zh-CN"/>
        </w:rPr>
      </w:pPr>
      <w:r>
        <w:rPr>
          <w:rFonts w:hint="eastAsia"/>
        </w:rPr>
        <w:t>检验方法：</w:t>
      </w:r>
      <w:bookmarkEnd w:id="68"/>
      <w:r>
        <w:rPr>
          <w:rFonts w:hint="eastAsia"/>
        </w:rPr>
        <w:t>检查质量证明文件和抽样检验报告</w:t>
      </w:r>
      <w:r>
        <w:rPr>
          <w:rFonts w:hint="eastAsia"/>
          <w:lang w:eastAsia="zh-CN"/>
        </w:rPr>
        <w:t>。</w:t>
      </w:r>
    </w:p>
    <w:p>
      <w:pPr>
        <w:pStyle w:val="167"/>
      </w:pPr>
      <w:r>
        <w:rPr>
          <w:rFonts w:hint="eastAsia" w:ascii="宋体" w:hAnsi="宋体" w:eastAsia="宋体"/>
        </w:rPr>
        <w:t>接头锚固用灌浆料性能应符合《钢筋连接用套筒灌浆料》JG/T 408等标准的要求，应对其抗压强度、流动度、竖向膨胀率及泌水率进行检验</w:t>
      </w:r>
      <w:r>
        <w:rPr>
          <w:rFonts w:hint="eastAsia" w:hAnsi="宋体"/>
          <w:lang w:eastAsia="zh-CN"/>
        </w:rPr>
        <w:t>。</w:t>
      </w:r>
    </w:p>
    <w:p>
      <w:pPr>
        <w:pStyle w:val="242"/>
        <w:ind w:firstLine="420" w:firstLineChars="200"/>
      </w:pPr>
      <w:r>
        <w:rPr>
          <w:rFonts w:hint="eastAsia"/>
        </w:rPr>
        <w:t>检查数量：每5</w:t>
      </w:r>
      <w:r>
        <w:rPr>
          <w:rFonts w:hint="eastAsia"/>
          <w:lang w:val="en-US" w:eastAsia="zh-CN"/>
        </w:rPr>
        <w:t>0</w:t>
      </w:r>
      <w:r>
        <w:rPr>
          <w:rFonts w:hint="eastAsia"/>
        </w:rPr>
        <w:t>t为一个检验批。</w:t>
      </w:r>
    </w:p>
    <w:p>
      <w:pPr>
        <w:pStyle w:val="167"/>
        <w:numPr>
          <w:ilvl w:val="3"/>
          <w:numId w:val="0"/>
        </w:numPr>
        <w:ind w:leftChars="0" w:firstLine="420" w:firstLineChars="200"/>
        <w:rPr>
          <w:rFonts w:hint="eastAsia"/>
          <w:lang w:eastAsia="zh-CN"/>
        </w:rPr>
      </w:pPr>
      <w:r>
        <w:rPr>
          <w:rFonts w:hint="eastAsia"/>
        </w:rPr>
        <w:t>检验方法：检查材料合格证书和复检报告</w:t>
      </w:r>
      <w:r>
        <w:rPr>
          <w:rFonts w:hint="eastAsia"/>
          <w:lang w:eastAsia="zh-CN"/>
        </w:rPr>
        <w:t>。</w:t>
      </w:r>
    </w:p>
    <w:p>
      <w:pPr>
        <w:pStyle w:val="233"/>
        <w:jc w:val="center"/>
        <w:rPr>
          <w:rFonts w:ascii="Times New Roman" w:eastAsia="黑体"/>
          <w:szCs w:val="21"/>
          <w:lang w:val="en-US" w:eastAsia="zh-CN"/>
        </w:rPr>
      </w:pPr>
      <w:r>
        <w:rPr>
          <w:rFonts w:hint="eastAsia" w:ascii="Times New Roman" w:eastAsia="黑体"/>
          <w:szCs w:val="21"/>
          <w:lang w:val="en-US" w:eastAsia="zh-CN"/>
        </w:rPr>
        <w:t>一般项目</w:t>
      </w:r>
    </w:p>
    <w:p>
      <w:pPr>
        <w:pStyle w:val="167"/>
      </w:pPr>
      <w:r>
        <w:rPr>
          <w:rFonts w:hint="eastAsia" w:ascii="宋体" w:hAnsi="宋体" w:eastAsia="宋体"/>
        </w:rPr>
        <w:t>金属波纹管外观应清洁，内外表面无油污，无引起锈蚀的附着物，无孔洞和不规则的折皱；同时应检验其几何尺寸，集中荷载下的径向刚度、抗弯曲渗漏等指标</w:t>
      </w:r>
      <w:r>
        <w:rPr>
          <w:rFonts w:hint="eastAsia" w:hAnsi="宋体"/>
          <w:lang w:eastAsia="zh-CN"/>
        </w:rPr>
        <w:t>。</w:t>
      </w:r>
    </w:p>
    <w:p>
      <w:pPr>
        <w:pStyle w:val="242"/>
        <w:ind w:firstLine="420" w:firstLineChars="200"/>
      </w:pPr>
      <w:r>
        <w:rPr>
          <w:rFonts w:hint="eastAsia"/>
        </w:rPr>
        <w:t>检查数量：按批检查。</w:t>
      </w:r>
    </w:p>
    <w:p>
      <w:pPr>
        <w:pStyle w:val="167"/>
        <w:numPr>
          <w:ilvl w:val="3"/>
          <w:numId w:val="0"/>
        </w:numPr>
        <w:ind w:leftChars="0" w:firstLine="420" w:firstLineChars="200"/>
        <w:rPr>
          <w:rFonts w:hint="eastAsia" w:eastAsia="宋体"/>
          <w:lang w:eastAsia="zh-CN"/>
        </w:rPr>
      </w:pPr>
      <w:r>
        <w:rPr>
          <w:rFonts w:hint="eastAsia"/>
        </w:rPr>
        <w:t>检验方法：检查出厂合格证书和质量保证书和抽样检验报告</w:t>
      </w:r>
      <w:r>
        <w:rPr>
          <w:rFonts w:hint="eastAsia"/>
          <w:lang w:eastAsia="zh-CN"/>
        </w:rPr>
        <w:t>。</w:t>
      </w:r>
    </w:p>
    <w:p>
      <w:pPr>
        <w:pStyle w:val="167"/>
      </w:pPr>
      <w:r>
        <w:rPr>
          <w:rFonts w:hint="eastAsia" w:ascii="宋体" w:hAnsi="宋体" w:eastAsia="宋体"/>
        </w:rPr>
        <w:t>钢筋机械连接套筒和灌浆套筒的外观质量应符合国家相关标准规定</w:t>
      </w:r>
      <w:r>
        <w:rPr>
          <w:rFonts w:hint="eastAsia" w:hAnsi="宋体"/>
          <w:lang w:eastAsia="zh-CN"/>
        </w:rPr>
        <w:t>。</w:t>
      </w:r>
    </w:p>
    <w:p>
      <w:pPr>
        <w:pStyle w:val="242"/>
        <w:ind w:firstLine="420" w:firstLineChars="200"/>
      </w:pPr>
      <w:r>
        <w:rPr>
          <w:rFonts w:hint="eastAsia"/>
        </w:rPr>
        <w:t>检查数量：按国家相关标准规定确定。</w:t>
      </w:r>
    </w:p>
    <w:p>
      <w:pPr>
        <w:pStyle w:val="167"/>
        <w:numPr>
          <w:ilvl w:val="3"/>
          <w:numId w:val="0"/>
        </w:numPr>
        <w:ind w:leftChars="0" w:firstLine="420" w:firstLineChars="200"/>
        <w:rPr>
          <w:rFonts w:hint="eastAsia" w:eastAsia="宋体"/>
          <w:lang w:eastAsia="zh-CN"/>
        </w:rPr>
      </w:pPr>
      <w:r>
        <w:rPr>
          <w:rFonts w:hint="eastAsia"/>
        </w:rPr>
        <w:t>检验方法：观察，尺量</w:t>
      </w:r>
      <w:r>
        <w:rPr>
          <w:rFonts w:hint="eastAsia"/>
          <w:lang w:eastAsia="zh-CN"/>
        </w:rPr>
        <w:t>。</w:t>
      </w:r>
    </w:p>
    <w:p>
      <w:pPr>
        <w:pStyle w:val="167"/>
      </w:pPr>
      <w:r>
        <w:rPr>
          <w:rFonts w:hint="eastAsia" w:ascii="宋体" w:hAnsi="宋体" w:eastAsia="宋体"/>
        </w:rPr>
        <w:t>连接用焊接材料、螺栓、锚栓和铆钉等紧固件的材料应符合《钢结构设计标准》GB 50017、《钢结构焊接规范》GB 50661和《钢筋焊接及验收规程》JGJ 18等的规定</w:t>
      </w:r>
      <w:r>
        <w:rPr>
          <w:rFonts w:hint="eastAsia" w:hAnsi="宋体"/>
          <w:lang w:eastAsia="zh-CN"/>
        </w:rPr>
        <w:t>。</w:t>
      </w:r>
    </w:p>
    <w:p>
      <w:pPr>
        <w:pStyle w:val="242"/>
        <w:ind w:firstLine="420" w:firstLineChars="200"/>
      </w:pPr>
      <w:r>
        <w:rPr>
          <w:rFonts w:hint="eastAsia"/>
        </w:rPr>
        <w:t>检查数量：按批检查。</w:t>
      </w:r>
    </w:p>
    <w:p>
      <w:pPr>
        <w:pStyle w:val="242"/>
        <w:ind w:firstLine="420" w:firstLineChars="200"/>
      </w:pPr>
      <w:r>
        <w:rPr>
          <w:rFonts w:hint="eastAsia"/>
        </w:rPr>
        <w:t>检验方法：检查材料合格证书。</w:t>
      </w:r>
    </w:p>
    <w:p>
      <w:pPr>
        <w:pStyle w:val="107"/>
        <w:spacing w:before="156" w:after="156"/>
      </w:pPr>
      <w:r>
        <w:rPr>
          <w:rFonts w:hint="eastAsia"/>
          <w:lang w:val="en-US" w:eastAsia="zh-CN"/>
        </w:rPr>
        <w:t>预埋件材料</w:t>
      </w:r>
    </w:p>
    <w:p>
      <w:pPr>
        <w:pStyle w:val="167"/>
      </w:pPr>
      <w:r>
        <w:rPr>
          <w:rFonts w:hint="eastAsia" w:ascii="宋体" w:hAnsi="宋体" w:eastAsia="宋体"/>
        </w:rPr>
        <w:t>吊装、连接或安装用的吊钉或螺母式预埋件及其他外露的吊装件，应按设计要求的混凝土强度和构造措施对其抗拔力进行检验，试验方法参照DB32/T 3754，检验结果应符合设计要求</w:t>
      </w:r>
      <w:r>
        <w:rPr>
          <w:rFonts w:hint="eastAsia" w:hAnsi="宋体"/>
          <w:lang w:eastAsia="zh-CN"/>
        </w:rPr>
        <w:t>。</w:t>
      </w:r>
    </w:p>
    <w:p>
      <w:pPr>
        <w:pStyle w:val="242"/>
        <w:ind w:firstLine="420" w:firstLineChars="200"/>
      </w:pPr>
      <w:r>
        <w:rPr>
          <w:rFonts w:hint="eastAsia"/>
        </w:rPr>
        <w:t>检查数量：按进场批次和产品的抽样检验方案确定。</w:t>
      </w:r>
    </w:p>
    <w:p>
      <w:pPr>
        <w:pStyle w:val="167"/>
        <w:numPr>
          <w:ilvl w:val="3"/>
          <w:numId w:val="0"/>
        </w:numPr>
        <w:ind w:leftChars="0" w:firstLine="420" w:firstLineChars="200"/>
      </w:pPr>
      <w:r>
        <w:rPr>
          <w:rFonts w:hint="eastAsia"/>
        </w:rPr>
        <w:t>检验方法</w:t>
      </w:r>
      <w:r>
        <w:rPr>
          <w:rFonts w:hint="eastAsia" w:eastAsia="宋体" w:cs="Times New Roman"/>
        </w:rPr>
        <w:t>：检查材料合格证书及抽样检验报告</w:t>
      </w:r>
    </w:p>
    <w:p>
      <w:pPr>
        <w:pStyle w:val="167"/>
      </w:pPr>
      <w:r>
        <w:rPr>
          <w:rFonts w:hint="eastAsia" w:ascii="宋体" w:hAnsi="宋体" w:eastAsia="宋体"/>
        </w:rPr>
        <w:t>预</w:t>
      </w:r>
      <w:r>
        <w:rPr>
          <w:rFonts w:hint="eastAsia" w:ascii="宋体" w:hAnsi="宋体" w:eastAsia="宋体" w:cs="Times New Roman"/>
        </w:rPr>
        <w:t>埋件及管线的材料、品种、规格、型号应符合国家相关标准规定和设计要求</w:t>
      </w:r>
      <w:r>
        <w:rPr>
          <w:rFonts w:hint="eastAsia" w:hAnsi="宋体" w:cs="Times New Roman"/>
          <w:lang w:eastAsia="zh-CN"/>
        </w:rPr>
        <w:t>。</w:t>
      </w:r>
    </w:p>
    <w:p>
      <w:pPr>
        <w:pStyle w:val="242"/>
        <w:ind w:firstLine="420" w:firstLineChars="200"/>
      </w:pPr>
      <w:r>
        <w:rPr>
          <w:rFonts w:hint="eastAsia"/>
        </w:rPr>
        <w:t>检查数量：按批检查。</w:t>
      </w:r>
    </w:p>
    <w:p>
      <w:pPr>
        <w:pStyle w:val="242"/>
        <w:ind w:firstLine="420" w:firstLineChars="200"/>
      </w:pPr>
      <w:r>
        <w:rPr>
          <w:rFonts w:hint="eastAsia"/>
        </w:rPr>
        <w:t>检验方法：检查材料合格证书。</w:t>
      </w:r>
    </w:p>
    <w:p>
      <w:pPr>
        <w:pStyle w:val="167"/>
      </w:pPr>
      <w:r>
        <w:rPr>
          <w:rFonts w:hint="eastAsia" w:ascii="宋体" w:hAnsi="宋体" w:eastAsia="宋体"/>
        </w:rPr>
        <w:t>夹心墙板中的金属拉结件性能应符合设计及相关标准的要求； 纤维增强塑料（FRP）拉结件应按设计要求的混凝土强度和构造措施对其抗拔承载力进行试验</w:t>
      </w:r>
      <w:r>
        <w:rPr>
          <w:rFonts w:hint="eastAsia" w:hAnsi="宋体"/>
          <w:lang w:eastAsia="zh-CN"/>
        </w:rPr>
        <w:t>。</w:t>
      </w:r>
    </w:p>
    <w:p>
      <w:pPr>
        <w:pStyle w:val="242"/>
        <w:ind w:firstLine="420" w:firstLineChars="200"/>
      </w:pPr>
      <w:r>
        <w:rPr>
          <w:rFonts w:hint="eastAsia"/>
        </w:rPr>
        <w:t>检查数量：按进场批次和产品的抽样检验方案确定。</w:t>
      </w:r>
    </w:p>
    <w:p>
      <w:pPr>
        <w:pStyle w:val="242"/>
        <w:ind w:firstLine="420" w:firstLineChars="200"/>
        <w:rPr>
          <w:rFonts w:hint="eastAsia"/>
        </w:rPr>
      </w:pPr>
      <w:r>
        <w:rPr>
          <w:rFonts w:hint="eastAsia"/>
        </w:rPr>
        <w:t>检验方法：检查材料合格证书及抽样检验报告。</w:t>
      </w:r>
    </w:p>
    <w:p>
      <w:pPr>
        <w:pStyle w:val="233"/>
        <w:jc w:val="center"/>
        <w:rPr>
          <w:rFonts w:hint="eastAsia" w:ascii="Times New Roman" w:eastAsia="黑体"/>
          <w:szCs w:val="21"/>
          <w:lang w:val="en-US" w:eastAsia="zh-CN"/>
        </w:rPr>
      </w:pPr>
      <w:r>
        <w:rPr>
          <w:rFonts w:hint="eastAsia" w:ascii="Times New Roman" w:eastAsia="黑体"/>
          <w:szCs w:val="21"/>
          <w:lang w:val="en-US" w:eastAsia="zh-CN"/>
        </w:rPr>
        <w:t>一般项目</w:t>
      </w:r>
    </w:p>
    <w:p>
      <w:pPr>
        <w:pStyle w:val="167"/>
      </w:pPr>
      <w:r>
        <w:rPr>
          <w:rFonts w:hint="eastAsia" w:ascii="宋体" w:hAnsi="宋体" w:eastAsia="宋体"/>
        </w:rPr>
        <w:t>预埋件进场时，应对其外观质量进行检查。其外观质量应符合下列规定</w:t>
      </w:r>
      <w:r>
        <w:rPr>
          <w:rFonts w:hint="eastAsia" w:hAnsi="宋体"/>
          <w:lang w:eastAsia="zh-CN"/>
        </w:rPr>
        <w:t>：</w:t>
      </w:r>
    </w:p>
    <w:p>
      <w:pPr>
        <w:pStyle w:val="176"/>
        <w:numPr>
          <w:ilvl w:val="0"/>
          <w:numId w:val="35"/>
        </w:numPr>
      </w:pPr>
      <w:r>
        <w:rPr>
          <w:rFonts w:hint="eastAsia"/>
        </w:rPr>
        <w:t>外表应光滑、清洁，无明显压痕和锈蚀，无裂纹和污物；有镀层或涂层时，镀层或涂层应均匀、一致；</w:t>
      </w:r>
    </w:p>
    <w:p>
      <w:pPr>
        <w:pStyle w:val="176"/>
        <w:numPr>
          <w:ilvl w:val="0"/>
          <w:numId w:val="35"/>
        </w:numPr>
      </w:pPr>
      <w:r>
        <w:rPr>
          <w:rFonts w:hint="eastAsia"/>
        </w:rPr>
        <w:t>表面应有明显标识</w:t>
      </w:r>
      <w:r>
        <w:rPr>
          <w:rFonts w:hint="eastAsia"/>
          <w:lang w:eastAsia="zh-CN"/>
        </w:rPr>
        <w:t>。</w:t>
      </w:r>
    </w:p>
    <w:p>
      <w:pPr>
        <w:pStyle w:val="242"/>
        <w:ind w:firstLine="420" w:firstLineChars="200"/>
      </w:pPr>
      <w:r>
        <w:rPr>
          <w:rFonts w:hint="eastAsia"/>
        </w:rPr>
        <w:t>检查数量：全数检查。</w:t>
      </w:r>
    </w:p>
    <w:p>
      <w:pPr>
        <w:pStyle w:val="176"/>
        <w:numPr>
          <w:ilvl w:val="0"/>
          <w:numId w:val="0"/>
        </w:numPr>
        <w:ind w:left="425" w:leftChars="0"/>
        <w:rPr>
          <w:rFonts w:hint="eastAsia" w:eastAsia="宋体"/>
          <w:lang w:eastAsia="zh-CN"/>
        </w:rPr>
      </w:pPr>
      <w:r>
        <w:rPr>
          <w:rFonts w:hint="eastAsia"/>
        </w:rPr>
        <w:t>检验方法：观察</w:t>
      </w:r>
      <w:r>
        <w:rPr>
          <w:rFonts w:hint="eastAsia"/>
          <w:lang w:eastAsia="zh-CN"/>
        </w:rPr>
        <w:t>。</w:t>
      </w:r>
    </w:p>
    <w:p>
      <w:pPr>
        <w:pStyle w:val="167"/>
      </w:pPr>
      <w:r>
        <w:rPr>
          <w:rFonts w:hint="eastAsia" w:ascii="宋体" w:hAnsi="宋体" w:eastAsia="宋体"/>
        </w:rPr>
        <w:t>预埋件的外型尺寸偏差应符合设计或相关产品标准的规定</w:t>
      </w:r>
      <w:r>
        <w:rPr>
          <w:rFonts w:hint="eastAsia" w:hAnsi="宋体"/>
          <w:lang w:eastAsia="zh-CN"/>
        </w:rPr>
        <w:t>。</w:t>
      </w:r>
    </w:p>
    <w:p>
      <w:pPr>
        <w:pStyle w:val="242"/>
        <w:ind w:firstLine="420" w:firstLineChars="200"/>
      </w:pPr>
      <w:r>
        <w:rPr>
          <w:rFonts w:hint="eastAsia"/>
        </w:rPr>
        <w:t>检查数量：按进场批次和产品的抽样检验方案确定。</w:t>
      </w:r>
    </w:p>
    <w:p>
      <w:pPr>
        <w:pStyle w:val="242"/>
        <w:ind w:firstLine="420" w:firstLineChars="200"/>
      </w:pPr>
      <w:r>
        <w:rPr>
          <w:rFonts w:hint="eastAsia"/>
        </w:rPr>
        <w:t>检验方法：尺量，检查抽样检测报告。</w:t>
      </w:r>
    </w:p>
    <w:p>
      <w:pPr>
        <w:pStyle w:val="167"/>
      </w:pPr>
      <w:r>
        <w:rPr>
          <w:rFonts w:hint="eastAsia" w:ascii="宋体" w:hAnsi="宋体" w:eastAsia="宋体"/>
        </w:rPr>
        <w:t>预埋件的防腐防锈措施应符合设计和相关标准的规定</w:t>
      </w:r>
      <w:r>
        <w:rPr>
          <w:rFonts w:hint="eastAsia" w:hAnsi="宋体"/>
          <w:lang w:eastAsia="zh-CN"/>
        </w:rPr>
        <w:t>。</w:t>
      </w:r>
    </w:p>
    <w:p>
      <w:pPr>
        <w:pStyle w:val="242"/>
        <w:ind w:firstLine="420" w:firstLineChars="200"/>
      </w:pPr>
      <w:r>
        <w:rPr>
          <w:rFonts w:hint="eastAsia"/>
        </w:rPr>
        <w:t>检查数量：按进场批次和产品的抽样检验方案确定。</w:t>
      </w:r>
    </w:p>
    <w:p>
      <w:pPr>
        <w:pStyle w:val="242"/>
        <w:ind w:firstLine="420" w:firstLineChars="200"/>
      </w:pPr>
      <w:r>
        <w:rPr>
          <w:rFonts w:hint="eastAsia"/>
        </w:rPr>
        <w:t>检验方法：检查抽样检测报告。</w:t>
      </w:r>
    </w:p>
    <w:p>
      <w:pPr>
        <w:pStyle w:val="107"/>
        <w:spacing w:before="156" w:after="156"/>
      </w:pPr>
      <w:r>
        <w:rPr>
          <w:rFonts w:hint="eastAsia"/>
          <w:lang w:val="en-US" w:eastAsia="zh-CN"/>
        </w:rPr>
        <w:t>其他材料</w:t>
      </w:r>
    </w:p>
    <w:p>
      <w:pPr>
        <w:pStyle w:val="233"/>
        <w:jc w:val="center"/>
        <w:rPr>
          <w:rFonts w:hint="eastAsia" w:ascii="Times New Roman" w:eastAsia="黑体"/>
          <w:szCs w:val="21"/>
          <w:lang w:val="en-US" w:eastAsia="zh-CN"/>
        </w:rPr>
      </w:pPr>
      <w:r>
        <w:rPr>
          <w:rFonts w:hint="eastAsia" w:ascii="Times New Roman" w:eastAsia="黑体"/>
          <w:szCs w:val="21"/>
          <w:lang w:val="en-US" w:eastAsia="zh-CN"/>
        </w:rPr>
        <w:t>主控项目</w:t>
      </w:r>
    </w:p>
    <w:p>
      <w:pPr>
        <w:pStyle w:val="167"/>
      </w:pPr>
      <w:r>
        <w:rPr>
          <w:rFonts w:hint="eastAsia" w:ascii="宋体" w:hAnsi="宋体" w:eastAsia="宋体"/>
        </w:rPr>
        <w:t>外装饰材料应符合下列规定</w:t>
      </w:r>
      <w:r>
        <w:rPr>
          <w:rFonts w:hint="eastAsia" w:hAnsi="宋体"/>
          <w:lang w:eastAsia="zh-CN"/>
        </w:rPr>
        <w:t>：</w:t>
      </w:r>
    </w:p>
    <w:p>
      <w:pPr>
        <w:pStyle w:val="176"/>
        <w:numPr>
          <w:ilvl w:val="0"/>
          <w:numId w:val="36"/>
        </w:numPr>
      </w:pPr>
      <w:r>
        <w:rPr>
          <w:rFonts w:hint="eastAsia"/>
        </w:rPr>
        <w:t>石材、面砖和软瓷砖等外装饰材料质量应满足相关标准和设计要求；</w:t>
      </w:r>
    </w:p>
    <w:p>
      <w:pPr>
        <w:pStyle w:val="176"/>
        <w:numPr>
          <w:ilvl w:val="0"/>
          <w:numId w:val="36"/>
        </w:numPr>
      </w:pPr>
      <w:r>
        <w:rPr>
          <w:rFonts w:hint="eastAsia"/>
        </w:rPr>
        <w:t>当采用面砖饰面时，宜选用背面带燕尾槽的面砖，燕尾槽尺寸应符合国家相关标准的规定和设计要求</w:t>
      </w:r>
      <w:r>
        <w:rPr>
          <w:rFonts w:hint="eastAsia"/>
          <w:lang w:eastAsia="zh-CN"/>
        </w:rPr>
        <w:t>。</w:t>
      </w:r>
    </w:p>
    <w:p>
      <w:pPr>
        <w:pStyle w:val="242"/>
        <w:ind w:firstLine="420" w:firstLineChars="200"/>
      </w:pPr>
      <w:r>
        <w:rPr>
          <w:rFonts w:hint="eastAsia"/>
        </w:rPr>
        <w:t>检查数量：按批检查。</w:t>
      </w:r>
    </w:p>
    <w:p>
      <w:pPr>
        <w:pStyle w:val="242"/>
        <w:ind w:firstLine="420" w:firstLineChars="200"/>
      </w:pPr>
      <w:r>
        <w:rPr>
          <w:rFonts w:hint="eastAsia"/>
        </w:rPr>
        <w:t>检验方法：检查材料合格证书。</w:t>
      </w:r>
    </w:p>
    <w:p>
      <w:pPr>
        <w:pStyle w:val="167"/>
      </w:pPr>
      <w:r>
        <w:rPr>
          <w:rFonts w:hint="eastAsia" w:ascii="宋体" w:hAnsi="宋体" w:eastAsia="宋体"/>
        </w:rPr>
        <w:t>保</w:t>
      </w:r>
      <w:r>
        <w:rPr>
          <w:rFonts w:hint="eastAsia" w:ascii="宋体" w:hAnsi="宋体" w:eastAsia="宋体" w:cs="Times New Roman"/>
          <w:color w:val="000000"/>
          <w:kern w:val="2"/>
          <w:sz w:val="21"/>
          <w:szCs w:val="21"/>
          <w:lang w:val="en-US" w:eastAsia="zh-CN" w:bidi="ar-SA"/>
        </w:rPr>
        <w:t>温材料选用应满足设计文件、建筑节能及生产工艺的要求。应按批抽取试样进行导热系数、密度、压缩强度、吸水率和燃烧性能试验，试验结果应符合设计要求</w:t>
      </w:r>
      <w:r>
        <w:rPr>
          <w:rFonts w:hint="eastAsia" w:hAnsi="宋体" w:cs="Times New Roman"/>
          <w:color w:val="000000"/>
          <w:kern w:val="2"/>
          <w:sz w:val="21"/>
          <w:szCs w:val="21"/>
          <w:lang w:val="en-US" w:eastAsia="zh-CN" w:bidi="ar-SA"/>
        </w:rPr>
        <w:t>。</w:t>
      </w:r>
    </w:p>
    <w:p>
      <w:pPr>
        <w:pStyle w:val="242"/>
        <w:ind w:firstLine="420" w:firstLineChars="200"/>
      </w:pPr>
      <w:r>
        <w:rPr>
          <w:rFonts w:hint="eastAsia"/>
        </w:rPr>
        <w:t>检查数量：同一厂家、同一品种且同一规格不超过</w:t>
      </w:r>
      <w:r>
        <w:t>5000m</w:t>
      </w:r>
      <w:r>
        <w:rPr>
          <w:vertAlign w:val="superscript"/>
        </w:rPr>
        <w:t>2</w:t>
      </w:r>
      <w:r>
        <w:rPr>
          <w:rFonts w:hint="eastAsia"/>
        </w:rPr>
        <w:t>为一批。</w:t>
      </w:r>
    </w:p>
    <w:p>
      <w:pPr>
        <w:pStyle w:val="242"/>
        <w:ind w:firstLine="420" w:firstLineChars="200"/>
      </w:pPr>
      <w:r>
        <w:rPr>
          <w:rFonts w:hint="eastAsia"/>
        </w:rPr>
        <w:t>检验方法：检查质量证明文件和抽样检验报告。</w:t>
      </w:r>
    </w:p>
    <w:p>
      <w:pPr>
        <w:pStyle w:val="167"/>
      </w:pPr>
      <w:r>
        <w:rPr>
          <w:rFonts w:hint="eastAsia" w:ascii="宋体" w:hAnsi="宋体" w:eastAsia="宋体"/>
        </w:rPr>
        <w:t>金属门窗的品种、类型、规格、尺寸、性能、开启方向、连接方式及铝合金门窗的型材壁厚应符合设计要求。金属门窗的防腐处理及填嵌、密封处理应符合设计要求</w:t>
      </w:r>
      <w:r>
        <w:rPr>
          <w:rFonts w:hint="eastAsia" w:hAnsi="宋体"/>
          <w:lang w:eastAsia="zh-CN"/>
        </w:rPr>
        <w:t>。</w:t>
      </w:r>
    </w:p>
    <w:p>
      <w:pPr>
        <w:pStyle w:val="242"/>
        <w:ind w:firstLine="420" w:firstLineChars="200"/>
      </w:pPr>
      <w:r>
        <w:rPr>
          <w:rFonts w:hint="eastAsia"/>
        </w:rPr>
        <w:t>检查数量：同一厂家、同一品种且同一规格不超过1000件为一批。</w:t>
      </w:r>
    </w:p>
    <w:p>
      <w:pPr>
        <w:pStyle w:val="242"/>
        <w:ind w:firstLine="420" w:firstLineChars="200"/>
      </w:pPr>
      <w:r>
        <w:rPr>
          <w:rFonts w:hint="eastAsia"/>
        </w:rPr>
        <w:t>检验方法：检查产品合格证书、性能检测报告、观察。</w:t>
      </w:r>
    </w:p>
    <w:bookmarkEnd w:id="62"/>
    <w:p>
      <w:pPr>
        <w:pStyle w:val="106"/>
        <w:spacing w:before="312" w:after="312"/>
      </w:pPr>
      <w:bookmarkStart w:id="69" w:name="_Toc71273113"/>
      <w:r>
        <w:rPr>
          <w:rFonts w:hint="eastAsia"/>
          <w:lang w:val="en-US" w:eastAsia="zh-CN"/>
        </w:rPr>
        <w:t>生</w:t>
      </w:r>
      <w:r>
        <w:rPr>
          <w:rFonts w:hint="eastAsia"/>
        </w:rPr>
        <w:t>产过程质量</w:t>
      </w:r>
      <w:r>
        <w:rPr>
          <w:rFonts w:hint="eastAsia"/>
          <w:lang w:val="en-US" w:eastAsia="zh-CN"/>
        </w:rPr>
        <w:t>检验</w:t>
      </w:r>
    </w:p>
    <w:p>
      <w:pPr>
        <w:pStyle w:val="107"/>
        <w:spacing w:before="156" w:after="156"/>
      </w:pPr>
      <w:r>
        <w:rPr>
          <w:rFonts w:hint="eastAsia"/>
          <w:lang w:val="en-US" w:eastAsia="zh-CN"/>
        </w:rPr>
        <w:t>一般规定</w:t>
      </w:r>
    </w:p>
    <w:p>
      <w:pPr>
        <w:pStyle w:val="167"/>
      </w:pPr>
      <w:r>
        <w:rPr>
          <w:rFonts w:hint="eastAsia" w:ascii="宋体" w:hAnsi="宋体" w:eastAsia="宋体"/>
        </w:rPr>
        <w:t>在预制构件生产前应对各工序进行技术交底，上道工序未经检查验收合格，不得进行下道工序</w:t>
      </w:r>
      <w:r>
        <w:rPr>
          <w:rFonts w:hint="eastAsia" w:hAnsi="宋体"/>
          <w:lang w:eastAsia="zh-CN"/>
        </w:rPr>
        <w:t>。</w:t>
      </w:r>
    </w:p>
    <w:p>
      <w:pPr>
        <w:pStyle w:val="167"/>
      </w:pPr>
      <w:r>
        <w:rPr>
          <w:rFonts w:hint="eastAsia" w:ascii="宋体" w:hAnsi="宋体" w:eastAsia="宋体"/>
        </w:rPr>
        <w:t>模具应具有足够承载力、刚度和稳定性；应支、拆方便，且便于钢筋制作安装和混凝土浇筑养护</w:t>
      </w:r>
      <w:r>
        <w:rPr>
          <w:rFonts w:hint="eastAsia" w:hAnsi="宋体"/>
          <w:lang w:eastAsia="zh-CN"/>
        </w:rPr>
        <w:t>。</w:t>
      </w:r>
    </w:p>
    <w:p>
      <w:pPr>
        <w:pStyle w:val="167"/>
      </w:pPr>
      <w:r>
        <w:rPr>
          <w:rFonts w:hint="eastAsia" w:ascii="宋体" w:hAnsi="宋体" w:eastAsia="宋体"/>
          <w:lang w:val="en-US" w:eastAsia="zh-CN"/>
        </w:rPr>
        <w:t>浇</w:t>
      </w:r>
      <w:r>
        <w:rPr>
          <w:rFonts w:hint="eastAsia" w:ascii="宋体" w:hAnsi="宋体" w:eastAsia="宋体"/>
        </w:rPr>
        <w:t>筑混凝土前应进行构件隐蔽工程质量检查，其内容</w:t>
      </w:r>
      <w:r>
        <w:rPr>
          <w:rFonts w:hint="eastAsia" w:hAnsi="宋体"/>
          <w:lang w:val="en-US" w:eastAsia="zh-CN"/>
        </w:rPr>
        <w:t>包括：</w:t>
      </w:r>
    </w:p>
    <w:p>
      <w:pPr>
        <w:pStyle w:val="176"/>
        <w:numPr>
          <w:ilvl w:val="0"/>
          <w:numId w:val="37"/>
        </w:numPr>
      </w:pPr>
      <w:r>
        <w:rPr>
          <w:rFonts w:hint="eastAsia"/>
        </w:rPr>
        <w:t>钢筋的牌号、规格、数量、位置、间距，箍筋弯钩的弯折角度及平直段长度；</w:t>
      </w:r>
    </w:p>
    <w:p>
      <w:pPr>
        <w:pStyle w:val="176"/>
        <w:numPr>
          <w:ilvl w:val="0"/>
          <w:numId w:val="37"/>
        </w:numPr>
      </w:pPr>
      <w:r>
        <w:rPr>
          <w:rFonts w:hint="eastAsia"/>
        </w:rPr>
        <w:t>钢筋的连接方式、接头位置、接头数量、接头面积百分率、搭接长度、锚固方式、锚固长度</w:t>
      </w:r>
      <w:r>
        <w:rPr>
          <w:rFonts w:hint="eastAsia"/>
          <w:lang w:eastAsia="zh-CN"/>
        </w:rPr>
        <w:t>；</w:t>
      </w:r>
    </w:p>
    <w:p>
      <w:pPr>
        <w:pStyle w:val="176"/>
        <w:numPr>
          <w:ilvl w:val="0"/>
          <w:numId w:val="37"/>
        </w:numPr>
      </w:pPr>
      <w:r>
        <w:rPr>
          <w:rFonts w:hint="eastAsia"/>
        </w:rPr>
        <w:t>预埋件、吊环、插筋的规格、数量、位置等</w:t>
      </w:r>
      <w:r>
        <w:rPr>
          <w:rFonts w:hint="eastAsia"/>
          <w:lang w:eastAsia="zh-CN"/>
        </w:rPr>
        <w:t>；</w:t>
      </w:r>
    </w:p>
    <w:p>
      <w:pPr>
        <w:pStyle w:val="176"/>
        <w:numPr>
          <w:ilvl w:val="0"/>
          <w:numId w:val="37"/>
        </w:numPr>
      </w:pPr>
      <w:r>
        <w:rPr>
          <w:rFonts w:hint="eastAsia"/>
        </w:rPr>
        <w:t>灌浆套筒、预留孔洞的规格、数量、位置等</w:t>
      </w:r>
    </w:p>
    <w:p>
      <w:pPr>
        <w:pStyle w:val="176"/>
        <w:numPr>
          <w:ilvl w:val="0"/>
          <w:numId w:val="37"/>
        </w:numPr>
      </w:pPr>
      <w:r>
        <w:rPr>
          <w:rFonts w:hint="eastAsia"/>
        </w:rPr>
        <w:t>钢筋的混凝土保护层厚度</w:t>
      </w:r>
      <w:r>
        <w:rPr>
          <w:rFonts w:hint="eastAsia"/>
          <w:lang w:eastAsia="zh-CN"/>
        </w:rPr>
        <w:t>；</w:t>
      </w:r>
    </w:p>
    <w:p>
      <w:pPr>
        <w:pStyle w:val="176"/>
        <w:numPr>
          <w:ilvl w:val="0"/>
          <w:numId w:val="37"/>
        </w:numPr>
      </w:pPr>
      <w:r>
        <w:rPr>
          <w:rFonts w:hint="eastAsia"/>
        </w:rPr>
        <w:t>夹心外墙板的保温层位置、厚度、拉结件的规格、数量、位置等</w:t>
      </w:r>
      <w:r>
        <w:rPr>
          <w:rFonts w:hint="eastAsia"/>
          <w:lang w:eastAsia="zh-CN"/>
        </w:rPr>
        <w:t>；</w:t>
      </w:r>
    </w:p>
    <w:p>
      <w:pPr>
        <w:pStyle w:val="176"/>
        <w:numPr>
          <w:ilvl w:val="0"/>
          <w:numId w:val="37"/>
        </w:numPr>
      </w:pPr>
      <w:r>
        <w:rPr>
          <w:rFonts w:hint="eastAsia"/>
        </w:rPr>
        <w:t>预埋管线、线盒的规格、数量、位置、固定保护措施</w:t>
      </w:r>
      <w:r>
        <w:rPr>
          <w:rFonts w:hint="eastAsia"/>
          <w:lang w:eastAsia="zh-CN"/>
        </w:rPr>
        <w:t>；</w:t>
      </w:r>
    </w:p>
    <w:p>
      <w:pPr>
        <w:pStyle w:val="176"/>
        <w:numPr>
          <w:ilvl w:val="0"/>
          <w:numId w:val="37"/>
        </w:numPr>
      </w:pPr>
      <w:r>
        <w:rPr>
          <w:rFonts w:hint="eastAsia"/>
        </w:rPr>
        <w:t>预应力筋、锚具的品种、规格、级别、数量和位置</w:t>
      </w:r>
      <w:r>
        <w:rPr>
          <w:rFonts w:hint="eastAsia"/>
          <w:lang w:eastAsia="zh-CN"/>
        </w:rPr>
        <w:t>。</w:t>
      </w:r>
    </w:p>
    <w:p>
      <w:pPr>
        <w:pStyle w:val="167"/>
      </w:pPr>
      <w:r>
        <w:rPr>
          <w:rFonts w:hint="eastAsia" w:ascii="宋体" w:hAnsi="宋体" w:eastAsia="宋体"/>
        </w:rPr>
        <w:t>混凝土应按《普通混凝土配合比设计规程》JGJ 55等标准的有关规定，根据混凝土强度等级、耐久性和工作性等要求进行配合比设计。对有特殊要求的混凝土，其配合比设计尚应符合国家有关标准的规定</w:t>
      </w:r>
      <w:r>
        <w:rPr>
          <w:rFonts w:hint="eastAsia" w:hAnsi="宋体"/>
          <w:lang w:eastAsia="zh-CN"/>
        </w:rPr>
        <w:t>。</w:t>
      </w:r>
    </w:p>
    <w:p>
      <w:pPr>
        <w:pStyle w:val="107"/>
        <w:spacing w:before="156" w:after="156"/>
      </w:pPr>
      <w:r>
        <w:rPr>
          <w:rFonts w:hint="eastAsia"/>
          <w:lang w:val="en-US" w:eastAsia="zh-CN"/>
        </w:rPr>
        <w:t>模具和台座</w:t>
      </w:r>
    </w:p>
    <w:p>
      <w:pPr>
        <w:pStyle w:val="233"/>
        <w:jc w:val="center"/>
        <w:rPr>
          <w:rFonts w:hint="eastAsia" w:ascii="Times New Roman" w:eastAsia="黑体"/>
          <w:szCs w:val="21"/>
          <w:lang w:val="en-US" w:eastAsia="zh-CN"/>
        </w:rPr>
      </w:pPr>
      <w:r>
        <w:rPr>
          <w:rFonts w:hint="eastAsia" w:ascii="Times New Roman" w:eastAsia="黑体"/>
          <w:szCs w:val="21"/>
          <w:lang w:val="en-US" w:eastAsia="zh-CN"/>
        </w:rPr>
        <w:t>主控项目</w:t>
      </w:r>
    </w:p>
    <w:p>
      <w:pPr>
        <w:pStyle w:val="167"/>
      </w:pPr>
      <w:r>
        <w:rPr>
          <w:rFonts w:hint="eastAsia" w:ascii="宋体" w:hAnsi="宋体" w:eastAsia="宋体"/>
        </w:rPr>
        <w:t>流水线用模台及固定模台应平整，不得有严重锈蚀、变形</w:t>
      </w:r>
      <w:r>
        <w:rPr>
          <w:rFonts w:hint="eastAsia" w:hAnsi="宋体"/>
          <w:lang w:eastAsia="zh-CN"/>
        </w:rPr>
        <w:t>。</w:t>
      </w:r>
    </w:p>
    <w:p>
      <w:pPr>
        <w:pStyle w:val="242"/>
        <w:ind w:firstLine="420" w:firstLineChars="200"/>
      </w:pPr>
      <w:r>
        <w:rPr>
          <w:rFonts w:hint="eastAsia"/>
        </w:rPr>
        <w:t>检查数量：全数检验。</w:t>
      </w:r>
    </w:p>
    <w:p>
      <w:pPr>
        <w:pStyle w:val="242"/>
        <w:ind w:firstLine="420" w:firstLineChars="200"/>
      </w:pPr>
      <w:r>
        <w:rPr>
          <w:rFonts w:hint="eastAsia"/>
        </w:rPr>
        <w:t>检验方法：观察，尺量。</w:t>
      </w:r>
    </w:p>
    <w:p>
      <w:pPr>
        <w:pStyle w:val="167"/>
      </w:pPr>
      <w:r>
        <w:rPr>
          <w:rFonts w:hint="eastAsia" w:ascii="宋体" w:hAnsi="宋体" w:eastAsia="宋体"/>
        </w:rPr>
        <w:t>固定在模具上插筋、预埋件和预留孔洞等安装和定位应有可靠措施</w:t>
      </w:r>
      <w:r>
        <w:rPr>
          <w:rFonts w:hint="eastAsia" w:hAnsi="宋体"/>
          <w:lang w:eastAsia="zh-CN"/>
        </w:rPr>
        <w:t>。</w:t>
      </w:r>
    </w:p>
    <w:p>
      <w:pPr>
        <w:pStyle w:val="242"/>
        <w:ind w:firstLine="420" w:firstLineChars="200"/>
      </w:pPr>
      <w:r>
        <w:rPr>
          <w:rFonts w:hint="eastAsia"/>
        </w:rPr>
        <w:t>检查数量：全数检验。</w:t>
      </w:r>
    </w:p>
    <w:p>
      <w:pPr>
        <w:pStyle w:val="242"/>
        <w:ind w:firstLine="420" w:firstLineChars="200"/>
      </w:pPr>
      <w:r>
        <w:rPr>
          <w:rFonts w:hint="eastAsia"/>
        </w:rPr>
        <w:t>检验方法：观察。</w:t>
      </w:r>
    </w:p>
    <w:p>
      <w:pPr>
        <w:pStyle w:val="167"/>
      </w:pPr>
      <w:r>
        <w:rPr>
          <w:rFonts w:hint="eastAsia" w:ascii="宋体" w:hAnsi="宋体" w:eastAsia="宋体"/>
        </w:rPr>
        <w:t>清水混凝土构件模具的接缝应严密，且应有防止混凝土漏浆措施</w:t>
      </w:r>
      <w:r>
        <w:rPr>
          <w:rFonts w:hint="eastAsia" w:hAnsi="宋体"/>
          <w:lang w:eastAsia="zh-CN"/>
        </w:rPr>
        <w:t>。</w:t>
      </w:r>
    </w:p>
    <w:p>
      <w:pPr>
        <w:pStyle w:val="242"/>
        <w:ind w:firstLine="420" w:firstLineChars="200"/>
      </w:pPr>
      <w:r>
        <w:rPr>
          <w:rFonts w:hint="eastAsia"/>
        </w:rPr>
        <w:t>检查数量：全数检验。</w:t>
      </w:r>
    </w:p>
    <w:p>
      <w:pPr>
        <w:pStyle w:val="242"/>
        <w:ind w:firstLine="420" w:firstLineChars="200"/>
        <w:rPr>
          <w:rFonts w:hint="eastAsia"/>
        </w:rPr>
      </w:pPr>
      <w:r>
        <w:rPr>
          <w:rFonts w:hint="eastAsia"/>
        </w:rPr>
        <w:t>检验方法：观察。</w:t>
      </w:r>
    </w:p>
    <w:p>
      <w:pPr>
        <w:pStyle w:val="233"/>
        <w:jc w:val="center"/>
        <w:rPr>
          <w:rFonts w:ascii="Times New Roman" w:eastAsia="黑体"/>
          <w:szCs w:val="21"/>
          <w:lang w:val="en-US" w:eastAsia="zh-CN"/>
        </w:rPr>
      </w:pPr>
      <w:r>
        <w:rPr>
          <w:rFonts w:hint="eastAsia" w:ascii="Times New Roman" w:eastAsia="黑体"/>
          <w:szCs w:val="21"/>
          <w:lang w:val="en-US" w:eastAsia="zh-CN"/>
        </w:rPr>
        <w:t>一般项目</w:t>
      </w:r>
    </w:p>
    <w:p>
      <w:pPr>
        <w:pStyle w:val="167"/>
      </w:pPr>
      <w:r>
        <w:rPr>
          <w:rFonts w:hint="eastAsia" w:ascii="宋体" w:hAnsi="宋体" w:eastAsia="宋体"/>
        </w:rPr>
        <w:t>模具隔离剂、表面缓凝剂等应涂刷均匀，不得玷污钢筋、预应力筋和预埋件，且不得对环境造成污染。在浇筑混凝土前，模具内应无杂物</w:t>
      </w:r>
      <w:r>
        <w:rPr>
          <w:rFonts w:hint="eastAsia" w:hAnsi="宋体"/>
          <w:lang w:eastAsia="zh-CN"/>
        </w:rPr>
        <w:t>。</w:t>
      </w:r>
    </w:p>
    <w:p>
      <w:pPr>
        <w:pStyle w:val="242"/>
        <w:ind w:firstLine="420" w:firstLineChars="200"/>
      </w:pPr>
      <w:r>
        <w:rPr>
          <w:rFonts w:hint="eastAsia"/>
        </w:rPr>
        <w:t>检查数量：全数检查。</w:t>
      </w:r>
    </w:p>
    <w:p>
      <w:pPr>
        <w:pStyle w:val="242"/>
        <w:ind w:firstLine="420" w:firstLineChars="200"/>
      </w:pPr>
      <w:r>
        <w:rPr>
          <w:rFonts w:hint="eastAsia"/>
        </w:rPr>
        <w:t>检验方法：观察。</w:t>
      </w:r>
    </w:p>
    <w:p>
      <w:pPr>
        <w:pStyle w:val="167"/>
      </w:pPr>
      <w:r>
        <w:rPr>
          <w:rFonts w:hint="eastAsia" w:ascii="宋体" w:hAnsi="宋体" w:eastAsia="宋体"/>
        </w:rPr>
        <w:t>预制构件模具安装的偏差应符合表1的规定</w:t>
      </w:r>
      <w:r>
        <w:rPr>
          <w:rFonts w:hint="eastAsia" w:hAnsi="宋体"/>
          <w:lang w:eastAsia="zh-CN"/>
        </w:rPr>
        <w:t>。</w:t>
      </w:r>
    </w:p>
    <w:p>
      <w:pPr>
        <w:pStyle w:val="242"/>
        <w:ind w:firstLine="420" w:firstLineChars="200"/>
        <w:rPr>
          <w:rFonts w:hint="eastAsia"/>
        </w:rPr>
      </w:pPr>
      <w:r>
        <w:rPr>
          <w:rFonts w:hint="eastAsia"/>
        </w:rPr>
        <w:t>检查数量：首次使用及大修后的模具应全数检查；使用中的模具应定期检查，并根据使用情况不定期抽查。</w:t>
      </w:r>
    </w:p>
    <w:p>
      <w:pPr>
        <w:pStyle w:val="242"/>
        <w:jc w:val="center"/>
      </w:pPr>
      <w:r>
        <w:rPr>
          <w:rFonts w:hint="eastAsia"/>
        </w:rPr>
        <w:t>表1预制构件模具安装的允许偏差及检验方法</w:t>
      </w:r>
    </w:p>
    <w:tbl>
      <w:tblPr>
        <w:tblStyle w:val="27"/>
        <w:tblW w:w="852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90"/>
        <w:gridCol w:w="2330"/>
        <w:gridCol w:w="2074"/>
        <w:gridCol w:w="292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520" w:type="dxa"/>
            <w:gridSpan w:val="2"/>
            <w:shd w:val="clear" w:color="FFFFFF" w:fill="FFFFFF"/>
            <w:noWrap w:val="0"/>
            <w:vAlign w:val="center"/>
          </w:tcPr>
          <w:p>
            <w:pPr>
              <w:jc w:val="center"/>
            </w:pPr>
            <w:r>
              <w:rPr>
                <w:rFonts w:hint="eastAsia"/>
              </w:rPr>
              <w:t>检验项目</w:t>
            </w:r>
          </w:p>
        </w:tc>
        <w:tc>
          <w:tcPr>
            <w:tcW w:w="2074" w:type="dxa"/>
            <w:shd w:val="clear" w:color="FFFFFF" w:fill="FFFFFF"/>
            <w:noWrap w:val="0"/>
            <w:vAlign w:val="center"/>
          </w:tcPr>
          <w:p>
            <w:pPr>
              <w:jc w:val="center"/>
            </w:pPr>
            <w:r>
              <w:rPr>
                <w:rFonts w:hint="eastAsia"/>
              </w:rPr>
              <w:t>允许偏差（</w:t>
            </w:r>
            <w:r>
              <w:t>mm</w:t>
            </w:r>
            <w:r>
              <w:rPr>
                <w:rFonts w:hint="eastAsia"/>
              </w:rPr>
              <w:t>）</w:t>
            </w:r>
          </w:p>
        </w:tc>
        <w:tc>
          <w:tcPr>
            <w:tcW w:w="2929" w:type="dxa"/>
            <w:shd w:val="clear" w:color="FFFFFF" w:fill="FFFFFF"/>
            <w:noWrap w:val="0"/>
            <w:vAlign w:val="center"/>
          </w:tcPr>
          <w:p>
            <w:pPr>
              <w:jc w:val="center"/>
            </w:pPr>
            <w:r>
              <w:rPr>
                <w:rFonts w:hint="eastAsia"/>
              </w:rPr>
              <w:t>检验方法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190" w:type="dxa"/>
            <w:vMerge w:val="restart"/>
            <w:shd w:val="clear" w:color="FFFFFF" w:fill="FFFFFF"/>
            <w:noWrap w:val="0"/>
            <w:vAlign w:val="center"/>
          </w:tcPr>
          <w:p>
            <w:pPr>
              <w:jc w:val="center"/>
            </w:pPr>
            <w:r>
              <w:rPr>
                <w:rFonts w:hint="eastAsia"/>
              </w:rPr>
              <w:t>长度</w:t>
            </w:r>
          </w:p>
        </w:tc>
        <w:tc>
          <w:tcPr>
            <w:tcW w:w="2330" w:type="dxa"/>
            <w:shd w:val="clear" w:color="FFFFFF" w:fill="FFFFFF"/>
            <w:noWrap w:val="0"/>
            <w:vAlign w:val="center"/>
          </w:tcPr>
          <w:p>
            <w:pPr>
              <w:jc w:val="center"/>
            </w:pPr>
            <w:r>
              <w:rPr>
                <w:rFonts w:hint="eastAsia"/>
              </w:rPr>
              <w:t>≤6m</w:t>
            </w:r>
          </w:p>
        </w:tc>
        <w:tc>
          <w:tcPr>
            <w:tcW w:w="2074" w:type="dxa"/>
            <w:shd w:val="clear" w:color="FFFFFF" w:fill="FFFFFF"/>
            <w:noWrap w:val="0"/>
            <w:vAlign w:val="center"/>
          </w:tcPr>
          <w:p>
            <w:pPr>
              <w:jc w:val="center"/>
            </w:pPr>
            <w:r>
              <w:rPr>
                <w:rFonts w:hint="eastAsia"/>
              </w:rPr>
              <w:t>1，－2</w:t>
            </w:r>
          </w:p>
        </w:tc>
        <w:tc>
          <w:tcPr>
            <w:tcW w:w="2929" w:type="dxa"/>
            <w:vMerge w:val="restart"/>
            <w:shd w:val="clear" w:color="FFFFFF" w:fill="FFFFFF"/>
            <w:noWrap w:val="0"/>
            <w:vAlign w:val="center"/>
          </w:tcPr>
          <w:p>
            <w:pPr>
              <w:jc w:val="center"/>
            </w:pPr>
            <w:r>
              <w:rPr>
                <w:rFonts w:hint="eastAsia"/>
              </w:rPr>
              <w:t>钢尺量两端及中部，取其中偏差绝对值较大处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190" w:type="dxa"/>
            <w:vMerge w:val="continue"/>
            <w:shd w:val="clear" w:color="FFFFFF" w:fill="FFFFFF"/>
            <w:noWrap w:val="0"/>
            <w:vAlign w:val="center"/>
          </w:tcPr>
          <w:p>
            <w:pPr>
              <w:jc w:val="center"/>
            </w:pPr>
          </w:p>
        </w:tc>
        <w:tc>
          <w:tcPr>
            <w:tcW w:w="2330" w:type="dxa"/>
            <w:shd w:val="clear" w:color="FFFFFF" w:fill="FFFFFF"/>
            <w:noWrap w:val="0"/>
            <w:vAlign w:val="center"/>
          </w:tcPr>
          <w:p>
            <w:pPr>
              <w:jc w:val="center"/>
            </w:pPr>
            <w:r>
              <w:rPr>
                <w:rFonts w:hint="eastAsia"/>
              </w:rPr>
              <w:t>＞6m且≤12m</w:t>
            </w:r>
          </w:p>
        </w:tc>
        <w:tc>
          <w:tcPr>
            <w:tcW w:w="2074" w:type="dxa"/>
            <w:shd w:val="clear" w:color="FFFFFF" w:fill="FFFFFF"/>
            <w:noWrap w:val="0"/>
            <w:vAlign w:val="center"/>
          </w:tcPr>
          <w:p>
            <w:pPr>
              <w:jc w:val="center"/>
            </w:pPr>
            <w:r>
              <w:rPr>
                <w:rFonts w:hint="eastAsia"/>
              </w:rPr>
              <w:t>2，－4</w:t>
            </w:r>
          </w:p>
        </w:tc>
        <w:tc>
          <w:tcPr>
            <w:tcW w:w="2929" w:type="dxa"/>
            <w:vMerge w:val="continue"/>
            <w:shd w:val="clear" w:color="FFFFFF" w:fill="FFFFFF"/>
            <w:noWrap w:val="0"/>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190" w:type="dxa"/>
            <w:vMerge w:val="continue"/>
            <w:shd w:val="clear" w:color="FFFFFF" w:fill="FFFFFF"/>
            <w:noWrap w:val="0"/>
            <w:vAlign w:val="center"/>
          </w:tcPr>
          <w:p>
            <w:pPr>
              <w:jc w:val="center"/>
            </w:pPr>
          </w:p>
        </w:tc>
        <w:tc>
          <w:tcPr>
            <w:tcW w:w="2330" w:type="dxa"/>
            <w:shd w:val="clear" w:color="FFFFFF" w:fill="FFFFFF"/>
            <w:noWrap w:val="0"/>
            <w:vAlign w:val="center"/>
          </w:tcPr>
          <w:p>
            <w:pPr>
              <w:jc w:val="center"/>
            </w:pPr>
            <w:r>
              <w:rPr>
                <w:rFonts w:hint="eastAsia"/>
              </w:rPr>
              <w:t>≥12m</w:t>
            </w:r>
          </w:p>
        </w:tc>
        <w:tc>
          <w:tcPr>
            <w:tcW w:w="2074" w:type="dxa"/>
            <w:shd w:val="clear" w:color="FFFFFF" w:fill="FFFFFF"/>
            <w:noWrap w:val="0"/>
            <w:vAlign w:val="center"/>
          </w:tcPr>
          <w:p>
            <w:pPr>
              <w:jc w:val="center"/>
            </w:pPr>
            <w:r>
              <w:rPr>
                <w:rFonts w:hint="eastAsia"/>
              </w:rPr>
              <w:t>3，－5</w:t>
            </w:r>
          </w:p>
        </w:tc>
        <w:tc>
          <w:tcPr>
            <w:tcW w:w="2929" w:type="dxa"/>
            <w:vMerge w:val="continue"/>
            <w:shd w:val="clear" w:color="FFFFFF" w:fill="FFFFFF"/>
            <w:noWrap w:val="0"/>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190" w:type="dxa"/>
            <w:vMerge w:val="restart"/>
            <w:shd w:val="clear" w:color="FFFFFF" w:fill="FFFFFF"/>
            <w:noWrap w:val="0"/>
            <w:vAlign w:val="center"/>
          </w:tcPr>
          <w:p>
            <w:pPr>
              <w:jc w:val="center"/>
            </w:pPr>
            <w:r>
              <w:rPr>
                <w:rFonts w:hint="eastAsia"/>
              </w:rPr>
              <w:t>宽度、高（厚）度</w:t>
            </w:r>
          </w:p>
        </w:tc>
        <w:tc>
          <w:tcPr>
            <w:tcW w:w="2330" w:type="dxa"/>
            <w:shd w:val="clear" w:color="FFFFFF" w:fill="FFFFFF"/>
            <w:noWrap w:val="0"/>
            <w:vAlign w:val="center"/>
          </w:tcPr>
          <w:p>
            <w:pPr>
              <w:jc w:val="center"/>
            </w:pPr>
            <w:r>
              <w:rPr>
                <w:rFonts w:hint="eastAsia"/>
              </w:rPr>
              <w:t>墙板</w:t>
            </w:r>
          </w:p>
        </w:tc>
        <w:tc>
          <w:tcPr>
            <w:tcW w:w="2074" w:type="dxa"/>
            <w:shd w:val="clear" w:color="FFFFFF" w:fill="FFFFFF"/>
            <w:noWrap w:val="0"/>
            <w:vAlign w:val="center"/>
          </w:tcPr>
          <w:p>
            <w:pPr>
              <w:jc w:val="center"/>
            </w:pPr>
            <w:r>
              <w:rPr>
                <w:rFonts w:hint="eastAsia"/>
              </w:rPr>
              <w:t>1，－2</w:t>
            </w:r>
          </w:p>
        </w:tc>
        <w:tc>
          <w:tcPr>
            <w:tcW w:w="2929" w:type="dxa"/>
            <w:vMerge w:val="restart"/>
            <w:shd w:val="clear" w:color="FFFFFF" w:fill="FFFFFF"/>
            <w:noWrap w:val="0"/>
            <w:vAlign w:val="center"/>
          </w:tcPr>
          <w:p>
            <w:pPr>
              <w:jc w:val="center"/>
            </w:pPr>
            <w:r>
              <w:rPr>
                <w:rFonts w:hint="eastAsia"/>
              </w:rPr>
              <w:t>钢尺量两端及中部，取其中偏差绝对值较大处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190" w:type="dxa"/>
            <w:vMerge w:val="continue"/>
            <w:shd w:val="clear" w:color="auto" w:fill="auto"/>
            <w:noWrap w:val="0"/>
            <w:vAlign w:val="center"/>
          </w:tcPr>
          <w:p>
            <w:pPr>
              <w:jc w:val="center"/>
            </w:pPr>
          </w:p>
        </w:tc>
        <w:tc>
          <w:tcPr>
            <w:tcW w:w="2330" w:type="dxa"/>
            <w:shd w:val="clear" w:color="FFFFFF" w:fill="FFFFFF"/>
            <w:noWrap w:val="0"/>
            <w:vAlign w:val="center"/>
          </w:tcPr>
          <w:p>
            <w:pPr>
              <w:jc w:val="center"/>
            </w:pPr>
            <w:r>
              <w:rPr>
                <w:rFonts w:hint="eastAsia"/>
              </w:rPr>
              <w:t>其他构件</w:t>
            </w:r>
          </w:p>
        </w:tc>
        <w:tc>
          <w:tcPr>
            <w:tcW w:w="2074" w:type="dxa"/>
            <w:shd w:val="clear" w:color="FFFFFF" w:fill="FFFFFF"/>
            <w:noWrap w:val="0"/>
            <w:vAlign w:val="center"/>
          </w:tcPr>
          <w:p>
            <w:pPr>
              <w:jc w:val="center"/>
            </w:pPr>
            <w:r>
              <w:rPr>
                <w:rFonts w:hint="eastAsia"/>
              </w:rPr>
              <w:t>2，－4</w:t>
            </w:r>
          </w:p>
        </w:tc>
        <w:tc>
          <w:tcPr>
            <w:tcW w:w="2929" w:type="dxa"/>
            <w:vMerge w:val="continue"/>
            <w:shd w:val="clear" w:color="FFFFFF" w:fill="FFFFFF"/>
            <w:noWrap w:val="0"/>
            <w:vAlign w:val="center"/>
          </w:tcPr>
          <w:p>
            <w:pPr>
              <w:jc w:val="cente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520" w:type="dxa"/>
            <w:gridSpan w:val="2"/>
            <w:shd w:val="clear" w:color="FFFFFF" w:fill="FFFFFF"/>
            <w:noWrap w:val="0"/>
            <w:vAlign w:val="center"/>
          </w:tcPr>
          <w:p>
            <w:pPr>
              <w:jc w:val="center"/>
            </w:pPr>
            <w:r>
              <w:rPr>
                <w:rFonts w:hint="eastAsia"/>
              </w:rPr>
              <w:t>侧向弯曲</w:t>
            </w:r>
          </w:p>
        </w:tc>
        <w:tc>
          <w:tcPr>
            <w:tcW w:w="2074" w:type="dxa"/>
            <w:shd w:val="clear" w:color="FFFFFF" w:fill="FFFFFF"/>
            <w:noWrap w:val="0"/>
            <w:vAlign w:val="center"/>
          </w:tcPr>
          <w:p>
            <w:pPr>
              <w:jc w:val="center"/>
            </w:pPr>
            <w:r>
              <w:rPr>
                <w:rFonts w:hint="eastAsia"/>
              </w:rPr>
              <w:t>L/1500且≤5</w:t>
            </w:r>
          </w:p>
        </w:tc>
        <w:tc>
          <w:tcPr>
            <w:tcW w:w="2929" w:type="dxa"/>
            <w:shd w:val="clear" w:color="FFFFFF" w:fill="FFFFFF"/>
            <w:noWrap w:val="0"/>
            <w:vAlign w:val="center"/>
          </w:tcPr>
          <w:p>
            <w:pPr>
              <w:jc w:val="center"/>
            </w:pPr>
            <w:r>
              <w:rPr>
                <w:rFonts w:hint="eastAsia"/>
              </w:rPr>
              <w:t>拉线、钢尺量最大弯曲处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520" w:type="dxa"/>
            <w:gridSpan w:val="2"/>
            <w:shd w:val="clear" w:color="FFFFFF" w:fill="FFFFFF"/>
            <w:noWrap w:val="0"/>
            <w:vAlign w:val="center"/>
          </w:tcPr>
          <w:p>
            <w:pPr>
              <w:jc w:val="center"/>
            </w:pPr>
            <w:r>
              <w:rPr>
                <w:rFonts w:hint="eastAsia"/>
              </w:rPr>
              <w:t>底模表面平整度</w:t>
            </w:r>
          </w:p>
        </w:tc>
        <w:tc>
          <w:tcPr>
            <w:tcW w:w="2074" w:type="dxa"/>
            <w:shd w:val="clear" w:color="FFFFFF" w:fill="FFFFFF"/>
            <w:noWrap w:val="0"/>
            <w:vAlign w:val="center"/>
          </w:tcPr>
          <w:p>
            <w:pPr>
              <w:jc w:val="center"/>
            </w:pPr>
            <w:r>
              <w:rPr>
                <w:rFonts w:hint="eastAsia"/>
              </w:rPr>
              <w:t>2</w:t>
            </w:r>
          </w:p>
        </w:tc>
        <w:tc>
          <w:tcPr>
            <w:tcW w:w="2929" w:type="dxa"/>
            <w:shd w:val="clear" w:color="FFFFFF" w:fill="FFFFFF"/>
            <w:noWrap w:val="0"/>
            <w:vAlign w:val="center"/>
          </w:tcPr>
          <w:p>
            <w:pPr>
              <w:jc w:val="center"/>
            </w:pPr>
            <w:r>
              <w:t>2m</w:t>
            </w:r>
            <w:r>
              <w:rPr>
                <w:rFonts w:hint="eastAsia"/>
              </w:rPr>
              <w:t>靠尺和塞尺检查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520" w:type="dxa"/>
            <w:gridSpan w:val="2"/>
            <w:shd w:val="clear" w:color="FFFFFF" w:fill="FFFFFF"/>
            <w:noWrap w:val="0"/>
            <w:vAlign w:val="center"/>
          </w:tcPr>
          <w:p>
            <w:pPr>
              <w:jc w:val="center"/>
            </w:pPr>
            <w:r>
              <w:rPr>
                <w:rFonts w:hint="eastAsia"/>
              </w:rPr>
              <w:t>对角线差</w:t>
            </w:r>
          </w:p>
        </w:tc>
        <w:tc>
          <w:tcPr>
            <w:tcW w:w="2074" w:type="dxa"/>
            <w:shd w:val="clear" w:color="FFFFFF" w:fill="FFFFFF"/>
            <w:noWrap w:val="0"/>
            <w:vAlign w:val="center"/>
          </w:tcPr>
          <w:p>
            <w:pPr>
              <w:jc w:val="center"/>
            </w:pPr>
            <w:r>
              <w:rPr>
                <w:rFonts w:hint="eastAsia"/>
              </w:rPr>
              <w:t>3</w:t>
            </w:r>
          </w:p>
        </w:tc>
        <w:tc>
          <w:tcPr>
            <w:tcW w:w="2929" w:type="dxa"/>
            <w:shd w:val="clear" w:color="FFFFFF" w:fill="FFFFFF"/>
            <w:noWrap w:val="0"/>
            <w:vAlign w:val="center"/>
          </w:tcPr>
          <w:p>
            <w:pPr>
              <w:jc w:val="center"/>
            </w:pPr>
            <w:r>
              <w:rPr>
                <w:rFonts w:hint="eastAsia"/>
              </w:rPr>
              <w:t>尺量两对角线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520" w:type="dxa"/>
            <w:gridSpan w:val="2"/>
            <w:shd w:val="clear" w:color="FFFFFF" w:fill="FFFFFF"/>
            <w:noWrap w:val="0"/>
            <w:vAlign w:val="center"/>
          </w:tcPr>
          <w:p>
            <w:pPr>
              <w:jc w:val="center"/>
            </w:pPr>
            <w:r>
              <w:rPr>
                <w:rFonts w:hint="eastAsia"/>
              </w:rPr>
              <w:t>翘曲</w:t>
            </w:r>
          </w:p>
        </w:tc>
        <w:tc>
          <w:tcPr>
            <w:tcW w:w="2074" w:type="dxa"/>
            <w:shd w:val="clear" w:color="FFFFFF" w:fill="FFFFFF"/>
            <w:noWrap w:val="0"/>
            <w:vAlign w:val="center"/>
          </w:tcPr>
          <w:p>
            <w:pPr>
              <w:jc w:val="center"/>
            </w:pPr>
            <w:r>
              <w:rPr>
                <w:rFonts w:hint="eastAsia"/>
              </w:rPr>
              <w:t>L/1500</w:t>
            </w:r>
          </w:p>
        </w:tc>
        <w:tc>
          <w:tcPr>
            <w:tcW w:w="2929" w:type="dxa"/>
            <w:shd w:val="clear" w:color="FFFFFF" w:fill="FFFFFF"/>
            <w:noWrap w:val="0"/>
            <w:vAlign w:val="center"/>
          </w:tcPr>
          <w:p>
            <w:pPr>
              <w:jc w:val="center"/>
            </w:pPr>
            <w:r>
              <w:rPr>
                <w:rFonts w:hint="eastAsia"/>
              </w:rPr>
              <w:t>对角拉线测量交点间距离值的两倍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520" w:type="dxa"/>
            <w:gridSpan w:val="2"/>
            <w:shd w:val="clear" w:color="FFFFFF" w:fill="FFFFFF"/>
            <w:noWrap w:val="0"/>
            <w:vAlign w:val="center"/>
          </w:tcPr>
          <w:p>
            <w:pPr>
              <w:jc w:val="center"/>
            </w:pPr>
            <w:r>
              <w:rPr>
                <w:rFonts w:hint="eastAsia"/>
              </w:rPr>
              <w:t>组装间隙</w:t>
            </w:r>
          </w:p>
        </w:tc>
        <w:tc>
          <w:tcPr>
            <w:tcW w:w="2074" w:type="dxa"/>
            <w:shd w:val="clear" w:color="FFFFFF" w:fill="FFFFFF"/>
            <w:noWrap w:val="0"/>
            <w:vAlign w:val="center"/>
          </w:tcPr>
          <w:p>
            <w:pPr>
              <w:jc w:val="center"/>
            </w:pPr>
            <w:r>
              <w:rPr>
                <w:rFonts w:hint="eastAsia"/>
              </w:rPr>
              <w:t>1</w:t>
            </w:r>
          </w:p>
        </w:tc>
        <w:tc>
          <w:tcPr>
            <w:tcW w:w="2929" w:type="dxa"/>
            <w:shd w:val="clear" w:color="FFFFFF" w:fill="FFFFFF"/>
            <w:noWrap w:val="0"/>
            <w:vAlign w:val="center"/>
          </w:tcPr>
          <w:p>
            <w:pPr>
              <w:jc w:val="center"/>
            </w:pPr>
            <w:r>
              <w:rPr>
                <w:rFonts w:hint="eastAsia"/>
              </w:rPr>
              <w:t>用塞尺或塞片量测，取最大值</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3520" w:type="dxa"/>
            <w:gridSpan w:val="2"/>
            <w:shd w:val="clear" w:color="FFFFFF" w:fill="FFFFFF"/>
            <w:noWrap w:val="0"/>
            <w:vAlign w:val="center"/>
          </w:tcPr>
          <w:p>
            <w:pPr>
              <w:jc w:val="center"/>
            </w:pPr>
            <w:r>
              <w:rPr>
                <w:rFonts w:hint="eastAsia"/>
              </w:rPr>
              <w:t>端模与侧模高低差</w:t>
            </w:r>
          </w:p>
        </w:tc>
        <w:tc>
          <w:tcPr>
            <w:tcW w:w="2074" w:type="dxa"/>
            <w:shd w:val="clear" w:color="FFFFFF" w:fill="FFFFFF"/>
            <w:noWrap w:val="0"/>
            <w:vAlign w:val="center"/>
          </w:tcPr>
          <w:p>
            <w:pPr>
              <w:jc w:val="center"/>
            </w:pPr>
            <w:r>
              <w:rPr>
                <w:rFonts w:hint="eastAsia"/>
              </w:rPr>
              <w:t>1</w:t>
            </w:r>
          </w:p>
        </w:tc>
        <w:tc>
          <w:tcPr>
            <w:tcW w:w="2929" w:type="dxa"/>
            <w:shd w:val="clear" w:color="FFFFFF" w:fill="FFFFFF"/>
            <w:noWrap w:val="0"/>
            <w:vAlign w:val="center"/>
          </w:tcPr>
          <w:p>
            <w:pPr>
              <w:jc w:val="center"/>
            </w:pPr>
            <w:r>
              <w:rPr>
                <w:rFonts w:hint="eastAsia"/>
              </w:rPr>
              <w:t>用钢尺量测</w:t>
            </w:r>
          </w:p>
        </w:tc>
      </w:tr>
    </w:tbl>
    <w:p>
      <w:pPr>
        <w:spacing w:after="156" w:afterLines="50"/>
        <w:ind w:firstLine="663"/>
      </w:pPr>
      <w:r>
        <w:rPr>
          <w:rFonts w:hint="eastAsia"/>
        </w:rPr>
        <w:t>注：</w:t>
      </w:r>
      <w:r>
        <w:t>L</w:t>
      </w:r>
      <w:r>
        <w:rPr>
          <w:rFonts w:hint="eastAsia"/>
        </w:rPr>
        <w:t>为预制构件长度（</w:t>
      </w:r>
      <w:r>
        <w:t>mm</w:t>
      </w:r>
      <w:r>
        <w:rPr>
          <w:rFonts w:hint="eastAsia"/>
        </w:rPr>
        <w:t>）。</w:t>
      </w:r>
    </w:p>
    <w:p>
      <w:pPr>
        <w:pStyle w:val="167"/>
      </w:pPr>
      <w:r>
        <w:rPr>
          <w:rFonts w:hint="eastAsia" w:ascii="宋体" w:hAnsi="宋体" w:eastAsia="宋体"/>
        </w:rPr>
        <w:t>固定在模具上的预埋件、预留孔和预留洞均不得遗漏，其偏差应符合表2的规定</w:t>
      </w:r>
      <w:r>
        <w:rPr>
          <w:rFonts w:hint="eastAsia" w:hAnsi="宋体"/>
          <w:lang w:eastAsia="zh-CN"/>
        </w:rPr>
        <w:t>。</w:t>
      </w:r>
    </w:p>
    <w:p>
      <w:pPr>
        <w:pStyle w:val="242"/>
        <w:jc w:val="center"/>
      </w:pPr>
      <w:r>
        <w:rPr>
          <w:rFonts w:hint="eastAsia"/>
        </w:rPr>
        <w:t>表2预埋件和预留孔洞的允许偏差</w:t>
      </w:r>
    </w:p>
    <w:tbl>
      <w:tblPr>
        <w:tblStyle w:val="27"/>
        <w:tblW w:w="789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220"/>
        <w:gridCol w:w="2744"/>
        <w:gridCol w:w="292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4964" w:type="dxa"/>
            <w:gridSpan w:val="2"/>
            <w:noWrap w:val="0"/>
            <w:vAlign w:val="center"/>
          </w:tcPr>
          <w:p>
            <w:pPr>
              <w:jc w:val="center"/>
            </w:pPr>
            <w:r>
              <w:rPr>
                <w:rFonts w:hint="eastAsia"/>
              </w:rPr>
              <w:t>检验项目</w:t>
            </w:r>
          </w:p>
        </w:tc>
        <w:tc>
          <w:tcPr>
            <w:tcW w:w="2928" w:type="dxa"/>
            <w:noWrap w:val="0"/>
            <w:vAlign w:val="center"/>
          </w:tcPr>
          <w:p>
            <w:pPr>
              <w:jc w:val="center"/>
            </w:pPr>
            <w:r>
              <w:rPr>
                <w:rFonts w:hint="eastAsia"/>
              </w:rPr>
              <w:t>允许偏差（</w:t>
            </w:r>
            <w:r>
              <w:t>mm</w:t>
            </w:r>
            <w:r>
              <w:rPr>
                <w:rFonts w:hint="eastAsia"/>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50" w:hRule="atLeast"/>
          <w:jc w:val="center"/>
        </w:trPr>
        <w:tc>
          <w:tcPr>
            <w:tcW w:w="4964" w:type="dxa"/>
            <w:gridSpan w:val="2"/>
            <w:noWrap w:val="0"/>
            <w:vAlign w:val="center"/>
          </w:tcPr>
          <w:p>
            <w:pPr>
              <w:jc w:val="center"/>
            </w:pPr>
            <w:r>
              <w:rPr>
                <w:rFonts w:hint="eastAsia"/>
              </w:rPr>
              <w:t>预埋板中心线位置</w:t>
            </w:r>
          </w:p>
        </w:tc>
        <w:tc>
          <w:tcPr>
            <w:tcW w:w="2928" w:type="dxa"/>
            <w:noWrap w:val="0"/>
            <w:vAlign w:val="center"/>
          </w:tcPr>
          <w:p>
            <w:pPr>
              <w:jc w:val="center"/>
            </w:pPr>
            <w:r>
              <w:rPr>
                <w:rFonts w:hint="eastAsia"/>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65" w:hRule="atLeast"/>
          <w:jc w:val="center"/>
        </w:trPr>
        <w:tc>
          <w:tcPr>
            <w:tcW w:w="4964" w:type="dxa"/>
            <w:gridSpan w:val="2"/>
            <w:noWrap w:val="0"/>
            <w:vAlign w:val="center"/>
          </w:tcPr>
          <w:p>
            <w:pPr>
              <w:jc w:val="center"/>
            </w:pPr>
            <w:r>
              <w:rPr>
                <w:rFonts w:hint="eastAsia"/>
              </w:rPr>
              <w:t>预埋管、预留孔中心线位置</w:t>
            </w:r>
          </w:p>
        </w:tc>
        <w:tc>
          <w:tcPr>
            <w:tcW w:w="2928" w:type="dxa"/>
            <w:noWrap w:val="0"/>
            <w:vAlign w:val="center"/>
          </w:tcPr>
          <w:p>
            <w:pPr>
              <w:jc w:val="center"/>
            </w:pPr>
            <w:r>
              <w:rPr>
                <w:rFonts w:hint="eastAsia"/>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4964" w:type="dxa"/>
            <w:gridSpan w:val="2"/>
            <w:noWrap w:val="0"/>
            <w:vAlign w:val="center"/>
          </w:tcPr>
          <w:p>
            <w:pPr>
              <w:jc w:val="center"/>
            </w:pPr>
            <w:r>
              <w:rPr>
                <w:rFonts w:hint="eastAsia"/>
              </w:rPr>
              <w:t>预埋灌浆套筒</w:t>
            </w:r>
          </w:p>
        </w:tc>
        <w:tc>
          <w:tcPr>
            <w:tcW w:w="2928" w:type="dxa"/>
            <w:noWrap w:val="0"/>
            <w:vAlign w:val="center"/>
          </w:tcPr>
          <w:p>
            <w:pPr>
              <w:jc w:val="center"/>
            </w:pPr>
            <w:r>
              <w:rPr>
                <w:rFonts w:hint="eastAsia"/>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20" w:type="dxa"/>
            <w:vMerge w:val="restart"/>
            <w:noWrap w:val="0"/>
            <w:vAlign w:val="center"/>
          </w:tcPr>
          <w:p>
            <w:pPr>
              <w:jc w:val="center"/>
            </w:pPr>
            <w:r>
              <w:rPr>
                <w:rFonts w:hint="eastAsia"/>
              </w:rPr>
              <w:t>插筋</w:t>
            </w:r>
          </w:p>
        </w:tc>
        <w:tc>
          <w:tcPr>
            <w:tcW w:w="2744" w:type="dxa"/>
            <w:noWrap w:val="0"/>
            <w:vAlign w:val="center"/>
          </w:tcPr>
          <w:p>
            <w:pPr>
              <w:jc w:val="center"/>
            </w:pPr>
            <w:r>
              <w:rPr>
                <w:rFonts w:hint="eastAsia"/>
              </w:rPr>
              <w:t>中心线位置</w:t>
            </w:r>
          </w:p>
        </w:tc>
        <w:tc>
          <w:tcPr>
            <w:tcW w:w="2928" w:type="dxa"/>
            <w:noWrap w:val="0"/>
            <w:vAlign w:val="center"/>
          </w:tcPr>
          <w:p>
            <w:pPr>
              <w:jc w:val="center"/>
            </w:pPr>
            <w:r>
              <w:rPr>
                <w:rFonts w:hint="eastAsia"/>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5" w:hRule="atLeast"/>
          <w:jc w:val="center"/>
        </w:trPr>
        <w:tc>
          <w:tcPr>
            <w:tcW w:w="2220" w:type="dxa"/>
            <w:vMerge w:val="continue"/>
            <w:noWrap w:val="0"/>
            <w:vAlign w:val="center"/>
          </w:tcPr>
          <w:p>
            <w:pPr>
              <w:jc w:val="center"/>
            </w:pPr>
          </w:p>
        </w:tc>
        <w:tc>
          <w:tcPr>
            <w:tcW w:w="2744" w:type="dxa"/>
            <w:noWrap w:val="0"/>
            <w:vAlign w:val="center"/>
          </w:tcPr>
          <w:p>
            <w:pPr>
              <w:jc w:val="center"/>
            </w:pPr>
            <w:r>
              <w:rPr>
                <w:rFonts w:hint="eastAsia"/>
              </w:rPr>
              <w:t>外露长度</w:t>
            </w:r>
          </w:p>
        </w:tc>
        <w:tc>
          <w:tcPr>
            <w:tcW w:w="2928" w:type="dxa"/>
            <w:noWrap w:val="0"/>
            <w:vAlign w:val="center"/>
          </w:tcPr>
          <w:p>
            <w:pPr>
              <w:jc w:val="center"/>
            </w:pPr>
            <w:r>
              <w:rPr>
                <w:rFonts w:hint="eastAsia"/>
              </w:rPr>
              <w:t>+10，</w:t>
            </w:r>
            <w: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20" w:type="dxa"/>
            <w:vMerge w:val="restart"/>
            <w:noWrap w:val="0"/>
            <w:vAlign w:val="center"/>
          </w:tcPr>
          <w:p>
            <w:pPr>
              <w:jc w:val="center"/>
            </w:pPr>
            <w:r>
              <w:rPr>
                <w:rFonts w:hint="eastAsia"/>
              </w:rPr>
              <w:t>预埋螺栓</w:t>
            </w:r>
          </w:p>
        </w:tc>
        <w:tc>
          <w:tcPr>
            <w:tcW w:w="2744" w:type="dxa"/>
            <w:noWrap w:val="0"/>
            <w:vAlign w:val="center"/>
          </w:tcPr>
          <w:p>
            <w:pPr>
              <w:jc w:val="center"/>
            </w:pPr>
            <w:r>
              <w:rPr>
                <w:rFonts w:hint="eastAsia"/>
              </w:rPr>
              <w:t>中心线位置</w:t>
            </w:r>
          </w:p>
        </w:tc>
        <w:tc>
          <w:tcPr>
            <w:tcW w:w="2928" w:type="dxa"/>
            <w:noWrap w:val="0"/>
            <w:vAlign w:val="center"/>
          </w:tcPr>
          <w:p>
            <w:pPr>
              <w:jc w:val="center"/>
            </w:pPr>
            <w: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20" w:type="dxa"/>
            <w:vMerge w:val="continue"/>
            <w:noWrap w:val="0"/>
            <w:vAlign w:val="center"/>
          </w:tcPr>
          <w:p>
            <w:pPr>
              <w:jc w:val="center"/>
            </w:pPr>
          </w:p>
        </w:tc>
        <w:tc>
          <w:tcPr>
            <w:tcW w:w="2744" w:type="dxa"/>
            <w:noWrap w:val="0"/>
            <w:vAlign w:val="center"/>
          </w:tcPr>
          <w:p>
            <w:pPr>
              <w:jc w:val="center"/>
            </w:pPr>
            <w:r>
              <w:rPr>
                <w:rFonts w:hint="eastAsia"/>
              </w:rPr>
              <w:t>外露长度</w:t>
            </w:r>
          </w:p>
        </w:tc>
        <w:tc>
          <w:tcPr>
            <w:tcW w:w="2928" w:type="dxa"/>
            <w:noWrap w:val="0"/>
            <w:vAlign w:val="center"/>
          </w:tcPr>
          <w:p>
            <w:pPr>
              <w:jc w:val="center"/>
            </w:pPr>
            <w:r>
              <w:rPr>
                <w:rFonts w:hint="eastAsia"/>
              </w:rPr>
              <w:t>+5，</w:t>
            </w:r>
            <w: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220" w:type="dxa"/>
            <w:vMerge w:val="restart"/>
            <w:noWrap w:val="0"/>
            <w:vAlign w:val="center"/>
          </w:tcPr>
          <w:p>
            <w:pPr>
              <w:jc w:val="center"/>
            </w:pPr>
            <w:r>
              <w:rPr>
                <w:rFonts w:hint="eastAsia"/>
              </w:rPr>
              <w:t>预留孔、洞</w:t>
            </w:r>
          </w:p>
        </w:tc>
        <w:tc>
          <w:tcPr>
            <w:tcW w:w="2744" w:type="dxa"/>
            <w:noWrap w:val="0"/>
            <w:vAlign w:val="center"/>
          </w:tcPr>
          <w:p>
            <w:pPr>
              <w:jc w:val="center"/>
            </w:pPr>
            <w:r>
              <w:rPr>
                <w:rFonts w:hint="eastAsia"/>
              </w:rPr>
              <w:t>中心线位置</w:t>
            </w:r>
          </w:p>
        </w:tc>
        <w:tc>
          <w:tcPr>
            <w:tcW w:w="2928" w:type="dxa"/>
            <w:noWrap w:val="0"/>
            <w:vAlign w:val="center"/>
          </w:tcPr>
          <w:p>
            <w:pPr>
              <w:jc w:val="center"/>
            </w:pPr>
            <w:r>
              <w:rPr>
                <w:rFonts w:hint="eastAsia"/>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34" w:hRule="atLeast"/>
          <w:jc w:val="center"/>
        </w:trPr>
        <w:tc>
          <w:tcPr>
            <w:tcW w:w="2220" w:type="dxa"/>
            <w:vMerge w:val="continue"/>
            <w:noWrap w:val="0"/>
            <w:vAlign w:val="center"/>
          </w:tcPr>
          <w:p>
            <w:pPr>
              <w:jc w:val="center"/>
            </w:pPr>
          </w:p>
        </w:tc>
        <w:tc>
          <w:tcPr>
            <w:tcW w:w="2744" w:type="dxa"/>
            <w:noWrap w:val="0"/>
            <w:vAlign w:val="center"/>
          </w:tcPr>
          <w:p>
            <w:pPr>
              <w:jc w:val="center"/>
            </w:pPr>
            <w:r>
              <w:rPr>
                <w:rFonts w:hint="eastAsia"/>
              </w:rPr>
              <w:t>尺寸</w:t>
            </w:r>
          </w:p>
        </w:tc>
        <w:tc>
          <w:tcPr>
            <w:tcW w:w="2928" w:type="dxa"/>
            <w:noWrap w:val="0"/>
            <w:vAlign w:val="center"/>
          </w:tcPr>
          <w:p>
            <w:pPr>
              <w:jc w:val="center"/>
            </w:pPr>
            <w:r>
              <w:rPr>
                <w:rFonts w:hint="eastAsia"/>
              </w:rPr>
              <w:t>+3，</w:t>
            </w:r>
            <w:r>
              <w:t>0</w:t>
            </w:r>
          </w:p>
        </w:tc>
      </w:tr>
    </w:tbl>
    <w:p>
      <w:pPr>
        <w:pStyle w:val="242"/>
        <w:ind w:firstLine="630" w:firstLineChars="300"/>
      </w:pPr>
      <w:r>
        <w:rPr>
          <w:rFonts w:hint="eastAsia"/>
        </w:rPr>
        <w:t>注：检查中心线位置时，应沿纵、横两个方向量测，并取其中的较大值。</w:t>
      </w:r>
    </w:p>
    <w:p>
      <w:pPr>
        <w:pStyle w:val="242"/>
        <w:ind w:firstLine="420" w:firstLineChars="200"/>
      </w:pPr>
      <w:r>
        <w:rPr>
          <w:rFonts w:hint="eastAsia"/>
        </w:rPr>
        <w:t>检查数量：全数检查。</w:t>
      </w:r>
    </w:p>
    <w:p>
      <w:pPr>
        <w:pStyle w:val="167"/>
        <w:numPr>
          <w:ilvl w:val="3"/>
          <w:numId w:val="0"/>
        </w:numPr>
        <w:ind w:leftChars="0" w:firstLine="420" w:firstLineChars="200"/>
      </w:pPr>
      <w:r>
        <w:rPr>
          <w:rFonts w:hint="eastAsia"/>
        </w:rPr>
        <w:t>检验方法：尺量。</w:t>
      </w:r>
    </w:p>
    <w:p>
      <w:pPr>
        <w:pStyle w:val="107"/>
        <w:spacing w:before="156" w:after="156"/>
      </w:pPr>
      <w:r>
        <w:rPr>
          <w:rFonts w:hint="eastAsia"/>
          <w:lang w:val="en-US" w:eastAsia="zh-CN"/>
        </w:rPr>
        <w:t>钢筋工程</w:t>
      </w:r>
    </w:p>
    <w:p>
      <w:pPr>
        <w:pStyle w:val="233"/>
        <w:jc w:val="center"/>
      </w:pPr>
      <w:r>
        <w:rPr>
          <w:rFonts w:hint="eastAsia" w:ascii="黑体" w:eastAsia="黑体"/>
          <w:szCs w:val="21"/>
          <w:lang w:val="en-US" w:eastAsia="zh-CN"/>
        </w:rPr>
        <w:t>主控项目</w:t>
      </w:r>
    </w:p>
    <w:p>
      <w:pPr>
        <w:pStyle w:val="167"/>
      </w:pPr>
      <w:r>
        <w:rPr>
          <w:rFonts w:hint="eastAsia" w:ascii="宋体" w:hAnsi="宋体" w:eastAsia="宋体"/>
        </w:rPr>
        <w:t>钢筋采用机械连接或焊接连接时，接头试件应从实体中截取，钢筋机械连接接头、焊接接头的力学性能和弯曲性能应符合国家有关标准的规定。机械连接接头还应进行工艺检验</w:t>
      </w:r>
      <w:r>
        <w:rPr>
          <w:rFonts w:hint="eastAsia" w:hAnsi="宋体"/>
          <w:lang w:eastAsia="zh-CN"/>
        </w:rPr>
        <w:t>。</w:t>
      </w:r>
    </w:p>
    <w:p>
      <w:pPr>
        <w:pStyle w:val="242"/>
        <w:ind w:firstLine="420" w:firstLineChars="200"/>
      </w:pPr>
      <w:r>
        <w:rPr>
          <w:rFonts w:hint="eastAsia"/>
        </w:rPr>
        <w:t>检查数量：按《钢筋机械连接技术规程》JGJ 107和《钢筋焊接及验收规程》JGJ 18等标准的规定确定。</w:t>
      </w:r>
    </w:p>
    <w:p>
      <w:pPr>
        <w:pStyle w:val="242"/>
        <w:ind w:firstLine="420" w:firstLineChars="200"/>
      </w:pPr>
      <w:r>
        <w:rPr>
          <w:rFonts w:hint="eastAsia"/>
        </w:rPr>
        <w:t>检验方法：检查质量证明文件和抽样检验报告。</w:t>
      </w:r>
    </w:p>
    <w:p>
      <w:pPr>
        <w:pStyle w:val="167"/>
      </w:pPr>
      <w:r>
        <w:rPr>
          <w:rFonts w:hint="eastAsia" w:ascii="宋体" w:hAnsi="宋体" w:eastAsia="宋体"/>
        </w:rPr>
        <w:t>钢筋采用半灌浆套筒的机械连接时，接头试件应从实体中截取，接头的力学性能应符合国家有关标准的规定</w:t>
      </w:r>
      <w:r>
        <w:rPr>
          <w:rFonts w:hint="eastAsia" w:hAnsi="宋体"/>
          <w:lang w:eastAsia="zh-CN"/>
        </w:rPr>
        <w:t>。</w:t>
      </w:r>
    </w:p>
    <w:p>
      <w:pPr>
        <w:pStyle w:val="242"/>
        <w:ind w:firstLine="420" w:firstLineChars="200"/>
      </w:pPr>
      <w:r>
        <w:rPr>
          <w:rFonts w:hint="eastAsia"/>
        </w:rPr>
        <w:t>检查数量：按《钢筋机械连接技术规程》JGJ 107等标准的规定确定。</w:t>
      </w:r>
    </w:p>
    <w:p>
      <w:pPr>
        <w:pStyle w:val="242"/>
        <w:ind w:firstLine="420" w:firstLineChars="200"/>
      </w:pPr>
      <w:r>
        <w:rPr>
          <w:rFonts w:hint="eastAsia"/>
        </w:rPr>
        <w:t>检验方法：检查质量证明文件和抽样检验报告。</w:t>
      </w:r>
    </w:p>
    <w:p>
      <w:pPr>
        <w:pStyle w:val="167"/>
      </w:pPr>
      <w:r>
        <w:rPr>
          <w:rFonts w:hint="eastAsia" w:ascii="宋体" w:hAnsi="宋体" w:eastAsia="宋体"/>
        </w:rPr>
        <w:t>钢筋采用机械连接时，螺纹接头应检验拧紧扭矩值，挤压接头应量测压痕直径，检验结果应符合《钢筋机械连接技术规程》JGJ 107等标准的相关规定</w:t>
      </w:r>
      <w:r>
        <w:rPr>
          <w:rFonts w:hint="eastAsia" w:hAnsi="宋体"/>
          <w:lang w:eastAsia="zh-CN"/>
        </w:rPr>
        <w:t>。</w:t>
      </w:r>
    </w:p>
    <w:p>
      <w:pPr>
        <w:pStyle w:val="242"/>
        <w:ind w:firstLine="420" w:firstLineChars="200"/>
      </w:pPr>
      <w:r>
        <w:rPr>
          <w:rFonts w:hint="eastAsia"/>
        </w:rPr>
        <w:t>检查数量：按《钢筋机械连接技术规程》JGJ 107等标准的规定确定。</w:t>
      </w:r>
    </w:p>
    <w:p>
      <w:pPr>
        <w:pStyle w:val="242"/>
        <w:ind w:firstLine="420" w:firstLineChars="200"/>
      </w:pPr>
      <w:r>
        <w:rPr>
          <w:rFonts w:hint="eastAsia"/>
        </w:rPr>
        <w:t>检验方法：采用专用扭力扳手或专用量规检查。</w:t>
      </w:r>
    </w:p>
    <w:p>
      <w:pPr>
        <w:pStyle w:val="167"/>
      </w:pPr>
      <w:r>
        <w:rPr>
          <w:rFonts w:ascii="宋体" w:hAnsi="宋体" w:eastAsia="宋体"/>
        </w:rPr>
        <w:t>钢</w:t>
      </w:r>
      <w:r>
        <w:rPr>
          <w:rFonts w:hint="eastAsia" w:ascii="宋体" w:hAnsi="宋体" w:eastAsia="宋体"/>
        </w:rPr>
        <w:t>筋接头的方式、位置、同一截面受力钢筋的接头百分率、钢筋的搭接长度及锚固长度等应符合设计要求或标准规定</w:t>
      </w:r>
      <w:r>
        <w:rPr>
          <w:rFonts w:hint="eastAsia" w:hAnsi="宋体"/>
          <w:lang w:eastAsia="zh-CN"/>
        </w:rPr>
        <w:t>。</w:t>
      </w:r>
    </w:p>
    <w:p>
      <w:pPr>
        <w:pStyle w:val="242"/>
        <w:ind w:firstLine="420" w:firstLineChars="200"/>
      </w:pPr>
      <w:r>
        <w:t>检查数量：全数检查</w:t>
      </w:r>
      <w:r>
        <w:rPr>
          <w:rFonts w:hint="eastAsia"/>
        </w:rPr>
        <w:t>。</w:t>
      </w:r>
    </w:p>
    <w:p>
      <w:pPr>
        <w:pStyle w:val="167"/>
        <w:numPr>
          <w:ilvl w:val="3"/>
          <w:numId w:val="0"/>
        </w:numPr>
        <w:ind w:leftChars="0" w:firstLine="420" w:firstLineChars="200"/>
      </w:pPr>
      <w:r>
        <w:t>检验方法：观察</w:t>
      </w:r>
      <w:r>
        <w:rPr>
          <w:rFonts w:hint="eastAsia"/>
        </w:rPr>
        <w:t>，尺量。</w:t>
      </w:r>
    </w:p>
    <w:p>
      <w:pPr>
        <w:pStyle w:val="167"/>
      </w:pPr>
      <w:r>
        <w:rPr>
          <w:rFonts w:hint="eastAsia" w:ascii="宋体" w:hAnsi="宋体" w:eastAsia="宋体"/>
        </w:rPr>
        <w:t>纵向受力钢筋的数量、规格、安装位置、锚固方式应符合设计要求</w:t>
      </w:r>
      <w:r>
        <w:rPr>
          <w:rFonts w:hint="eastAsia" w:hAnsi="宋体"/>
          <w:lang w:eastAsia="zh-CN"/>
        </w:rPr>
        <w:t>。</w:t>
      </w:r>
    </w:p>
    <w:p>
      <w:pPr>
        <w:pStyle w:val="242"/>
        <w:ind w:firstLine="420" w:firstLineChars="200"/>
      </w:pPr>
      <w:r>
        <w:rPr>
          <w:rFonts w:hint="eastAsia"/>
        </w:rPr>
        <w:t>检查数量：全数检查。</w:t>
      </w:r>
    </w:p>
    <w:p>
      <w:pPr>
        <w:pStyle w:val="242"/>
        <w:ind w:firstLine="420" w:firstLineChars="200"/>
        <w:rPr>
          <w:rFonts w:hint="eastAsia"/>
        </w:rPr>
      </w:pPr>
      <w:r>
        <w:rPr>
          <w:rFonts w:hint="eastAsia"/>
        </w:rPr>
        <w:t>检验方法：观察，尺量。</w:t>
      </w:r>
    </w:p>
    <w:p>
      <w:pPr>
        <w:pStyle w:val="242"/>
        <w:ind w:firstLine="420" w:firstLineChars="200"/>
        <w:jc w:val="center"/>
        <w:rPr>
          <w:rFonts w:hint="eastAsia"/>
        </w:rPr>
      </w:pPr>
      <w:r>
        <w:rPr>
          <w:rFonts w:hint="eastAsia" w:ascii="黑体" w:eastAsia="黑体"/>
          <w:szCs w:val="21"/>
          <w:lang w:val="en-US" w:eastAsia="zh-CN"/>
        </w:rPr>
        <w:t>一般项目</w:t>
      </w:r>
    </w:p>
    <w:p>
      <w:pPr>
        <w:pStyle w:val="167"/>
      </w:pPr>
      <w:r>
        <w:rPr>
          <w:rFonts w:hint="eastAsia" w:ascii="宋体" w:hAnsi="宋体" w:eastAsia="宋体"/>
        </w:rPr>
        <w:t>钢筋调直应采用无延伸功能的机械设备，调直钢筋不应有表面划伤、锤痕、局部弯折，钢筋横肋不应有损伤，调直后钢筋的质量应符合</w:t>
      </w:r>
      <w:r>
        <w:rPr>
          <w:rFonts w:hint="eastAsia" w:ascii="宋体" w:hAnsi="宋体" w:eastAsia="宋体"/>
          <w:lang w:val="en-US" w:eastAsia="zh-CN"/>
        </w:rPr>
        <w:t>表</w:t>
      </w:r>
      <w:r>
        <w:rPr>
          <w:rFonts w:hint="eastAsia" w:ascii="宋体" w:hAnsi="宋体" w:eastAsia="宋体"/>
        </w:rPr>
        <w:t>3规定</w:t>
      </w:r>
      <w:r>
        <w:rPr>
          <w:rFonts w:hint="eastAsia" w:hAnsi="宋体"/>
          <w:lang w:eastAsia="zh-CN"/>
        </w:rPr>
        <w:t>：</w:t>
      </w:r>
    </w:p>
    <w:p>
      <w:pPr>
        <w:pStyle w:val="242"/>
        <w:jc w:val="center"/>
      </w:pPr>
      <w:r>
        <w:rPr>
          <w:rFonts w:hint="eastAsia"/>
        </w:rPr>
        <w:t>表3钢筋调直后的质量要求</w:t>
      </w:r>
    </w:p>
    <w:tbl>
      <w:tblPr>
        <w:tblStyle w:val="27"/>
        <w:tblW w:w="608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692"/>
        <w:gridCol w:w="33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2692" w:type="dxa"/>
            <w:noWrap w:val="0"/>
            <w:vAlign w:val="center"/>
          </w:tcPr>
          <w:p>
            <w:pPr>
              <w:jc w:val="center"/>
            </w:pPr>
            <w:r>
              <w:rPr>
                <w:rFonts w:hint="eastAsia"/>
              </w:rPr>
              <w:t>检验项目</w:t>
            </w:r>
          </w:p>
        </w:tc>
        <w:tc>
          <w:tcPr>
            <w:tcW w:w="3394" w:type="dxa"/>
            <w:noWrap w:val="0"/>
            <w:vAlign w:val="center"/>
          </w:tcPr>
          <w:p>
            <w:pPr>
              <w:jc w:val="center"/>
            </w:pPr>
            <w:r>
              <w:rPr>
                <w:rFonts w:hint="eastAsia"/>
              </w:rPr>
              <w:t>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2692" w:type="dxa"/>
            <w:noWrap w:val="0"/>
            <w:vAlign w:val="center"/>
          </w:tcPr>
          <w:p>
            <w:pPr>
              <w:jc w:val="center"/>
            </w:pPr>
            <w:r>
              <w:rPr>
                <w:rFonts w:hint="eastAsia"/>
              </w:rPr>
              <w:t>表面划伤、锤痕</w:t>
            </w:r>
          </w:p>
        </w:tc>
        <w:tc>
          <w:tcPr>
            <w:tcW w:w="3394"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2692" w:type="dxa"/>
            <w:noWrap w:val="0"/>
            <w:vAlign w:val="center"/>
          </w:tcPr>
          <w:p>
            <w:pPr>
              <w:jc w:val="center"/>
            </w:pPr>
            <w:r>
              <w:rPr>
                <w:rFonts w:hint="eastAsia"/>
              </w:rPr>
              <w:t>钢筋横肋损伤</w:t>
            </w:r>
          </w:p>
        </w:tc>
        <w:tc>
          <w:tcPr>
            <w:tcW w:w="3394" w:type="dxa"/>
            <w:noWrap w:val="0"/>
            <w:vAlign w:val="center"/>
          </w:tcPr>
          <w:p>
            <w:pPr>
              <w:jc w:val="center"/>
            </w:pPr>
            <w:r>
              <w:rPr>
                <w:rFonts w:hint="eastAsia"/>
              </w:rPr>
              <w:t>不应有</w:t>
            </w:r>
          </w:p>
        </w:tc>
      </w:tr>
    </w:tbl>
    <w:p>
      <w:pPr>
        <w:pStyle w:val="242"/>
        <w:ind w:firstLine="420" w:firstLineChars="200"/>
      </w:pPr>
      <w:r>
        <w:rPr>
          <w:rFonts w:hint="eastAsia"/>
        </w:rPr>
        <w:t>检查数量：每工作班随机抽取</w:t>
      </w:r>
      <w:r>
        <w:t>3</w:t>
      </w:r>
      <w:r>
        <w:rPr>
          <w:rFonts w:hint="eastAsia"/>
        </w:rPr>
        <w:t>个试件。</w:t>
      </w:r>
    </w:p>
    <w:p>
      <w:pPr>
        <w:pStyle w:val="242"/>
        <w:ind w:firstLine="420" w:firstLineChars="200"/>
      </w:pPr>
      <w:r>
        <w:rPr>
          <w:rFonts w:hint="eastAsia"/>
        </w:rPr>
        <w:t>检验方法：</w:t>
      </w:r>
      <w:r>
        <w:t>观察</w:t>
      </w:r>
      <w:r>
        <w:rPr>
          <w:rFonts w:hint="eastAsia"/>
        </w:rPr>
        <w:t>、尺量。</w:t>
      </w:r>
    </w:p>
    <w:p>
      <w:pPr>
        <w:pStyle w:val="167"/>
      </w:pPr>
      <w:r>
        <w:rPr>
          <w:rFonts w:hint="eastAsia" w:ascii="宋体" w:hAnsi="宋体" w:eastAsia="宋体"/>
        </w:rPr>
        <w:t>钢筋切断应符合下列规定</w:t>
      </w:r>
      <w:r>
        <w:rPr>
          <w:rFonts w:hint="eastAsia" w:hAnsi="宋体"/>
          <w:lang w:eastAsia="zh-CN"/>
        </w:rPr>
        <w:t>：</w:t>
      </w:r>
    </w:p>
    <w:p>
      <w:pPr>
        <w:pStyle w:val="176"/>
        <w:numPr>
          <w:ilvl w:val="0"/>
          <w:numId w:val="38"/>
        </w:numPr>
      </w:pPr>
      <w:r>
        <w:rPr>
          <w:rFonts w:hint="eastAsia"/>
        </w:rPr>
        <w:t>钢筋切断应采用无齿锯或切断机，不得采用电弧切割；</w:t>
      </w:r>
    </w:p>
    <w:p>
      <w:pPr>
        <w:pStyle w:val="176"/>
        <w:numPr>
          <w:ilvl w:val="0"/>
          <w:numId w:val="38"/>
        </w:numPr>
      </w:pPr>
      <w:r>
        <w:rPr>
          <w:rFonts w:hint="eastAsia"/>
        </w:rPr>
        <w:t>切断后的钢筋外观质量和尺寸允许偏差应符合表</w:t>
      </w:r>
      <w:r>
        <w:rPr>
          <w:rFonts w:hint="eastAsia"/>
          <w:color w:val="auto"/>
        </w:rPr>
        <w:t>4</w:t>
      </w:r>
      <w:r>
        <w:rPr>
          <w:rFonts w:hint="eastAsia"/>
        </w:rPr>
        <w:t>规定</w:t>
      </w:r>
      <w:r>
        <w:rPr>
          <w:rFonts w:hint="eastAsia"/>
          <w:lang w:eastAsia="zh-CN"/>
        </w:rPr>
        <w:t>。</w:t>
      </w:r>
    </w:p>
    <w:p>
      <w:pPr>
        <w:pStyle w:val="242"/>
        <w:jc w:val="center"/>
      </w:pPr>
      <w:r>
        <w:rPr>
          <w:rFonts w:hint="eastAsia"/>
        </w:rPr>
        <w:t>表4切断后的钢筋外观质量和尺寸允许偏差</w:t>
      </w:r>
    </w:p>
    <w:tbl>
      <w:tblPr>
        <w:tblStyle w:val="27"/>
        <w:tblW w:w="601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857"/>
        <w:gridCol w:w="315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857" w:type="dxa"/>
            <w:noWrap w:val="0"/>
            <w:vAlign w:val="center"/>
          </w:tcPr>
          <w:p>
            <w:pPr>
              <w:jc w:val="center"/>
            </w:pPr>
            <w:r>
              <w:rPr>
                <w:rFonts w:hint="eastAsia"/>
              </w:rPr>
              <w:t>检验项目</w:t>
            </w:r>
          </w:p>
        </w:tc>
        <w:tc>
          <w:tcPr>
            <w:tcW w:w="3155" w:type="dxa"/>
            <w:noWrap w:val="0"/>
            <w:vAlign w:val="center"/>
          </w:tcPr>
          <w:p>
            <w:pPr>
              <w:jc w:val="center"/>
            </w:pPr>
            <w:r>
              <w:rPr>
                <w:rFonts w:hint="eastAsia"/>
              </w:rPr>
              <w:t>质量要求</w:t>
            </w:r>
            <w:r>
              <w:t>/</w:t>
            </w:r>
            <w:r>
              <w:rPr>
                <w:rFonts w:hint="eastAsia"/>
              </w:rPr>
              <w:t>允许偏差（</w:t>
            </w:r>
            <w:r>
              <w:t>mm</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857" w:type="dxa"/>
            <w:noWrap w:val="0"/>
            <w:vAlign w:val="center"/>
          </w:tcPr>
          <w:p>
            <w:pPr>
              <w:jc w:val="center"/>
            </w:pPr>
            <w:r>
              <w:rPr>
                <w:rFonts w:hint="eastAsia"/>
              </w:rPr>
              <w:t>马蹄形断口</w:t>
            </w:r>
          </w:p>
        </w:tc>
        <w:tc>
          <w:tcPr>
            <w:tcW w:w="3155"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2857" w:type="dxa"/>
            <w:noWrap w:val="0"/>
            <w:vAlign w:val="center"/>
          </w:tcPr>
          <w:p>
            <w:pPr>
              <w:jc w:val="center"/>
            </w:pPr>
            <w:r>
              <w:rPr>
                <w:rFonts w:hint="eastAsia"/>
              </w:rPr>
              <w:t>长度</w:t>
            </w:r>
          </w:p>
        </w:tc>
        <w:tc>
          <w:tcPr>
            <w:tcW w:w="3155" w:type="dxa"/>
            <w:noWrap w:val="0"/>
            <w:vAlign w:val="center"/>
          </w:tcPr>
          <w:p>
            <w:pPr>
              <w:jc w:val="center"/>
              <w:rPr>
                <w:highlight w:val="yellow"/>
              </w:rPr>
            </w:pPr>
            <w:r>
              <w:rPr>
                <w:rFonts w:hint="eastAsia"/>
              </w:rPr>
              <w:t>±5</w:t>
            </w:r>
          </w:p>
        </w:tc>
      </w:tr>
    </w:tbl>
    <w:p>
      <w:pPr>
        <w:pStyle w:val="242"/>
        <w:ind w:firstLine="420" w:firstLineChars="200"/>
      </w:pPr>
      <w:r>
        <w:rPr>
          <w:rFonts w:hint="eastAsia"/>
        </w:rPr>
        <w:t>检查数量：每个工作班随机抽取</w:t>
      </w:r>
      <w:r>
        <w:t>3</w:t>
      </w:r>
      <w:r>
        <w:rPr>
          <w:rFonts w:hint="eastAsia"/>
        </w:rPr>
        <w:t>个试件。</w:t>
      </w:r>
    </w:p>
    <w:p>
      <w:pPr>
        <w:pStyle w:val="242"/>
        <w:ind w:firstLine="420" w:firstLineChars="200"/>
      </w:pPr>
      <w:r>
        <w:rPr>
          <w:rFonts w:hint="eastAsia"/>
        </w:rPr>
        <w:t>检验方法：观察，尺量。</w:t>
      </w:r>
    </w:p>
    <w:p>
      <w:pPr>
        <w:pStyle w:val="167"/>
      </w:pPr>
      <w:r>
        <w:rPr>
          <w:rFonts w:hint="eastAsia" w:ascii="宋体" w:hAnsi="宋体" w:eastAsia="宋体"/>
        </w:rPr>
        <w:t>弯曲后钢筋外观质量和尺寸允许偏差应符合表5的规定。</w:t>
      </w:r>
    </w:p>
    <w:p>
      <w:pPr>
        <w:pStyle w:val="242"/>
        <w:jc w:val="center"/>
      </w:pPr>
      <w:r>
        <w:rPr>
          <w:rFonts w:hint="eastAsia"/>
        </w:rPr>
        <w:t>表5弯曲后钢筋外观质量和尺寸允许偏差</w:t>
      </w:r>
    </w:p>
    <w:tbl>
      <w:tblPr>
        <w:tblStyle w:val="27"/>
        <w:tblW w:w="752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2485"/>
        <w:gridCol w:w="1728"/>
        <w:gridCol w:w="172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4065" w:type="dxa"/>
            <w:gridSpan w:val="2"/>
            <w:noWrap w:val="0"/>
            <w:vAlign w:val="center"/>
          </w:tcPr>
          <w:p>
            <w:pPr>
              <w:jc w:val="center"/>
            </w:pPr>
            <w:r>
              <w:rPr>
                <w:rFonts w:hint="eastAsia"/>
              </w:rPr>
              <w:t>检验项目</w:t>
            </w:r>
          </w:p>
        </w:tc>
        <w:tc>
          <w:tcPr>
            <w:tcW w:w="1728" w:type="dxa"/>
            <w:noWrap w:val="0"/>
            <w:vAlign w:val="center"/>
          </w:tcPr>
          <w:p>
            <w:pPr>
              <w:jc w:val="center"/>
            </w:pPr>
            <w:r>
              <w:rPr>
                <w:rFonts w:hint="eastAsia"/>
              </w:rPr>
              <w:t>外观质量</w:t>
            </w:r>
          </w:p>
        </w:tc>
        <w:tc>
          <w:tcPr>
            <w:tcW w:w="1728" w:type="dxa"/>
            <w:noWrap w:val="0"/>
            <w:vAlign w:val="center"/>
          </w:tcPr>
          <w:p>
            <w:pPr>
              <w:jc w:val="center"/>
            </w:pPr>
            <w:r>
              <w:rPr>
                <w:rFonts w:hint="eastAsia"/>
              </w:rPr>
              <w:t>质量要求/允许偏差（</w:t>
            </w:r>
            <w:r>
              <w:t>mm</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580" w:type="dxa"/>
            <w:noWrap w:val="0"/>
            <w:vAlign w:val="center"/>
          </w:tcPr>
          <w:p>
            <w:pPr>
              <w:jc w:val="center"/>
            </w:pPr>
            <w:r>
              <w:rPr>
                <w:rFonts w:hint="eastAsia"/>
              </w:rPr>
              <w:t>箍筋</w:t>
            </w:r>
          </w:p>
        </w:tc>
        <w:tc>
          <w:tcPr>
            <w:tcW w:w="2485" w:type="dxa"/>
            <w:noWrap w:val="0"/>
            <w:vAlign w:val="center"/>
          </w:tcPr>
          <w:p>
            <w:pPr>
              <w:jc w:val="center"/>
            </w:pPr>
            <w:r>
              <w:rPr>
                <w:rFonts w:hint="eastAsia"/>
              </w:rPr>
              <w:t>内径尺寸</w:t>
            </w:r>
          </w:p>
        </w:tc>
        <w:tc>
          <w:tcPr>
            <w:tcW w:w="1728" w:type="dxa"/>
            <w:vMerge w:val="restart"/>
            <w:noWrap w:val="0"/>
            <w:vAlign w:val="center"/>
          </w:tcPr>
          <w:p>
            <w:pPr>
              <w:jc w:val="center"/>
            </w:pPr>
            <w:r>
              <w:rPr>
                <w:rFonts w:hint="eastAsia"/>
              </w:rPr>
              <w:t>弯曲部位不应有裂纹</w:t>
            </w:r>
          </w:p>
        </w:tc>
        <w:tc>
          <w:tcPr>
            <w:tcW w:w="1728" w:type="dxa"/>
            <w:noWrap w:val="0"/>
            <w:vAlign w:val="center"/>
          </w:tcPr>
          <w:p>
            <w:pPr>
              <w:jc w:val="center"/>
            </w:pPr>
            <w:r>
              <w:rPr>
                <w:rFonts w:hint="eastAsia"/>
              </w:rPr>
              <w:t>±</w:t>
            </w:r>
            <w: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580" w:type="dxa"/>
            <w:vMerge w:val="restart"/>
            <w:noWrap w:val="0"/>
            <w:vAlign w:val="center"/>
          </w:tcPr>
          <w:p>
            <w:pPr>
              <w:jc w:val="center"/>
            </w:pPr>
            <w:r>
              <w:rPr>
                <w:rFonts w:hint="eastAsia"/>
              </w:rPr>
              <w:t>其他钢筋</w:t>
            </w:r>
          </w:p>
        </w:tc>
        <w:tc>
          <w:tcPr>
            <w:tcW w:w="2485" w:type="dxa"/>
            <w:noWrap w:val="0"/>
            <w:vAlign w:val="center"/>
          </w:tcPr>
          <w:p>
            <w:pPr>
              <w:jc w:val="center"/>
            </w:pPr>
            <w:r>
              <w:rPr>
                <w:rFonts w:hint="eastAsia"/>
              </w:rPr>
              <w:t>长度</w:t>
            </w:r>
          </w:p>
        </w:tc>
        <w:tc>
          <w:tcPr>
            <w:tcW w:w="1728" w:type="dxa"/>
            <w:vMerge w:val="continue"/>
            <w:noWrap w:val="0"/>
            <w:vAlign w:val="center"/>
          </w:tcPr>
          <w:p>
            <w:pPr>
              <w:jc w:val="center"/>
            </w:pPr>
          </w:p>
        </w:tc>
        <w:tc>
          <w:tcPr>
            <w:tcW w:w="1728" w:type="dxa"/>
            <w:noWrap w:val="0"/>
            <w:vAlign w:val="center"/>
          </w:tcPr>
          <w:p>
            <w:pPr>
              <w:jc w:val="center"/>
            </w:pPr>
            <w:r>
              <w:t>0</w:t>
            </w:r>
            <w:r>
              <w:rPr>
                <w:rFonts w:hint="eastAsia"/>
              </w:rPr>
              <w:t>，-</w:t>
            </w: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580" w:type="dxa"/>
            <w:vMerge w:val="continue"/>
            <w:noWrap w:val="0"/>
            <w:vAlign w:val="center"/>
          </w:tcPr>
          <w:p>
            <w:pPr>
              <w:jc w:val="center"/>
            </w:pPr>
          </w:p>
        </w:tc>
        <w:tc>
          <w:tcPr>
            <w:tcW w:w="2485" w:type="dxa"/>
            <w:noWrap w:val="0"/>
            <w:vAlign w:val="center"/>
          </w:tcPr>
          <w:p>
            <w:pPr>
              <w:jc w:val="center"/>
            </w:pPr>
            <w:r>
              <w:rPr>
                <w:rFonts w:hint="eastAsia"/>
              </w:rPr>
              <w:t>弓铁高度</w:t>
            </w:r>
          </w:p>
        </w:tc>
        <w:tc>
          <w:tcPr>
            <w:tcW w:w="1728" w:type="dxa"/>
            <w:vMerge w:val="continue"/>
            <w:noWrap w:val="0"/>
            <w:vAlign w:val="center"/>
          </w:tcPr>
          <w:p>
            <w:pPr>
              <w:jc w:val="center"/>
            </w:pPr>
          </w:p>
        </w:tc>
        <w:tc>
          <w:tcPr>
            <w:tcW w:w="1728" w:type="dxa"/>
            <w:noWrap w:val="0"/>
            <w:vAlign w:val="center"/>
          </w:tcPr>
          <w:p>
            <w:pPr>
              <w:jc w:val="center"/>
            </w:pPr>
            <w:r>
              <w:t>0</w:t>
            </w:r>
            <w:r>
              <w:rPr>
                <w:rFonts w:hint="eastAsia"/>
              </w:rPr>
              <w:t>，-</w:t>
            </w:r>
            <w: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14" w:hRule="atLeast"/>
          <w:jc w:val="center"/>
        </w:trPr>
        <w:tc>
          <w:tcPr>
            <w:tcW w:w="1580" w:type="dxa"/>
            <w:vMerge w:val="continue"/>
            <w:noWrap w:val="0"/>
            <w:vAlign w:val="center"/>
          </w:tcPr>
          <w:p>
            <w:pPr>
              <w:jc w:val="center"/>
            </w:pPr>
          </w:p>
        </w:tc>
        <w:tc>
          <w:tcPr>
            <w:tcW w:w="2485" w:type="dxa"/>
            <w:noWrap w:val="0"/>
            <w:vAlign w:val="center"/>
          </w:tcPr>
          <w:p>
            <w:pPr>
              <w:jc w:val="center"/>
            </w:pPr>
            <w:r>
              <w:rPr>
                <w:rFonts w:hint="eastAsia"/>
              </w:rPr>
              <w:t>对焊焊口与起弯点距离</w:t>
            </w:r>
          </w:p>
        </w:tc>
        <w:tc>
          <w:tcPr>
            <w:tcW w:w="1728" w:type="dxa"/>
            <w:vMerge w:val="continue"/>
            <w:noWrap w:val="0"/>
            <w:vAlign w:val="center"/>
          </w:tcPr>
          <w:p>
            <w:pPr>
              <w:jc w:val="center"/>
            </w:pPr>
          </w:p>
        </w:tc>
        <w:tc>
          <w:tcPr>
            <w:tcW w:w="1728" w:type="dxa"/>
            <w:noWrap w:val="0"/>
            <w:vAlign w:val="center"/>
          </w:tcPr>
          <w:p>
            <w:pPr>
              <w:jc w:val="center"/>
            </w:pPr>
            <w:r>
              <w:rPr>
                <w:rFonts w:hint="eastAsia"/>
              </w:rPr>
              <w:t>＞</w:t>
            </w:r>
            <w:r>
              <w:t>10d</w:t>
            </w:r>
          </w:p>
        </w:tc>
      </w:tr>
    </w:tbl>
    <w:p>
      <w:pPr>
        <w:pStyle w:val="242"/>
        <w:ind w:firstLine="420" w:firstLineChars="200"/>
      </w:pPr>
      <w:bookmarkStart w:id="70" w:name="_Toc14604"/>
      <w:bookmarkStart w:id="71" w:name="_Toc6215"/>
      <w:r>
        <w:rPr>
          <w:rFonts w:hint="eastAsia"/>
        </w:rPr>
        <w:t>检查数量：每工作班每个检验项目随机抽取</w:t>
      </w:r>
      <w:r>
        <w:t>3</w:t>
      </w:r>
      <w:r>
        <w:rPr>
          <w:rFonts w:hint="eastAsia"/>
        </w:rPr>
        <w:t>个试件</w:t>
      </w:r>
      <w:bookmarkEnd w:id="70"/>
      <w:bookmarkEnd w:id="71"/>
      <w:r>
        <w:rPr>
          <w:rFonts w:hint="eastAsia"/>
        </w:rPr>
        <w:t>。</w:t>
      </w:r>
    </w:p>
    <w:p>
      <w:pPr>
        <w:pStyle w:val="242"/>
        <w:ind w:firstLine="420" w:firstLineChars="200"/>
      </w:pPr>
      <w:bookmarkStart w:id="72" w:name="_Toc29244"/>
      <w:bookmarkStart w:id="73" w:name="_Toc30177"/>
      <w:r>
        <w:rPr>
          <w:rFonts w:hint="eastAsia"/>
        </w:rPr>
        <w:t>检验方法：目测，尺量</w:t>
      </w:r>
      <w:bookmarkEnd w:id="72"/>
      <w:bookmarkEnd w:id="73"/>
      <w:r>
        <w:rPr>
          <w:rFonts w:hint="eastAsia"/>
        </w:rPr>
        <w:t>。</w:t>
      </w:r>
    </w:p>
    <w:p>
      <w:pPr>
        <w:pStyle w:val="167"/>
      </w:pPr>
      <w:r>
        <w:rPr>
          <w:rFonts w:hint="eastAsia" w:ascii="宋体" w:hAnsi="宋体" w:eastAsia="宋体"/>
        </w:rPr>
        <w:t>钢筋加工应满足设计要求和相关标准规范的要求，其偏差应符合下表6的规定</w:t>
      </w:r>
      <w:r>
        <w:rPr>
          <w:rFonts w:hint="eastAsia" w:hAnsi="宋体"/>
          <w:lang w:eastAsia="zh-CN"/>
        </w:rPr>
        <w:t>。</w:t>
      </w:r>
    </w:p>
    <w:p>
      <w:pPr>
        <w:pStyle w:val="242"/>
        <w:jc w:val="center"/>
      </w:pPr>
      <w:r>
        <w:rPr>
          <w:rFonts w:hint="eastAsia"/>
        </w:rPr>
        <w:t>表6钢筋尺寸允许偏差</w:t>
      </w:r>
    </w:p>
    <w:tbl>
      <w:tblPr>
        <w:tblStyle w:val="27"/>
        <w:tblW w:w="64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877"/>
        <w:gridCol w:w="25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877" w:type="dxa"/>
            <w:noWrap w:val="0"/>
            <w:vAlign w:val="center"/>
          </w:tcPr>
          <w:p>
            <w:pPr>
              <w:jc w:val="center"/>
            </w:pPr>
            <w:r>
              <w:rPr>
                <w:rFonts w:hint="eastAsia"/>
              </w:rPr>
              <w:t>检验项目</w:t>
            </w:r>
          </w:p>
        </w:tc>
        <w:tc>
          <w:tcPr>
            <w:tcW w:w="2564" w:type="dxa"/>
            <w:noWrap w:val="0"/>
            <w:vAlign w:val="center"/>
          </w:tcPr>
          <w:p>
            <w:pPr>
              <w:jc w:val="center"/>
            </w:pPr>
            <w:r>
              <w:rPr>
                <w:rFonts w:hint="eastAsia"/>
              </w:rPr>
              <w:t>允许偏差（</w:t>
            </w:r>
            <w:r>
              <w:t>mm</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3877" w:type="dxa"/>
            <w:noWrap w:val="0"/>
            <w:vAlign w:val="center"/>
          </w:tcPr>
          <w:p>
            <w:pPr>
              <w:jc w:val="center"/>
            </w:pPr>
            <w:r>
              <w:rPr>
                <w:rFonts w:hint="eastAsia"/>
              </w:rPr>
              <w:t>钢筋沿长度方向的净尺寸</w:t>
            </w:r>
          </w:p>
        </w:tc>
        <w:tc>
          <w:tcPr>
            <w:tcW w:w="2564" w:type="dxa"/>
            <w:noWrap w:val="0"/>
            <w:vAlign w:val="center"/>
          </w:tcPr>
          <w:p>
            <w:pPr>
              <w:jc w:val="center"/>
            </w:pPr>
            <w:r>
              <w:rPr>
                <w:rFonts w:hint="eastAsia"/>
              </w:rPr>
              <w:t>±</w:t>
            </w:r>
            <w:r>
              <w:t>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3877" w:type="dxa"/>
            <w:noWrap w:val="0"/>
            <w:vAlign w:val="center"/>
          </w:tcPr>
          <w:p>
            <w:pPr>
              <w:jc w:val="center"/>
            </w:pPr>
            <w:r>
              <w:rPr>
                <w:rFonts w:hint="eastAsia"/>
              </w:rPr>
              <w:t>弯起钢筋的弯折位置</w:t>
            </w:r>
          </w:p>
        </w:tc>
        <w:tc>
          <w:tcPr>
            <w:tcW w:w="2564" w:type="dxa"/>
            <w:noWrap w:val="0"/>
            <w:vAlign w:val="center"/>
          </w:tcPr>
          <w:p>
            <w:pPr>
              <w:jc w:val="center"/>
            </w:pPr>
            <w:r>
              <w:rPr>
                <w:rFonts w:hint="eastAsia"/>
              </w:rPr>
              <w:t>±</w:t>
            </w:r>
            <w: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877" w:type="dxa"/>
            <w:noWrap w:val="0"/>
            <w:vAlign w:val="center"/>
          </w:tcPr>
          <w:p>
            <w:pPr>
              <w:jc w:val="center"/>
            </w:pPr>
            <w:r>
              <w:rPr>
                <w:rFonts w:hint="eastAsia"/>
              </w:rPr>
              <w:t>箍筋外廓尺寸</w:t>
            </w:r>
          </w:p>
        </w:tc>
        <w:tc>
          <w:tcPr>
            <w:tcW w:w="2564" w:type="dxa"/>
            <w:noWrap w:val="0"/>
            <w:vAlign w:val="center"/>
          </w:tcPr>
          <w:p>
            <w:pPr>
              <w:jc w:val="center"/>
            </w:pPr>
            <w:r>
              <w:rPr>
                <w:rFonts w:hint="eastAsia"/>
              </w:rPr>
              <w:t>±</w:t>
            </w:r>
            <w:r>
              <w:t>5</w:t>
            </w:r>
          </w:p>
        </w:tc>
      </w:tr>
    </w:tbl>
    <w:p>
      <w:pPr>
        <w:pStyle w:val="242"/>
        <w:ind w:firstLine="420" w:firstLineChars="200"/>
      </w:pPr>
      <w:r>
        <w:rPr>
          <w:rFonts w:hint="eastAsia"/>
        </w:rPr>
        <w:t>检查数量：同一设备加工的同一类型钢筋，每工作班随机抽取不少于</w:t>
      </w:r>
      <w:r>
        <w:t>3</w:t>
      </w:r>
      <w:r>
        <w:rPr>
          <w:rFonts w:hint="eastAsia"/>
        </w:rPr>
        <w:t>件。</w:t>
      </w:r>
    </w:p>
    <w:p>
      <w:pPr>
        <w:pStyle w:val="242"/>
        <w:ind w:firstLine="420" w:firstLineChars="200"/>
      </w:pPr>
      <w:r>
        <w:rPr>
          <w:rFonts w:hint="eastAsia"/>
        </w:rPr>
        <w:t>检验方法：尺量。</w:t>
      </w:r>
    </w:p>
    <w:p>
      <w:pPr>
        <w:pStyle w:val="167"/>
      </w:pPr>
      <w:r>
        <w:rPr>
          <w:rFonts w:hint="eastAsia" w:ascii="宋体" w:hAnsi="宋体" w:eastAsia="宋体"/>
        </w:rPr>
        <w:t>钢筋半成品的外观质量要求应符合表7的规定</w:t>
      </w:r>
      <w:r>
        <w:rPr>
          <w:rFonts w:hint="eastAsia" w:hAnsi="宋体"/>
          <w:lang w:eastAsia="zh-CN"/>
        </w:rPr>
        <w:t>。</w:t>
      </w:r>
    </w:p>
    <w:p>
      <w:pPr>
        <w:pStyle w:val="242"/>
        <w:jc w:val="center"/>
      </w:pPr>
      <w:r>
        <w:rPr>
          <w:rFonts w:hint="eastAsia"/>
        </w:rPr>
        <w:t>表7钢筋半成品外观质量要求</w:t>
      </w:r>
    </w:p>
    <w:tbl>
      <w:tblPr>
        <w:tblStyle w:val="27"/>
        <w:tblW w:w="79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2106"/>
        <w:gridCol w:w="1701"/>
        <w:gridCol w:w="28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noWrap w:val="0"/>
            <w:vAlign w:val="center"/>
          </w:tcPr>
          <w:p>
            <w:pPr>
              <w:jc w:val="center"/>
            </w:pPr>
            <w:r>
              <w:rPr>
                <w:rFonts w:hint="eastAsia"/>
              </w:rPr>
              <w:t>工序名称</w:t>
            </w:r>
          </w:p>
        </w:tc>
        <w:tc>
          <w:tcPr>
            <w:tcW w:w="3807" w:type="dxa"/>
            <w:gridSpan w:val="2"/>
            <w:noWrap w:val="0"/>
            <w:vAlign w:val="center"/>
          </w:tcPr>
          <w:p>
            <w:pPr>
              <w:jc w:val="center"/>
            </w:pPr>
            <w:r>
              <w:rPr>
                <w:rFonts w:hint="eastAsia"/>
              </w:rPr>
              <w:t>检验项目</w:t>
            </w:r>
          </w:p>
        </w:tc>
        <w:tc>
          <w:tcPr>
            <w:tcW w:w="2835" w:type="dxa"/>
            <w:noWrap w:val="0"/>
            <w:vAlign w:val="center"/>
          </w:tcPr>
          <w:p>
            <w:pPr>
              <w:jc w:val="center"/>
            </w:pPr>
            <w:r>
              <w:rPr>
                <w:rFonts w:hint="eastAsia"/>
              </w:rPr>
              <w:t>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pPr>
              <w:jc w:val="center"/>
            </w:pPr>
            <w:r>
              <w:rPr>
                <w:rFonts w:hint="eastAsia"/>
              </w:rPr>
              <w:t>弯曲</w:t>
            </w:r>
          </w:p>
        </w:tc>
        <w:tc>
          <w:tcPr>
            <w:tcW w:w="3807" w:type="dxa"/>
            <w:gridSpan w:val="2"/>
            <w:noWrap w:val="0"/>
            <w:vAlign w:val="center"/>
          </w:tcPr>
          <w:p>
            <w:pPr>
              <w:jc w:val="center"/>
            </w:pPr>
            <w:r>
              <w:rPr>
                <w:rFonts w:hint="eastAsia"/>
              </w:rPr>
              <w:t>弯曲部位裂纹</w:t>
            </w:r>
          </w:p>
        </w:tc>
        <w:tc>
          <w:tcPr>
            <w:tcW w:w="2835"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noWrap w:val="0"/>
            <w:vAlign w:val="center"/>
          </w:tcPr>
          <w:p>
            <w:pPr>
              <w:jc w:val="center"/>
            </w:pPr>
            <w:r>
              <w:rPr>
                <w:rFonts w:hint="eastAsia"/>
              </w:rPr>
              <w:t>点焊</w:t>
            </w:r>
          </w:p>
        </w:tc>
        <w:tc>
          <w:tcPr>
            <w:tcW w:w="2106" w:type="dxa"/>
            <w:vMerge w:val="restart"/>
            <w:noWrap w:val="0"/>
            <w:vAlign w:val="center"/>
          </w:tcPr>
          <w:p>
            <w:pPr>
              <w:jc w:val="center"/>
            </w:pPr>
            <w:r>
              <w:rPr>
                <w:rFonts w:hint="eastAsia"/>
              </w:rPr>
              <w:t>脱点、漏点</w:t>
            </w:r>
          </w:p>
        </w:tc>
        <w:tc>
          <w:tcPr>
            <w:tcW w:w="1701" w:type="dxa"/>
            <w:noWrap w:val="0"/>
            <w:vAlign w:val="center"/>
          </w:tcPr>
          <w:p>
            <w:pPr>
              <w:jc w:val="center"/>
            </w:pPr>
            <w:r>
              <w:rPr>
                <w:rFonts w:hint="eastAsia"/>
              </w:rPr>
              <w:t>周边两行</w:t>
            </w:r>
          </w:p>
        </w:tc>
        <w:tc>
          <w:tcPr>
            <w:tcW w:w="2835"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noWrap w:val="0"/>
            <w:vAlign w:val="center"/>
          </w:tcPr>
          <w:p>
            <w:pPr>
              <w:jc w:val="center"/>
            </w:pPr>
          </w:p>
        </w:tc>
        <w:tc>
          <w:tcPr>
            <w:tcW w:w="2106" w:type="dxa"/>
            <w:vMerge w:val="continue"/>
            <w:noWrap w:val="0"/>
            <w:vAlign w:val="center"/>
          </w:tcPr>
          <w:p>
            <w:pPr>
              <w:jc w:val="center"/>
            </w:pPr>
          </w:p>
        </w:tc>
        <w:tc>
          <w:tcPr>
            <w:tcW w:w="1701" w:type="dxa"/>
            <w:noWrap w:val="0"/>
            <w:vAlign w:val="center"/>
          </w:tcPr>
          <w:p>
            <w:pPr>
              <w:jc w:val="center"/>
            </w:pPr>
            <w:r>
              <w:rPr>
                <w:rFonts w:hint="eastAsia"/>
              </w:rPr>
              <w:t>中间部位</w:t>
            </w:r>
          </w:p>
        </w:tc>
        <w:tc>
          <w:tcPr>
            <w:tcW w:w="2835" w:type="dxa"/>
            <w:noWrap w:val="0"/>
            <w:vAlign w:val="center"/>
          </w:tcPr>
          <w:p>
            <w:pPr>
              <w:jc w:val="center"/>
            </w:pPr>
            <w:r>
              <w:rPr>
                <w:rFonts w:hint="eastAsia"/>
              </w:rPr>
              <w:t>不应有相邻两点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noWrap w:val="0"/>
            <w:vAlign w:val="center"/>
          </w:tcPr>
          <w:p>
            <w:pPr>
              <w:jc w:val="center"/>
            </w:pPr>
          </w:p>
        </w:tc>
        <w:tc>
          <w:tcPr>
            <w:tcW w:w="3807" w:type="dxa"/>
            <w:gridSpan w:val="2"/>
            <w:noWrap w:val="0"/>
            <w:vAlign w:val="center"/>
          </w:tcPr>
          <w:p>
            <w:pPr>
              <w:jc w:val="center"/>
            </w:pPr>
            <w:r>
              <w:rPr>
                <w:rFonts w:hint="eastAsia"/>
              </w:rPr>
              <w:t>错点伤筋、起弧蚀损</w:t>
            </w:r>
          </w:p>
        </w:tc>
        <w:tc>
          <w:tcPr>
            <w:tcW w:w="2835"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pPr>
              <w:jc w:val="center"/>
            </w:pPr>
            <w:r>
              <w:rPr>
                <w:rFonts w:hint="eastAsia"/>
              </w:rPr>
              <w:t>对焊</w:t>
            </w:r>
          </w:p>
        </w:tc>
        <w:tc>
          <w:tcPr>
            <w:tcW w:w="3807" w:type="dxa"/>
            <w:gridSpan w:val="2"/>
            <w:noWrap w:val="0"/>
            <w:vAlign w:val="center"/>
          </w:tcPr>
          <w:p>
            <w:pPr>
              <w:jc w:val="center"/>
            </w:pPr>
            <w:r>
              <w:rPr>
                <w:rFonts w:hint="eastAsia"/>
              </w:rPr>
              <w:t>接头处表面裂纹、卡具部位钢筋烧伤</w:t>
            </w:r>
          </w:p>
        </w:tc>
        <w:tc>
          <w:tcPr>
            <w:tcW w:w="2835" w:type="dxa"/>
            <w:noWrap w:val="0"/>
            <w:vAlign w:val="center"/>
          </w:tcPr>
          <w:p>
            <w:pPr>
              <w:jc w:val="center"/>
            </w:pPr>
            <w:r>
              <w:t>HPB300</w:t>
            </w:r>
            <w:r>
              <w:rPr>
                <w:rFonts w:hint="eastAsia"/>
              </w:rPr>
              <w:t>、</w:t>
            </w:r>
            <w:r>
              <w:t xml:space="preserve">HRB335 </w:t>
            </w:r>
            <w:r>
              <w:rPr>
                <w:rFonts w:hint="eastAsia"/>
              </w:rPr>
              <w:t>级钢筋允许有轻微烧伤</w:t>
            </w:r>
          </w:p>
          <w:p>
            <w:pPr>
              <w:jc w:val="center"/>
            </w:pPr>
            <w:r>
              <w:t>HRB400</w:t>
            </w:r>
            <w:r>
              <w:rPr>
                <w:rFonts w:hint="eastAsia"/>
              </w:rPr>
              <w:t>、</w:t>
            </w:r>
            <w:r>
              <w:t xml:space="preserve">HRB500 </w:t>
            </w:r>
            <w:r>
              <w:rPr>
                <w:rFonts w:hint="eastAsia"/>
              </w:rPr>
              <w:t>级钢筋不应有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pPr>
              <w:jc w:val="center"/>
            </w:pPr>
            <w:r>
              <w:rPr>
                <w:rFonts w:hint="eastAsia"/>
              </w:rPr>
              <w:t>电弧焊</w:t>
            </w:r>
          </w:p>
        </w:tc>
        <w:tc>
          <w:tcPr>
            <w:tcW w:w="3807" w:type="dxa"/>
            <w:gridSpan w:val="2"/>
            <w:noWrap w:val="0"/>
            <w:vAlign w:val="center"/>
          </w:tcPr>
          <w:p>
            <w:pPr>
              <w:jc w:val="center"/>
            </w:pPr>
            <w:r>
              <w:rPr>
                <w:rFonts w:hint="eastAsia"/>
              </w:rPr>
              <w:t>焊缝表面裂纹、较大凹陷、焊瘤、药皮不净</w:t>
            </w:r>
          </w:p>
        </w:tc>
        <w:tc>
          <w:tcPr>
            <w:tcW w:w="2835" w:type="dxa"/>
            <w:noWrap w:val="0"/>
            <w:vAlign w:val="center"/>
          </w:tcPr>
          <w:p>
            <w:pPr>
              <w:jc w:val="center"/>
            </w:pPr>
            <w:r>
              <w:rPr>
                <w:rFonts w:hint="eastAsia"/>
              </w:rPr>
              <w:t>不应有</w:t>
            </w:r>
          </w:p>
        </w:tc>
      </w:tr>
    </w:tbl>
    <w:p>
      <w:pPr>
        <w:pStyle w:val="242"/>
        <w:ind w:firstLine="420" w:firstLineChars="200"/>
      </w:pPr>
      <w:r>
        <w:rPr>
          <w:rFonts w:hint="eastAsia"/>
        </w:rPr>
        <w:t>检查数量：每一工作班检验次数不少于一次，每次以同一班组同一工序的钢筋半成品为一批，每批随机抽件数量不少于</w:t>
      </w:r>
      <w:r>
        <w:t>3</w:t>
      </w:r>
      <w:r>
        <w:rPr>
          <w:rFonts w:hint="eastAsia"/>
        </w:rPr>
        <w:t>件。</w:t>
      </w:r>
    </w:p>
    <w:p>
      <w:pPr>
        <w:pStyle w:val="242"/>
        <w:ind w:firstLine="420" w:firstLineChars="200"/>
      </w:pPr>
      <w:r>
        <w:rPr>
          <w:rFonts w:hint="eastAsia"/>
        </w:rPr>
        <w:t>检查方法：观察。</w:t>
      </w:r>
    </w:p>
    <w:p>
      <w:pPr>
        <w:pStyle w:val="167"/>
      </w:pPr>
      <w:r>
        <w:rPr>
          <w:rFonts w:hint="eastAsia" w:ascii="宋体" w:hAnsi="宋体" w:eastAsia="宋体"/>
        </w:rPr>
        <w:t>筋桁架质量应符合下列规定</w:t>
      </w:r>
      <w:r>
        <w:rPr>
          <w:rFonts w:hint="eastAsia" w:hAnsi="宋体"/>
          <w:lang w:eastAsia="zh-CN"/>
        </w:rPr>
        <w:t>：</w:t>
      </w:r>
    </w:p>
    <w:p>
      <w:pPr>
        <w:pStyle w:val="176"/>
        <w:numPr>
          <w:ilvl w:val="0"/>
          <w:numId w:val="39"/>
        </w:numPr>
      </w:pPr>
      <w:r>
        <w:rPr>
          <w:rFonts w:hint="eastAsia"/>
        </w:rPr>
        <w:t>钢筋桁架筋宜采用专门焊接机械制造，腹杆与上下弦应用电阻点焊焊接；</w:t>
      </w:r>
    </w:p>
    <w:p>
      <w:pPr>
        <w:pStyle w:val="176"/>
        <w:numPr>
          <w:ilvl w:val="0"/>
          <w:numId w:val="39"/>
        </w:numPr>
      </w:pPr>
      <w:r>
        <w:rPr>
          <w:rFonts w:hint="eastAsia"/>
        </w:rPr>
        <w:t>钢筋桁架尺寸允许偏差应符合设计要求；设计无要求时，宜符合表8的规定</w:t>
      </w:r>
      <w:r>
        <w:rPr>
          <w:rFonts w:hint="eastAsia"/>
          <w:lang w:eastAsia="zh-CN"/>
        </w:rPr>
        <w:t>。</w:t>
      </w:r>
    </w:p>
    <w:p>
      <w:pPr>
        <w:pStyle w:val="242"/>
        <w:jc w:val="center"/>
      </w:pPr>
      <w:r>
        <w:rPr>
          <w:rFonts w:hint="eastAsia"/>
        </w:rPr>
        <w:t>表8钢筋桁架尺寸允许偏差</w:t>
      </w:r>
    </w:p>
    <w:tbl>
      <w:tblPr>
        <w:tblStyle w:val="27"/>
        <w:tblW w:w="52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0"/>
        <w:gridCol w:w="34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tblHeader/>
          <w:jc w:val="center"/>
        </w:trPr>
        <w:tc>
          <w:tcPr>
            <w:tcW w:w="1770" w:type="dxa"/>
            <w:noWrap w:val="0"/>
            <w:vAlign w:val="center"/>
          </w:tcPr>
          <w:p>
            <w:pPr>
              <w:jc w:val="center"/>
            </w:pPr>
            <w:r>
              <w:rPr>
                <w:rFonts w:hint="eastAsia"/>
              </w:rPr>
              <w:t>检验项目</w:t>
            </w:r>
          </w:p>
        </w:tc>
        <w:tc>
          <w:tcPr>
            <w:tcW w:w="3448" w:type="dxa"/>
            <w:noWrap w:val="0"/>
            <w:vAlign w:val="center"/>
          </w:tcPr>
          <w:p>
            <w:pPr>
              <w:jc w:val="center"/>
            </w:pPr>
            <w:r>
              <w:rPr>
                <w:rFonts w:hint="eastAsia"/>
              </w:rPr>
              <w:t>允许偏差（</w:t>
            </w:r>
            <w:r>
              <w:t>mm</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770" w:type="dxa"/>
            <w:noWrap w:val="0"/>
            <w:vAlign w:val="center"/>
          </w:tcPr>
          <w:p>
            <w:pPr>
              <w:jc w:val="center"/>
            </w:pPr>
            <w:r>
              <w:rPr>
                <w:rFonts w:hint="eastAsia"/>
              </w:rPr>
              <w:t>长度</w:t>
            </w:r>
          </w:p>
        </w:tc>
        <w:tc>
          <w:tcPr>
            <w:tcW w:w="3448" w:type="dxa"/>
            <w:noWrap w:val="0"/>
            <w:vAlign w:val="center"/>
          </w:tcPr>
          <w:p>
            <w:pPr>
              <w:jc w:val="center"/>
            </w:pPr>
            <w:r>
              <w:rPr>
                <w:rFonts w:hint="eastAsia"/>
              </w:rPr>
              <w:t>绝对值≤总长度的</w:t>
            </w:r>
            <w:r>
              <w:t>0.3</w:t>
            </w:r>
            <w:r>
              <w:rPr>
                <w:rFonts w:hint="eastAsia"/>
              </w:rPr>
              <w:t>％，且≤10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770" w:type="dxa"/>
            <w:noWrap w:val="0"/>
            <w:vAlign w:val="center"/>
          </w:tcPr>
          <w:p>
            <w:pPr>
              <w:jc w:val="center"/>
            </w:pPr>
            <w:r>
              <w:rPr>
                <w:rFonts w:hint="eastAsia"/>
              </w:rPr>
              <w:t>高度</w:t>
            </w:r>
          </w:p>
        </w:tc>
        <w:tc>
          <w:tcPr>
            <w:tcW w:w="3448" w:type="dxa"/>
            <w:noWrap w:val="0"/>
            <w:vAlign w:val="center"/>
          </w:tcPr>
          <w:p>
            <w:pPr>
              <w:jc w:val="center"/>
            </w:pPr>
            <w:r>
              <w:rPr>
                <w:rFonts w:hint="eastAsia"/>
              </w:rPr>
              <w:t>+</w:t>
            </w:r>
            <w:r>
              <w:t>1</w:t>
            </w:r>
            <w:r>
              <w:rPr>
                <w:rFonts w:hint="eastAsia"/>
              </w:rPr>
              <w:t>，-</w:t>
            </w:r>
            <w: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770" w:type="dxa"/>
            <w:noWrap w:val="0"/>
            <w:vAlign w:val="center"/>
          </w:tcPr>
          <w:p>
            <w:pPr>
              <w:jc w:val="center"/>
            </w:pPr>
            <w:r>
              <w:rPr>
                <w:rFonts w:hint="eastAsia"/>
              </w:rPr>
              <w:t>宽度</w:t>
            </w:r>
          </w:p>
        </w:tc>
        <w:tc>
          <w:tcPr>
            <w:tcW w:w="3448" w:type="dxa"/>
            <w:noWrap w:val="0"/>
            <w:vAlign w:val="center"/>
          </w:tcPr>
          <w:p>
            <w:pPr>
              <w:jc w:val="center"/>
            </w:pPr>
            <w:r>
              <w:rPr>
                <w:rFonts w:hint="eastAsia"/>
              </w:rPr>
              <w:t>±</w:t>
            </w: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770" w:type="dxa"/>
            <w:noWrap w:val="0"/>
            <w:vAlign w:val="center"/>
          </w:tcPr>
          <w:p>
            <w:pPr>
              <w:jc w:val="center"/>
            </w:pPr>
            <w:r>
              <w:rPr>
                <w:rFonts w:hint="eastAsia"/>
              </w:rPr>
              <w:t>扭翘</w:t>
            </w:r>
          </w:p>
        </w:tc>
        <w:tc>
          <w:tcPr>
            <w:tcW w:w="3448" w:type="dxa"/>
            <w:noWrap w:val="0"/>
            <w:vAlign w:val="center"/>
          </w:tcPr>
          <w:p>
            <w:pPr>
              <w:jc w:val="center"/>
            </w:pPr>
            <w:r>
              <w:rPr>
                <w:rFonts w:hint="eastAsia"/>
              </w:rPr>
              <w:t>≤5</w:t>
            </w:r>
          </w:p>
        </w:tc>
      </w:tr>
    </w:tbl>
    <w:p>
      <w:pPr>
        <w:pStyle w:val="242"/>
        <w:ind w:firstLine="420" w:firstLineChars="200"/>
      </w:pPr>
      <w:r>
        <w:rPr>
          <w:rFonts w:hint="eastAsia"/>
        </w:rPr>
        <w:t>检查数量：自加工成品以每工作班组为一批次</w:t>
      </w:r>
      <w:bookmarkStart w:id="74" w:name="_Toc24614"/>
      <w:bookmarkStart w:id="75" w:name="_Toc16035"/>
      <w:r>
        <w:rPr>
          <w:rFonts w:hint="eastAsia"/>
        </w:rPr>
        <w:t>，外购成品以5000件为一个批次，每个批次随机抽取不少于</w:t>
      </w:r>
      <w:r>
        <w:t>3</w:t>
      </w:r>
      <w:r>
        <w:rPr>
          <w:rFonts w:hint="eastAsia"/>
        </w:rPr>
        <w:t>个桁架。</w:t>
      </w:r>
    </w:p>
    <w:p>
      <w:pPr>
        <w:pStyle w:val="242"/>
        <w:ind w:firstLine="420" w:firstLineChars="200"/>
        <w:rPr>
          <w:rFonts w:hint="eastAsia"/>
        </w:rPr>
      </w:pPr>
      <w:r>
        <w:rPr>
          <w:rFonts w:hint="eastAsia"/>
        </w:rPr>
        <w:t>检验方法：尺量。</w:t>
      </w:r>
      <w:bookmarkEnd w:id="74"/>
      <w:bookmarkEnd w:id="75"/>
    </w:p>
    <w:p>
      <w:pPr>
        <w:pStyle w:val="167"/>
      </w:pPr>
      <w:r>
        <w:rPr>
          <w:rFonts w:hint="eastAsia" w:ascii="宋体" w:hAnsi="宋体" w:eastAsia="宋体"/>
        </w:rPr>
        <w:t>绑扎成型的钢筋骨架应牢固、无变形，周边两排钢筋不得缺扣，绑扎骨架其余部位缺扣、松扣的总数量不得超过绑扣总数的20％，且不应有相邻两点缺扣或松扣</w:t>
      </w:r>
      <w:r>
        <w:rPr>
          <w:rFonts w:hint="eastAsia" w:hAnsi="宋体"/>
          <w:lang w:eastAsia="zh-CN"/>
        </w:rPr>
        <w:t>。</w:t>
      </w:r>
    </w:p>
    <w:p>
      <w:pPr>
        <w:pStyle w:val="242"/>
        <w:ind w:firstLine="420" w:firstLineChars="200"/>
      </w:pPr>
      <w:bookmarkStart w:id="76" w:name="_Toc20028"/>
      <w:bookmarkStart w:id="77" w:name="_Toc10496"/>
      <w:r>
        <w:rPr>
          <w:rFonts w:hint="eastAsia"/>
        </w:rPr>
        <w:t>检查数量：全数检查</w:t>
      </w:r>
      <w:bookmarkEnd w:id="76"/>
      <w:bookmarkEnd w:id="77"/>
      <w:r>
        <w:rPr>
          <w:rFonts w:hint="eastAsia"/>
        </w:rPr>
        <w:t>。</w:t>
      </w:r>
    </w:p>
    <w:p>
      <w:pPr>
        <w:pStyle w:val="242"/>
        <w:ind w:firstLine="420" w:firstLineChars="200"/>
      </w:pPr>
      <w:bookmarkStart w:id="78" w:name="_Toc8879"/>
      <w:bookmarkStart w:id="79" w:name="_Toc23430"/>
      <w:r>
        <w:rPr>
          <w:rFonts w:hint="eastAsia"/>
        </w:rPr>
        <w:t>检验方法：观察及晃动检查。</w:t>
      </w:r>
      <w:bookmarkEnd w:id="78"/>
      <w:bookmarkEnd w:id="79"/>
    </w:p>
    <w:p>
      <w:pPr>
        <w:pStyle w:val="167"/>
      </w:pPr>
      <w:r>
        <w:rPr>
          <w:rFonts w:hint="eastAsia" w:ascii="宋体" w:hAnsi="宋体" w:eastAsia="宋体"/>
        </w:rPr>
        <w:t>焊接成型的钢筋骨架应牢固、无变形。焊接骨架漏焊、开焊的总数量不得超过焊点总数的</w:t>
      </w:r>
      <w:r>
        <w:rPr>
          <w:rFonts w:ascii="宋体" w:hAnsi="宋体" w:eastAsia="宋体"/>
        </w:rPr>
        <w:t>4%</w:t>
      </w:r>
      <w:r>
        <w:rPr>
          <w:rFonts w:hint="eastAsia" w:ascii="宋体" w:hAnsi="宋体" w:eastAsia="宋体"/>
        </w:rPr>
        <w:t>，且不应有相邻两点漏焊或开焊</w:t>
      </w:r>
      <w:r>
        <w:rPr>
          <w:rFonts w:hint="eastAsia" w:hAnsi="宋体"/>
          <w:lang w:eastAsia="zh-CN"/>
        </w:rPr>
        <w:t>。</w:t>
      </w:r>
    </w:p>
    <w:p>
      <w:pPr>
        <w:pStyle w:val="242"/>
        <w:ind w:firstLine="420" w:firstLineChars="200"/>
      </w:pPr>
      <w:bookmarkStart w:id="80" w:name="_Toc19436"/>
      <w:bookmarkStart w:id="81" w:name="_Toc22481"/>
      <w:r>
        <w:rPr>
          <w:rFonts w:hint="eastAsia"/>
        </w:rPr>
        <w:t>检查数量：全数检查</w:t>
      </w:r>
      <w:bookmarkEnd w:id="80"/>
      <w:bookmarkEnd w:id="81"/>
      <w:r>
        <w:rPr>
          <w:rFonts w:hint="eastAsia"/>
        </w:rPr>
        <w:t>。</w:t>
      </w:r>
    </w:p>
    <w:p>
      <w:pPr>
        <w:pStyle w:val="242"/>
        <w:ind w:firstLine="420" w:firstLineChars="200"/>
        <w:rPr>
          <w:rFonts w:hint="eastAsia"/>
        </w:rPr>
      </w:pPr>
      <w:bookmarkStart w:id="82" w:name="_Toc15785"/>
      <w:bookmarkStart w:id="83" w:name="_Toc11231"/>
      <w:r>
        <w:rPr>
          <w:rFonts w:hint="eastAsia"/>
        </w:rPr>
        <w:t>检验方法：观察及晃动检查。</w:t>
      </w:r>
      <w:bookmarkEnd w:id="82"/>
      <w:bookmarkEnd w:id="83"/>
    </w:p>
    <w:p>
      <w:pPr>
        <w:pStyle w:val="167"/>
      </w:pPr>
      <w:r>
        <w:rPr>
          <w:rFonts w:hint="eastAsia" w:ascii="宋体" w:hAnsi="宋体" w:eastAsia="宋体"/>
        </w:rPr>
        <w:t>钢筋成品尺寸允许偏差应符合表9要求</w:t>
      </w:r>
      <w:r>
        <w:rPr>
          <w:rFonts w:hint="eastAsia" w:hAnsi="宋体"/>
          <w:lang w:eastAsia="zh-CN"/>
        </w:rPr>
        <w:t>。</w:t>
      </w:r>
    </w:p>
    <w:p>
      <w:pPr>
        <w:pStyle w:val="242"/>
        <w:jc w:val="center"/>
      </w:pPr>
      <w:r>
        <w:rPr>
          <w:rFonts w:hint="eastAsia"/>
        </w:rPr>
        <w:t>表9钢筋成品尺寸允许偏差</w:t>
      </w:r>
    </w:p>
    <w:tbl>
      <w:tblPr>
        <w:tblStyle w:val="27"/>
        <w:tblW w:w="686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2904"/>
        <w:gridCol w:w="27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129" w:type="dxa"/>
            <w:gridSpan w:val="2"/>
            <w:noWrap w:val="0"/>
            <w:vAlign w:val="center"/>
          </w:tcPr>
          <w:p>
            <w:pPr>
              <w:jc w:val="center"/>
            </w:pPr>
            <w:r>
              <w:rPr>
                <w:rFonts w:hint="eastAsia"/>
              </w:rPr>
              <w:t>检验项目</w:t>
            </w:r>
          </w:p>
        </w:tc>
        <w:tc>
          <w:tcPr>
            <w:tcW w:w="2739" w:type="dxa"/>
            <w:noWrap w:val="0"/>
            <w:vAlign w:val="center"/>
          </w:tcPr>
          <w:p>
            <w:pPr>
              <w:jc w:val="center"/>
            </w:pPr>
            <w:r>
              <w:rPr>
                <w:rFonts w:hint="eastAsia"/>
              </w:rPr>
              <w:t>允许偏差（</w:t>
            </w:r>
            <w:r>
              <w:t>mm</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restart"/>
            <w:noWrap w:val="0"/>
            <w:vAlign w:val="center"/>
          </w:tcPr>
          <w:p>
            <w:pPr>
              <w:jc w:val="center"/>
            </w:pPr>
            <w:r>
              <w:rPr>
                <w:rFonts w:hint="eastAsia"/>
              </w:rPr>
              <w:t>焊接钢筋网片</w:t>
            </w:r>
          </w:p>
        </w:tc>
        <w:tc>
          <w:tcPr>
            <w:tcW w:w="2904" w:type="dxa"/>
            <w:noWrap w:val="0"/>
            <w:vAlign w:val="center"/>
          </w:tcPr>
          <w:p>
            <w:pPr>
              <w:jc w:val="center"/>
            </w:pPr>
            <w:r>
              <w:rPr>
                <w:rFonts w:hint="eastAsia"/>
              </w:rPr>
              <w:t>长、宽</w:t>
            </w:r>
          </w:p>
        </w:tc>
        <w:tc>
          <w:tcPr>
            <w:tcW w:w="2739" w:type="dxa"/>
            <w:noWrap w:val="0"/>
            <w:vAlign w:val="center"/>
          </w:tcPr>
          <w:p>
            <w:pPr>
              <w:jc w:val="center"/>
            </w:pPr>
            <w:r>
              <w:rPr>
                <w:rFonts w:hint="eastAsia"/>
              </w:rPr>
              <w:t>±</w:t>
            </w: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网眼尺寸</w:t>
            </w:r>
          </w:p>
        </w:tc>
        <w:tc>
          <w:tcPr>
            <w:tcW w:w="2739" w:type="dxa"/>
            <w:noWrap w:val="0"/>
            <w:vAlign w:val="center"/>
          </w:tcPr>
          <w:p>
            <w:pPr>
              <w:jc w:val="center"/>
            </w:pPr>
            <w:r>
              <w:rPr>
                <w:rFonts w:hint="eastAsia"/>
              </w:rPr>
              <w:t>±</w:t>
            </w:r>
            <w: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对角线差</w:t>
            </w:r>
          </w:p>
        </w:tc>
        <w:tc>
          <w:tcPr>
            <w:tcW w:w="2739" w:type="dxa"/>
            <w:noWrap w:val="0"/>
            <w:vAlign w:val="center"/>
          </w:tcPr>
          <w:p>
            <w:pPr>
              <w:jc w:val="center"/>
            </w:pP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端头不齐</w:t>
            </w:r>
          </w:p>
        </w:tc>
        <w:tc>
          <w:tcPr>
            <w:tcW w:w="2739" w:type="dxa"/>
            <w:noWrap w:val="0"/>
            <w:vAlign w:val="center"/>
          </w:tcPr>
          <w:p>
            <w:pPr>
              <w:jc w:val="center"/>
            </w:pP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restart"/>
            <w:noWrap w:val="0"/>
            <w:vAlign w:val="center"/>
          </w:tcPr>
          <w:p>
            <w:pPr>
              <w:jc w:val="center"/>
            </w:pPr>
            <w:r>
              <w:rPr>
                <w:rFonts w:hint="eastAsia"/>
              </w:rPr>
              <w:t>钢筋骨架</w:t>
            </w:r>
          </w:p>
        </w:tc>
        <w:tc>
          <w:tcPr>
            <w:tcW w:w="2904" w:type="dxa"/>
            <w:noWrap w:val="0"/>
            <w:vAlign w:val="center"/>
          </w:tcPr>
          <w:p>
            <w:pPr>
              <w:jc w:val="center"/>
            </w:pPr>
            <w:r>
              <w:rPr>
                <w:rFonts w:hint="eastAsia"/>
              </w:rPr>
              <w:t>长</w:t>
            </w:r>
          </w:p>
        </w:tc>
        <w:tc>
          <w:tcPr>
            <w:tcW w:w="2739" w:type="dxa"/>
            <w:noWrap w:val="0"/>
            <w:vAlign w:val="center"/>
          </w:tcPr>
          <w:p>
            <w:pPr>
              <w:jc w:val="center"/>
            </w:pPr>
            <w:r>
              <w:rPr>
                <w:rFonts w:hint="eastAsia"/>
              </w:rPr>
              <w:t>0，-</w:t>
            </w: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宽</w:t>
            </w:r>
          </w:p>
        </w:tc>
        <w:tc>
          <w:tcPr>
            <w:tcW w:w="2739" w:type="dxa"/>
            <w:noWrap w:val="0"/>
            <w:vAlign w:val="center"/>
          </w:tcPr>
          <w:p>
            <w:pPr>
              <w:jc w:val="center"/>
            </w:pPr>
            <w:r>
              <w:rPr>
                <w:rFonts w:hint="eastAsia"/>
              </w:rPr>
              <w:t>±</w:t>
            </w: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高（厚）</w:t>
            </w:r>
          </w:p>
        </w:tc>
        <w:tc>
          <w:tcPr>
            <w:tcW w:w="2739" w:type="dxa"/>
            <w:noWrap w:val="0"/>
            <w:vAlign w:val="center"/>
          </w:tcPr>
          <w:p>
            <w:pPr>
              <w:jc w:val="center"/>
            </w:pPr>
            <w:r>
              <w:rPr>
                <w:rFonts w:hint="eastAsia"/>
              </w:rPr>
              <w:t>±</w:t>
            </w: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主筋间距</w:t>
            </w:r>
          </w:p>
        </w:tc>
        <w:tc>
          <w:tcPr>
            <w:tcW w:w="2739" w:type="dxa"/>
            <w:noWrap w:val="0"/>
            <w:vAlign w:val="center"/>
          </w:tcPr>
          <w:p>
            <w:pPr>
              <w:jc w:val="center"/>
            </w:pPr>
            <w:r>
              <w:rPr>
                <w:rFonts w:hint="eastAsia"/>
              </w:rPr>
              <w:t>±</w:t>
            </w:r>
            <w: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主筋排距</w:t>
            </w:r>
          </w:p>
        </w:tc>
        <w:tc>
          <w:tcPr>
            <w:tcW w:w="2739" w:type="dxa"/>
            <w:noWrap w:val="0"/>
            <w:vAlign w:val="center"/>
          </w:tcPr>
          <w:p>
            <w:pPr>
              <w:jc w:val="center"/>
            </w:pPr>
            <w:r>
              <w:rPr>
                <w:rFonts w:hint="eastAsia"/>
              </w:rPr>
              <w:t>±</w:t>
            </w:r>
            <w:r>
              <w:t>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箍筋间距</w:t>
            </w:r>
          </w:p>
        </w:tc>
        <w:tc>
          <w:tcPr>
            <w:tcW w:w="2739" w:type="dxa"/>
            <w:noWrap w:val="0"/>
            <w:vAlign w:val="center"/>
          </w:tcPr>
          <w:p>
            <w:pPr>
              <w:jc w:val="center"/>
            </w:pPr>
            <w:r>
              <w:rPr>
                <w:rFonts w:hint="eastAsia"/>
              </w:rPr>
              <w:t>±</w:t>
            </w:r>
            <w:r>
              <w:t>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5" w:hRule="atLeast"/>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起弯点位移</w:t>
            </w:r>
          </w:p>
        </w:tc>
        <w:tc>
          <w:tcPr>
            <w:tcW w:w="2739" w:type="dxa"/>
            <w:noWrap w:val="0"/>
            <w:vAlign w:val="center"/>
          </w:tcPr>
          <w:p>
            <w:pPr>
              <w:jc w:val="center"/>
            </w:pPr>
            <w:r>
              <w:t>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225" w:type="dxa"/>
            <w:vMerge w:val="continue"/>
            <w:noWrap w:val="0"/>
            <w:vAlign w:val="center"/>
          </w:tcPr>
          <w:p>
            <w:pPr>
              <w:jc w:val="center"/>
            </w:pPr>
          </w:p>
        </w:tc>
        <w:tc>
          <w:tcPr>
            <w:tcW w:w="2904" w:type="dxa"/>
            <w:noWrap w:val="0"/>
            <w:vAlign w:val="center"/>
          </w:tcPr>
          <w:p>
            <w:pPr>
              <w:jc w:val="center"/>
            </w:pPr>
            <w:r>
              <w:rPr>
                <w:rFonts w:hint="eastAsia"/>
              </w:rPr>
              <w:t>端头不齐</w:t>
            </w:r>
          </w:p>
        </w:tc>
        <w:tc>
          <w:tcPr>
            <w:tcW w:w="2739" w:type="dxa"/>
            <w:noWrap w:val="0"/>
            <w:vAlign w:val="center"/>
          </w:tcPr>
          <w:p>
            <w:pPr>
              <w:jc w:val="center"/>
            </w:pPr>
            <w:r>
              <w:t>5</w:t>
            </w:r>
          </w:p>
        </w:tc>
      </w:tr>
    </w:tbl>
    <w:p>
      <w:pPr>
        <w:pStyle w:val="242"/>
        <w:ind w:firstLine="420" w:firstLineChars="200"/>
      </w:pPr>
      <w:bookmarkStart w:id="84" w:name="_Toc19384"/>
      <w:bookmarkStart w:id="85" w:name="_Toc6911"/>
      <w:r>
        <w:rPr>
          <w:rFonts w:hint="eastAsia"/>
        </w:rPr>
        <w:t>检查数量：以同一工作班为一检验批，随机抽件</w:t>
      </w:r>
      <w:r>
        <w:t>5</w:t>
      </w:r>
      <w:r>
        <w:rPr>
          <w:rFonts w:hint="eastAsia"/>
        </w:rPr>
        <w:t>％，且不少于</w:t>
      </w:r>
      <w:r>
        <w:t>3</w:t>
      </w:r>
      <w:r>
        <w:rPr>
          <w:rFonts w:hint="eastAsia"/>
        </w:rPr>
        <w:t>件。</w:t>
      </w:r>
      <w:bookmarkEnd w:id="84"/>
      <w:bookmarkEnd w:id="85"/>
    </w:p>
    <w:p>
      <w:pPr>
        <w:pStyle w:val="167"/>
        <w:numPr>
          <w:ilvl w:val="3"/>
          <w:numId w:val="0"/>
        </w:numPr>
        <w:ind w:leftChars="0" w:firstLine="420" w:firstLineChars="200"/>
      </w:pPr>
      <w:bookmarkStart w:id="86" w:name="_Toc22755"/>
      <w:bookmarkStart w:id="87" w:name="_Toc14167"/>
      <w:r>
        <w:rPr>
          <w:rFonts w:hint="eastAsia"/>
        </w:rPr>
        <w:t>检验方法：观察，尺量。</w:t>
      </w:r>
      <w:bookmarkEnd w:id="86"/>
      <w:bookmarkEnd w:id="87"/>
    </w:p>
    <w:p>
      <w:pPr>
        <w:pStyle w:val="167"/>
      </w:pPr>
      <w:r>
        <w:rPr>
          <w:rFonts w:hint="eastAsia" w:ascii="宋体" w:hAnsi="宋体" w:eastAsia="宋体"/>
        </w:rPr>
        <w:t>受力钢筋保护层厚度及受力钢筋外露长度应满足表</w:t>
      </w:r>
      <w:r>
        <w:rPr>
          <w:rFonts w:hint="eastAsia" w:ascii="宋体" w:hAnsi="宋体" w:eastAsia="宋体"/>
          <w:lang w:val="en-US" w:eastAsia="zh-CN"/>
        </w:rPr>
        <w:t>10</w:t>
      </w:r>
      <w:r>
        <w:rPr>
          <w:rFonts w:hint="eastAsia" w:ascii="宋体" w:hAnsi="宋体" w:eastAsia="宋体"/>
        </w:rPr>
        <w:t>要求，且受力钢筋保护层厚度的合格点率应达到90％及以上</w:t>
      </w:r>
      <w:r>
        <w:rPr>
          <w:rFonts w:hint="eastAsia" w:hAnsi="宋体"/>
          <w:lang w:eastAsia="zh-CN"/>
        </w:rPr>
        <w:t>。</w:t>
      </w:r>
    </w:p>
    <w:p>
      <w:pPr>
        <w:pStyle w:val="242"/>
        <w:jc w:val="center"/>
      </w:pPr>
      <w:bookmarkStart w:id="88" w:name="_Toc13898"/>
      <w:bookmarkStart w:id="89" w:name="_Toc14208"/>
      <w:r>
        <w:rPr>
          <w:rFonts w:hint="eastAsia"/>
        </w:rPr>
        <w:t>表10</w:t>
      </w:r>
      <w:r>
        <w:t xml:space="preserve"> </w:t>
      </w:r>
      <w:r>
        <w:rPr>
          <w:rFonts w:hint="eastAsia"/>
        </w:rPr>
        <w:t>钢筋外露长度及保护层厚度允许偏差</w:t>
      </w:r>
      <w:bookmarkEnd w:id="88"/>
      <w:bookmarkEnd w:id="89"/>
    </w:p>
    <w:tbl>
      <w:tblPr>
        <w:tblStyle w:val="27"/>
        <w:tblW w:w="784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03"/>
        <w:gridCol w:w="1842"/>
        <w:gridCol w:w="1953"/>
        <w:gridCol w:w="25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5" w:hRule="atLeast"/>
          <w:tblHeader/>
          <w:jc w:val="center"/>
        </w:trPr>
        <w:tc>
          <w:tcPr>
            <w:tcW w:w="1503" w:type="dxa"/>
            <w:noWrap w:val="0"/>
            <w:vAlign w:val="center"/>
          </w:tcPr>
          <w:p>
            <w:pPr>
              <w:jc w:val="center"/>
            </w:pPr>
            <w:r>
              <w:rPr>
                <w:rFonts w:hint="eastAsia"/>
              </w:rPr>
              <w:t>检验项目</w:t>
            </w:r>
          </w:p>
        </w:tc>
        <w:tc>
          <w:tcPr>
            <w:tcW w:w="1842" w:type="dxa"/>
            <w:noWrap w:val="0"/>
            <w:vAlign w:val="center"/>
          </w:tcPr>
          <w:p>
            <w:pPr>
              <w:jc w:val="center"/>
            </w:pPr>
            <w:r>
              <w:rPr>
                <w:rFonts w:hint="eastAsia"/>
              </w:rPr>
              <w:t>构件类型</w:t>
            </w:r>
          </w:p>
        </w:tc>
        <w:tc>
          <w:tcPr>
            <w:tcW w:w="1953" w:type="dxa"/>
            <w:noWrap w:val="0"/>
            <w:vAlign w:val="center"/>
          </w:tcPr>
          <w:p>
            <w:pPr>
              <w:jc w:val="center"/>
            </w:pPr>
            <w:r>
              <w:rPr>
                <w:rFonts w:hint="eastAsia"/>
              </w:rPr>
              <w:t>允许偏差</w:t>
            </w:r>
          </w:p>
        </w:tc>
        <w:tc>
          <w:tcPr>
            <w:tcW w:w="2543" w:type="dxa"/>
            <w:noWrap w:val="0"/>
            <w:vAlign w:val="center"/>
          </w:tcPr>
          <w:p>
            <w:pPr>
              <w:jc w:val="center"/>
            </w:pPr>
            <w:r>
              <w:rPr>
                <w:rFonts w:hint="eastAsia"/>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03" w:type="dxa"/>
            <w:vMerge w:val="restart"/>
            <w:noWrap w:val="0"/>
            <w:vAlign w:val="center"/>
          </w:tcPr>
          <w:p>
            <w:pPr>
              <w:jc w:val="center"/>
            </w:pPr>
            <w:r>
              <w:rPr>
                <w:rFonts w:hint="eastAsia"/>
                <w:lang w:val="en-US" w:eastAsia="zh-CN"/>
              </w:rPr>
              <w:t>受力钢筋</w:t>
            </w:r>
            <w:r>
              <w:rPr>
                <w:rFonts w:hint="eastAsia"/>
              </w:rPr>
              <w:t>外露长度</w:t>
            </w:r>
          </w:p>
        </w:tc>
        <w:tc>
          <w:tcPr>
            <w:tcW w:w="1842" w:type="dxa"/>
            <w:noWrap w:val="0"/>
            <w:vAlign w:val="center"/>
          </w:tcPr>
          <w:p>
            <w:pPr>
              <w:jc w:val="center"/>
            </w:pPr>
            <w:r>
              <w:rPr>
                <w:rFonts w:hint="eastAsia"/>
              </w:rPr>
              <w:t>楼板、楼梯板</w:t>
            </w:r>
          </w:p>
        </w:tc>
        <w:tc>
          <w:tcPr>
            <w:tcW w:w="1953" w:type="dxa"/>
            <w:noWrap w:val="0"/>
            <w:vAlign w:val="center"/>
          </w:tcPr>
          <w:p>
            <w:pPr>
              <w:jc w:val="center"/>
            </w:pPr>
            <w:r>
              <w:rPr>
                <w:rFonts w:hint="eastAsia"/>
              </w:rPr>
              <w:t>+</w:t>
            </w:r>
            <w:r>
              <w:t>10</w:t>
            </w:r>
            <w:r>
              <w:rPr>
                <w:rFonts w:hint="eastAsia"/>
              </w:rPr>
              <w:t>，</w:t>
            </w:r>
            <w:r>
              <w:rPr>
                <w:rFonts w:hint="eastAsia"/>
                <w:lang w:val="en-US" w:eastAsia="zh-CN"/>
              </w:rPr>
              <w:t>-</w:t>
            </w:r>
            <w:r>
              <w:t>5</w:t>
            </w:r>
          </w:p>
        </w:tc>
        <w:tc>
          <w:tcPr>
            <w:tcW w:w="2543" w:type="dxa"/>
            <w:noWrap w:val="0"/>
            <w:vAlign w:val="center"/>
          </w:tcPr>
          <w:p>
            <w:pPr>
              <w:jc w:val="center"/>
            </w:pPr>
            <w:r>
              <w:rPr>
                <w:rFonts w:hint="eastAsia"/>
              </w:rPr>
              <w:t>钢尺检查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03" w:type="dxa"/>
            <w:vMerge w:val="continue"/>
            <w:noWrap w:val="0"/>
            <w:vAlign w:val="center"/>
          </w:tcPr>
          <w:p>
            <w:pPr>
              <w:jc w:val="center"/>
            </w:pPr>
          </w:p>
        </w:tc>
        <w:tc>
          <w:tcPr>
            <w:tcW w:w="1842" w:type="dxa"/>
            <w:noWrap w:val="0"/>
            <w:vAlign w:val="center"/>
          </w:tcPr>
          <w:p>
            <w:pPr>
              <w:jc w:val="center"/>
            </w:pPr>
            <w:r>
              <w:t>墙板类构件</w:t>
            </w:r>
          </w:p>
        </w:tc>
        <w:tc>
          <w:tcPr>
            <w:tcW w:w="1953" w:type="dxa"/>
            <w:noWrap w:val="0"/>
            <w:vAlign w:val="center"/>
          </w:tcPr>
          <w:p>
            <w:pPr>
              <w:jc w:val="center"/>
            </w:pPr>
            <w:r>
              <w:rPr>
                <w:rFonts w:hint="eastAsia"/>
              </w:rPr>
              <w:t>±5</w:t>
            </w:r>
          </w:p>
        </w:tc>
        <w:tc>
          <w:tcPr>
            <w:tcW w:w="2543" w:type="dxa"/>
            <w:noWrap w:val="0"/>
            <w:vAlign w:val="center"/>
          </w:tcPr>
          <w:p>
            <w:pPr>
              <w:jc w:val="center"/>
            </w:pPr>
            <w:r>
              <w:rPr>
                <w:rFonts w:hint="eastAsia"/>
              </w:rPr>
              <w:t>钢尺检查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03" w:type="dxa"/>
            <w:vMerge w:val="continue"/>
            <w:noWrap w:val="0"/>
            <w:vAlign w:val="center"/>
          </w:tcPr>
          <w:p>
            <w:pPr>
              <w:jc w:val="center"/>
            </w:pPr>
          </w:p>
        </w:tc>
        <w:tc>
          <w:tcPr>
            <w:tcW w:w="1842" w:type="dxa"/>
            <w:noWrap w:val="0"/>
            <w:vAlign w:val="center"/>
          </w:tcPr>
          <w:p>
            <w:pPr>
              <w:jc w:val="center"/>
            </w:pPr>
            <w:r>
              <w:t>梁柱类构件</w:t>
            </w:r>
          </w:p>
        </w:tc>
        <w:tc>
          <w:tcPr>
            <w:tcW w:w="1953" w:type="dxa"/>
            <w:noWrap w:val="0"/>
            <w:vAlign w:val="center"/>
          </w:tcPr>
          <w:p>
            <w:pPr>
              <w:jc w:val="center"/>
            </w:pPr>
            <w:r>
              <w:t>±10</w:t>
            </w:r>
          </w:p>
        </w:tc>
        <w:tc>
          <w:tcPr>
            <w:tcW w:w="2543" w:type="dxa"/>
            <w:noWrap w:val="0"/>
            <w:vAlign w:val="center"/>
          </w:tcPr>
          <w:p>
            <w:pPr>
              <w:jc w:val="center"/>
            </w:pPr>
            <w:r>
              <w:rPr>
                <w:rFonts w:hint="eastAsia"/>
              </w:rPr>
              <w:t>钢尺检查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03" w:type="dxa"/>
            <w:vMerge w:val="continue"/>
            <w:noWrap w:val="0"/>
            <w:vAlign w:val="center"/>
          </w:tcPr>
          <w:p>
            <w:pPr>
              <w:jc w:val="center"/>
            </w:pPr>
          </w:p>
        </w:tc>
        <w:tc>
          <w:tcPr>
            <w:tcW w:w="1842" w:type="dxa"/>
            <w:noWrap w:val="0"/>
            <w:vAlign w:val="center"/>
          </w:tcPr>
          <w:p>
            <w:pPr>
              <w:jc w:val="center"/>
            </w:pPr>
            <w:r>
              <w:rPr>
                <w:rFonts w:hint="eastAsia"/>
              </w:rPr>
              <w:t>预留插筋</w:t>
            </w:r>
          </w:p>
        </w:tc>
        <w:tc>
          <w:tcPr>
            <w:tcW w:w="1953" w:type="dxa"/>
            <w:noWrap w:val="0"/>
            <w:vAlign w:val="center"/>
          </w:tcPr>
          <w:p>
            <w:pPr>
              <w:jc w:val="center"/>
            </w:pPr>
            <w:r>
              <w:rPr>
                <w:rFonts w:hint="eastAsia"/>
              </w:rPr>
              <w:t>+</w:t>
            </w:r>
            <w:r>
              <w:t>10</w:t>
            </w:r>
            <w:r>
              <w:rPr>
                <w:rFonts w:hint="eastAsia"/>
              </w:rPr>
              <w:t>，0</w:t>
            </w:r>
          </w:p>
        </w:tc>
        <w:tc>
          <w:tcPr>
            <w:tcW w:w="2543" w:type="dxa"/>
            <w:noWrap w:val="0"/>
            <w:vAlign w:val="center"/>
          </w:tcPr>
          <w:p>
            <w:pPr>
              <w:jc w:val="center"/>
            </w:pPr>
            <w:r>
              <w:rPr>
                <w:rFonts w:hint="eastAsia"/>
              </w:rPr>
              <w:t>钢尺检查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03" w:type="dxa"/>
            <w:vMerge w:val="restart"/>
            <w:noWrap w:val="0"/>
            <w:vAlign w:val="center"/>
          </w:tcPr>
          <w:p>
            <w:pPr>
              <w:jc w:val="center"/>
            </w:pPr>
            <w:r>
              <w:rPr>
                <w:rFonts w:hint="eastAsia"/>
                <w:lang w:val="en-US" w:eastAsia="zh-CN"/>
              </w:rPr>
              <w:t>受力钢筋</w:t>
            </w:r>
            <w:r>
              <w:rPr>
                <w:rFonts w:hint="eastAsia"/>
              </w:rPr>
              <w:t>保护层</w:t>
            </w:r>
          </w:p>
        </w:tc>
        <w:tc>
          <w:tcPr>
            <w:tcW w:w="1842" w:type="dxa"/>
            <w:noWrap w:val="0"/>
            <w:vAlign w:val="center"/>
          </w:tcPr>
          <w:p>
            <w:pPr>
              <w:jc w:val="center"/>
            </w:pPr>
            <w:r>
              <w:rPr>
                <w:rFonts w:hint="eastAsia"/>
              </w:rPr>
              <w:t>楼板、楼梯板</w:t>
            </w:r>
          </w:p>
        </w:tc>
        <w:tc>
          <w:tcPr>
            <w:tcW w:w="1953" w:type="dxa"/>
            <w:noWrap w:val="0"/>
            <w:vAlign w:val="center"/>
          </w:tcPr>
          <w:p>
            <w:pPr>
              <w:jc w:val="center"/>
            </w:pPr>
            <w:r>
              <w:rPr>
                <w:rFonts w:hint="eastAsia"/>
              </w:rPr>
              <w:t>±3</w:t>
            </w:r>
          </w:p>
        </w:tc>
        <w:tc>
          <w:tcPr>
            <w:tcW w:w="2543" w:type="dxa"/>
            <w:noWrap w:val="0"/>
            <w:vAlign w:val="center"/>
          </w:tcPr>
          <w:p>
            <w:pPr>
              <w:jc w:val="center"/>
            </w:pPr>
            <w:r>
              <w:rPr>
                <w:rFonts w:hint="eastAsia"/>
              </w:rPr>
              <w:t>钢尺检查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03" w:type="dxa"/>
            <w:vMerge w:val="continue"/>
            <w:noWrap w:val="0"/>
            <w:vAlign w:val="center"/>
          </w:tcPr>
          <w:p>
            <w:pPr>
              <w:jc w:val="center"/>
            </w:pPr>
          </w:p>
        </w:tc>
        <w:tc>
          <w:tcPr>
            <w:tcW w:w="1842" w:type="dxa"/>
            <w:noWrap w:val="0"/>
            <w:vAlign w:val="center"/>
          </w:tcPr>
          <w:p>
            <w:pPr>
              <w:jc w:val="center"/>
            </w:pPr>
            <w:r>
              <w:t>墙板类构件</w:t>
            </w:r>
          </w:p>
        </w:tc>
        <w:tc>
          <w:tcPr>
            <w:tcW w:w="1953" w:type="dxa"/>
            <w:noWrap w:val="0"/>
            <w:vAlign w:val="center"/>
          </w:tcPr>
          <w:p>
            <w:pPr>
              <w:jc w:val="center"/>
            </w:pPr>
            <w:r>
              <w:rPr>
                <w:rFonts w:hint="eastAsia"/>
              </w:rPr>
              <w:t>±3</w:t>
            </w:r>
          </w:p>
        </w:tc>
        <w:tc>
          <w:tcPr>
            <w:tcW w:w="2543" w:type="dxa"/>
            <w:noWrap w:val="0"/>
            <w:vAlign w:val="center"/>
          </w:tcPr>
          <w:p>
            <w:pPr>
              <w:jc w:val="center"/>
            </w:pPr>
            <w:r>
              <w:rPr>
                <w:rFonts w:hint="eastAsia"/>
              </w:rPr>
              <w:t>钢尺检查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03" w:type="dxa"/>
            <w:vMerge w:val="continue"/>
            <w:noWrap w:val="0"/>
            <w:vAlign w:val="center"/>
          </w:tcPr>
          <w:p>
            <w:pPr>
              <w:jc w:val="center"/>
            </w:pPr>
          </w:p>
        </w:tc>
        <w:tc>
          <w:tcPr>
            <w:tcW w:w="1842" w:type="dxa"/>
            <w:noWrap w:val="0"/>
            <w:vAlign w:val="center"/>
          </w:tcPr>
          <w:p>
            <w:pPr>
              <w:jc w:val="center"/>
            </w:pPr>
            <w:r>
              <w:t>梁柱类构件</w:t>
            </w:r>
          </w:p>
        </w:tc>
        <w:tc>
          <w:tcPr>
            <w:tcW w:w="1953" w:type="dxa"/>
            <w:noWrap w:val="0"/>
            <w:vAlign w:val="center"/>
          </w:tcPr>
          <w:p>
            <w:pPr>
              <w:jc w:val="center"/>
            </w:pPr>
            <w:r>
              <w:rPr>
                <w:rFonts w:hint="eastAsia"/>
              </w:rPr>
              <w:t>±5</w:t>
            </w:r>
          </w:p>
        </w:tc>
        <w:tc>
          <w:tcPr>
            <w:tcW w:w="2543" w:type="dxa"/>
            <w:noWrap w:val="0"/>
            <w:vAlign w:val="center"/>
          </w:tcPr>
          <w:p>
            <w:pPr>
              <w:jc w:val="center"/>
            </w:pPr>
            <w:r>
              <w:rPr>
                <w:rFonts w:hint="eastAsia"/>
              </w:rPr>
              <w:t>钢尺检查</w:t>
            </w:r>
          </w:p>
        </w:tc>
      </w:tr>
    </w:tbl>
    <w:p>
      <w:pPr>
        <w:pStyle w:val="242"/>
        <w:ind w:firstLine="420" w:firstLineChars="200"/>
      </w:pPr>
      <w:bookmarkStart w:id="90" w:name="_Toc25540"/>
      <w:bookmarkStart w:id="91" w:name="_Toc9396"/>
      <w:r>
        <w:rPr>
          <w:rFonts w:hint="eastAsia"/>
        </w:rPr>
        <w:t>检查数量：在同一检验批内，应抽查构件数量的</w:t>
      </w:r>
      <w:r>
        <w:t>10</w:t>
      </w:r>
      <w:r>
        <w:rPr>
          <w:rFonts w:hint="eastAsia"/>
        </w:rPr>
        <w:t>％，且不应少于</w:t>
      </w:r>
      <w:r>
        <w:t>3</w:t>
      </w:r>
      <w:r>
        <w:rPr>
          <w:rFonts w:hint="eastAsia"/>
        </w:rPr>
        <w:t>件。</w:t>
      </w:r>
      <w:bookmarkEnd w:id="90"/>
      <w:bookmarkEnd w:id="91"/>
    </w:p>
    <w:p>
      <w:pPr>
        <w:pStyle w:val="167"/>
        <w:numPr>
          <w:ilvl w:val="3"/>
          <w:numId w:val="0"/>
        </w:numPr>
        <w:ind w:leftChars="0" w:firstLine="420" w:firstLineChars="200"/>
      </w:pPr>
      <w:bookmarkStart w:id="92" w:name="_Toc19107"/>
      <w:bookmarkStart w:id="93" w:name="_Toc3295"/>
      <w:r>
        <w:rPr>
          <w:rFonts w:hint="eastAsia"/>
        </w:rPr>
        <w:t>检验方法：尺量。</w:t>
      </w:r>
      <w:bookmarkEnd w:id="92"/>
      <w:bookmarkEnd w:id="93"/>
    </w:p>
    <w:p>
      <w:pPr>
        <w:pStyle w:val="107"/>
        <w:spacing w:before="156" w:after="156"/>
      </w:pPr>
      <w:r>
        <w:rPr>
          <w:rFonts w:hint="eastAsia"/>
          <w:lang w:val="en-US" w:eastAsia="zh-CN"/>
        </w:rPr>
        <w:t>混凝土工程</w:t>
      </w:r>
    </w:p>
    <w:p>
      <w:pPr>
        <w:pStyle w:val="58"/>
        <w:jc w:val="center"/>
      </w:pPr>
      <w:r>
        <w:rPr>
          <w:rFonts w:hint="eastAsia" w:ascii="黑体" w:eastAsia="黑体"/>
          <w:szCs w:val="21"/>
          <w:lang w:val="en-US" w:eastAsia="zh-CN"/>
        </w:rPr>
        <w:t>主控项目</w:t>
      </w:r>
    </w:p>
    <w:p>
      <w:pPr>
        <w:pStyle w:val="167"/>
      </w:pPr>
      <w:r>
        <w:rPr>
          <w:rFonts w:hint="eastAsia" w:ascii="宋体" w:hAnsi="宋体" w:eastAsia="宋体"/>
        </w:rPr>
        <w:t>采用预拌混凝土时，其原材料质量、混凝土制备与质量检验等均应符合《预拌混凝土》GB/T 14902的规定。预拌混凝土进场时，应检查混凝土质量证明文件，并对混凝土强度、拌合物坍落度等进行取样检验</w:t>
      </w:r>
      <w:r>
        <w:rPr>
          <w:rFonts w:hint="eastAsia" w:hAnsi="宋体"/>
          <w:lang w:eastAsia="zh-CN"/>
        </w:rPr>
        <w:t>。</w:t>
      </w:r>
    </w:p>
    <w:p>
      <w:pPr>
        <w:pStyle w:val="242"/>
        <w:ind w:firstLine="420" w:firstLineChars="200"/>
      </w:pPr>
      <w:r>
        <w:rPr>
          <w:rFonts w:hint="eastAsia"/>
        </w:rPr>
        <w:t>检查数量：按照</w:t>
      </w:r>
      <w:r>
        <w:t>GB/T 14902</w:t>
      </w:r>
      <w:r>
        <w:rPr>
          <w:rFonts w:hint="eastAsia"/>
        </w:rPr>
        <w:t>规定执行。</w:t>
      </w:r>
    </w:p>
    <w:p>
      <w:pPr>
        <w:pStyle w:val="242"/>
        <w:ind w:firstLine="420" w:firstLineChars="200"/>
      </w:pPr>
      <w:r>
        <w:rPr>
          <w:rFonts w:hint="eastAsia"/>
        </w:rPr>
        <w:t>检验方法：检查质量证明文件，取样检验。</w:t>
      </w:r>
    </w:p>
    <w:p>
      <w:pPr>
        <w:pStyle w:val="167"/>
      </w:pPr>
      <w:r>
        <w:rPr>
          <w:rFonts w:hint="eastAsia" w:ascii="宋体" w:hAnsi="宋体" w:eastAsia="宋体"/>
        </w:rPr>
        <w:t>首次使用的混凝土配合比应进行开盘鉴定，其原材料、强度、凝结时间、稠度等应满足设计配合比的要求</w:t>
      </w:r>
      <w:r>
        <w:rPr>
          <w:rFonts w:hint="eastAsia" w:hAnsi="宋体"/>
          <w:lang w:eastAsia="zh-CN"/>
        </w:rPr>
        <w:t>。</w:t>
      </w:r>
    </w:p>
    <w:p>
      <w:pPr>
        <w:pStyle w:val="242"/>
        <w:ind w:firstLine="420" w:firstLineChars="200"/>
      </w:pPr>
      <w:r>
        <w:rPr>
          <w:rFonts w:hint="eastAsia"/>
        </w:rPr>
        <w:t>检查数量：同一配合比的混凝土检查不应少于一次。</w:t>
      </w:r>
    </w:p>
    <w:p>
      <w:pPr>
        <w:pStyle w:val="167"/>
        <w:numPr>
          <w:ilvl w:val="3"/>
          <w:numId w:val="0"/>
        </w:numPr>
        <w:ind w:leftChars="0" w:firstLine="420" w:firstLineChars="200"/>
      </w:pPr>
      <w:r>
        <w:rPr>
          <w:rFonts w:hint="eastAsia"/>
        </w:rPr>
        <w:t>检验方法：检查开盘鉴定资料和强度试验报告。</w:t>
      </w:r>
    </w:p>
    <w:p>
      <w:pPr>
        <w:pStyle w:val="167"/>
      </w:pPr>
      <w:r>
        <w:rPr>
          <w:rFonts w:hint="eastAsia" w:ascii="宋体" w:hAnsi="宋体" w:eastAsia="宋体"/>
        </w:rPr>
        <w:t>构件混凝土的强度必须符合设计要求。混凝土强度应按《混凝土强度检验评定标准》GB/T 50107等标准的规定分批检验评定，混凝土强度评定结果应合格。混凝土试件应在浇筑地点随机抽取，取样频率和养护条件应符合以下规定</w:t>
      </w:r>
      <w:r>
        <w:rPr>
          <w:rFonts w:hint="eastAsia" w:hAnsi="宋体"/>
          <w:lang w:eastAsia="zh-CN"/>
        </w:rPr>
        <w:t>：</w:t>
      </w:r>
    </w:p>
    <w:p>
      <w:pPr>
        <w:pStyle w:val="176"/>
        <w:numPr>
          <w:ilvl w:val="0"/>
          <w:numId w:val="40"/>
        </w:numPr>
      </w:pPr>
      <w:r>
        <w:rPr>
          <w:rFonts w:hint="eastAsia"/>
        </w:rPr>
        <w:t>每拌制</w:t>
      </w:r>
      <w:r>
        <w:t>100</w:t>
      </w:r>
      <w:r>
        <w:rPr>
          <w:rFonts w:hint="eastAsia"/>
        </w:rPr>
        <w:t>盘且不超过</w:t>
      </w:r>
      <w:r>
        <w:t>100m</w:t>
      </w:r>
      <w:r>
        <w:rPr>
          <w:vertAlign w:val="superscript"/>
        </w:rPr>
        <w:t>3</w:t>
      </w:r>
      <w:r>
        <w:rPr>
          <w:rFonts w:hint="eastAsia"/>
        </w:rPr>
        <w:t>时，取样不得少于一次</w:t>
      </w:r>
      <w:r>
        <w:rPr>
          <w:rFonts w:hint="eastAsia"/>
          <w:lang w:eastAsia="zh-CN"/>
        </w:rPr>
        <w:t>；</w:t>
      </w:r>
    </w:p>
    <w:p>
      <w:pPr>
        <w:pStyle w:val="176"/>
        <w:numPr>
          <w:ilvl w:val="0"/>
          <w:numId w:val="40"/>
        </w:numPr>
      </w:pPr>
      <w:r>
        <w:rPr>
          <w:rFonts w:hint="eastAsia"/>
        </w:rPr>
        <w:t>每工作班拌制不足</w:t>
      </w:r>
      <w:r>
        <w:t>100</w:t>
      </w:r>
      <w:r>
        <w:rPr>
          <w:rFonts w:hint="eastAsia"/>
        </w:rPr>
        <w:t>盘时，取样不得少于一次</w:t>
      </w:r>
      <w:r>
        <w:rPr>
          <w:rFonts w:hint="eastAsia"/>
          <w:lang w:eastAsia="zh-CN"/>
        </w:rPr>
        <w:t>；</w:t>
      </w:r>
    </w:p>
    <w:p>
      <w:pPr>
        <w:pStyle w:val="176"/>
        <w:numPr>
          <w:ilvl w:val="0"/>
          <w:numId w:val="40"/>
        </w:numPr>
      </w:pPr>
      <w:r>
        <w:rPr>
          <w:rFonts w:hint="eastAsia"/>
        </w:rPr>
        <w:t>每次制作不少于3组，随机抽取1组试块随构件进行同条件养护再转标准养护后进行强度检验评定，其余可作为同条件养护试块在预制构件脱模和出厂时控制其混凝土强度；还可根据预制构件吊装、张拉和放张等要求，留置足够数量的同条件混凝土试块进行强度检验</w:t>
      </w:r>
      <w:r>
        <w:rPr>
          <w:rFonts w:hint="eastAsia"/>
          <w:lang w:eastAsia="zh-CN"/>
        </w:rPr>
        <w:t>。</w:t>
      </w:r>
    </w:p>
    <w:p>
      <w:pPr>
        <w:pStyle w:val="242"/>
        <w:ind w:firstLine="420" w:firstLineChars="200"/>
      </w:pPr>
      <w:r>
        <w:rPr>
          <w:rFonts w:hint="eastAsia"/>
        </w:rPr>
        <w:t>检查数量：按批检查。</w:t>
      </w:r>
    </w:p>
    <w:p>
      <w:pPr>
        <w:pStyle w:val="242"/>
        <w:ind w:firstLine="420" w:firstLineChars="200"/>
      </w:pPr>
      <w:r>
        <w:rPr>
          <w:rFonts w:hint="eastAsia"/>
        </w:rPr>
        <w:t>检验方法：检查施工记录及混凝土强度试验报告。</w:t>
      </w:r>
    </w:p>
    <w:p>
      <w:pPr>
        <w:pStyle w:val="167"/>
      </w:pPr>
      <w:r>
        <w:rPr>
          <w:rFonts w:hint="eastAsia" w:ascii="宋体" w:hAnsi="宋体" w:eastAsia="宋体"/>
        </w:rPr>
        <w:t>混凝土中氯离子含量和碱总含量应符合《混凝土结构设计规范》GB 50010等标准的规定和设计要求</w:t>
      </w:r>
      <w:r>
        <w:rPr>
          <w:rFonts w:hint="eastAsia" w:hAnsi="宋体"/>
          <w:lang w:eastAsia="zh-CN"/>
        </w:rPr>
        <w:t>。</w:t>
      </w:r>
    </w:p>
    <w:p>
      <w:pPr>
        <w:pStyle w:val="242"/>
        <w:ind w:firstLine="420" w:firstLineChars="200"/>
      </w:pPr>
      <w:r>
        <w:rPr>
          <w:rFonts w:hint="eastAsia"/>
        </w:rPr>
        <w:t>检查数量：同一配合比的混凝土检查不应少于一次。</w:t>
      </w:r>
    </w:p>
    <w:p>
      <w:pPr>
        <w:pStyle w:val="242"/>
        <w:ind w:firstLine="420" w:firstLineChars="200"/>
        <w:rPr>
          <w:rFonts w:hint="eastAsia"/>
        </w:rPr>
      </w:pPr>
      <w:r>
        <w:rPr>
          <w:rFonts w:hint="eastAsia"/>
        </w:rPr>
        <w:t>检验方法：检查氯离子、碱的总含量计算书或检测报告。</w:t>
      </w:r>
    </w:p>
    <w:p>
      <w:pPr>
        <w:pStyle w:val="233"/>
        <w:jc w:val="center"/>
        <w:rPr>
          <w:rFonts w:hint="eastAsia"/>
        </w:rPr>
      </w:pPr>
      <w:r>
        <w:rPr>
          <w:rFonts w:hint="eastAsia" w:ascii="黑体" w:eastAsia="黑体"/>
          <w:szCs w:val="21"/>
          <w:lang w:val="en-US" w:eastAsia="zh-CN"/>
        </w:rPr>
        <w:t>一般项目</w:t>
      </w:r>
    </w:p>
    <w:p>
      <w:pPr>
        <w:pStyle w:val="167"/>
      </w:pPr>
      <w:r>
        <w:rPr>
          <w:rFonts w:hint="eastAsia" w:ascii="宋体" w:hAnsi="宋体" w:eastAsia="宋体"/>
        </w:rPr>
        <w:t>拌制混凝土所用原材料的数量应符合混凝土配合比的规定。混凝土原材料每盘称量的偏差不应大于表11规定</w:t>
      </w:r>
      <w:r>
        <w:rPr>
          <w:rFonts w:hint="eastAsia" w:hAnsi="宋体"/>
          <w:lang w:eastAsia="zh-CN"/>
        </w:rPr>
        <w:t>。</w:t>
      </w:r>
    </w:p>
    <w:p>
      <w:pPr>
        <w:pStyle w:val="242"/>
        <w:jc w:val="center"/>
        <w:rPr>
          <w:rFonts w:hint="eastAsia"/>
        </w:rPr>
      </w:pPr>
      <w:r>
        <w:rPr>
          <w:rFonts w:hint="eastAsia"/>
        </w:rPr>
        <w:t>表11</w:t>
      </w:r>
      <w:r>
        <w:t xml:space="preserve"> </w:t>
      </w:r>
      <w:r>
        <w:rPr>
          <w:rFonts w:hint="eastAsia"/>
        </w:rPr>
        <w:t>混凝土原材料每盘称量的允许偏差</w:t>
      </w:r>
    </w:p>
    <w:tbl>
      <w:tblPr>
        <w:tblStyle w:val="27"/>
        <w:tblW w:w="559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80"/>
        <w:gridCol w:w="251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080" w:type="dxa"/>
            <w:noWrap w:val="0"/>
            <w:vAlign w:val="center"/>
          </w:tcPr>
          <w:p>
            <w:pPr>
              <w:jc w:val="center"/>
            </w:pPr>
            <w:r>
              <w:rPr>
                <w:rFonts w:hint="eastAsia"/>
              </w:rPr>
              <w:t>材料名称</w:t>
            </w:r>
          </w:p>
        </w:tc>
        <w:tc>
          <w:tcPr>
            <w:tcW w:w="2516" w:type="dxa"/>
            <w:noWrap w:val="0"/>
            <w:vAlign w:val="center"/>
          </w:tcPr>
          <w:p>
            <w:pPr>
              <w:jc w:val="center"/>
            </w:pPr>
            <w:r>
              <w:rPr>
                <w:rFonts w:hint="eastAsia"/>
              </w:rPr>
              <w:t>允许偏差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080" w:type="dxa"/>
            <w:noWrap w:val="0"/>
            <w:vAlign w:val="center"/>
          </w:tcPr>
          <w:p>
            <w:pPr>
              <w:jc w:val="center"/>
            </w:pPr>
            <w:r>
              <w:rPr>
                <w:rFonts w:hint="eastAsia"/>
              </w:rPr>
              <w:t>胶凝材料</w:t>
            </w:r>
          </w:p>
        </w:tc>
        <w:tc>
          <w:tcPr>
            <w:tcW w:w="2516" w:type="dxa"/>
            <w:noWrap w:val="0"/>
            <w:vAlign w:val="center"/>
          </w:tcPr>
          <w:p>
            <w:pPr>
              <w:jc w:val="center"/>
            </w:pPr>
            <w:r>
              <w:rPr>
                <w:rFonts w:hint="eastAsia"/>
              </w:rPr>
              <w:t>±</w:t>
            </w:r>
            <w:r>
              <w:t>2</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080" w:type="dxa"/>
            <w:noWrap w:val="0"/>
            <w:vAlign w:val="center"/>
          </w:tcPr>
          <w:p>
            <w:pPr>
              <w:jc w:val="center"/>
            </w:pPr>
            <w:r>
              <w:rPr>
                <w:rFonts w:hint="eastAsia"/>
              </w:rPr>
              <w:t>粗、细骨料</w:t>
            </w:r>
          </w:p>
        </w:tc>
        <w:tc>
          <w:tcPr>
            <w:tcW w:w="2516" w:type="dxa"/>
            <w:noWrap w:val="0"/>
            <w:vAlign w:val="center"/>
          </w:tcPr>
          <w:p>
            <w:pPr>
              <w:jc w:val="center"/>
            </w:pPr>
            <w:r>
              <w:rPr>
                <w:rFonts w:hint="eastAsia"/>
              </w:rPr>
              <w:t>±</w:t>
            </w:r>
            <w:r>
              <w:t>3</w:t>
            </w:r>
            <w:r>
              <w:rPr>
                <w:rFonts w:hint="eastAsia"/>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080" w:type="dxa"/>
            <w:noWrap w:val="0"/>
            <w:vAlign w:val="center"/>
          </w:tcPr>
          <w:p>
            <w:pPr>
              <w:jc w:val="center"/>
            </w:pPr>
            <w:r>
              <w:rPr>
                <w:rFonts w:hint="eastAsia"/>
              </w:rPr>
              <w:t>水、外加剂</w:t>
            </w:r>
          </w:p>
        </w:tc>
        <w:tc>
          <w:tcPr>
            <w:tcW w:w="2516" w:type="dxa"/>
            <w:noWrap w:val="0"/>
            <w:vAlign w:val="center"/>
          </w:tcPr>
          <w:p>
            <w:pPr>
              <w:jc w:val="center"/>
            </w:pPr>
            <w:r>
              <w:rPr>
                <w:rFonts w:hint="eastAsia"/>
              </w:rPr>
              <w:t>±</w:t>
            </w:r>
            <w:r>
              <w:t>1</w:t>
            </w:r>
            <w:r>
              <w:rPr>
                <w:rFonts w:hint="eastAsia"/>
              </w:rPr>
              <w:t>％</w:t>
            </w:r>
          </w:p>
        </w:tc>
      </w:tr>
    </w:tbl>
    <w:p>
      <w:pPr>
        <w:pStyle w:val="242"/>
        <w:ind w:firstLine="420" w:firstLineChars="200"/>
      </w:pPr>
      <w:r>
        <w:rPr>
          <w:rFonts w:hint="eastAsia"/>
        </w:rPr>
        <w:t>检查数量：每工作班不应少于</w:t>
      </w:r>
      <w:r>
        <w:t>1</w:t>
      </w:r>
      <w:r>
        <w:rPr>
          <w:rFonts w:hint="eastAsia"/>
        </w:rPr>
        <w:t>次。</w:t>
      </w:r>
    </w:p>
    <w:p>
      <w:pPr>
        <w:pStyle w:val="167"/>
        <w:numPr>
          <w:ilvl w:val="3"/>
          <w:numId w:val="0"/>
        </w:numPr>
        <w:ind w:leftChars="0" w:firstLine="420" w:firstLineChars="200"/>
      </w:pPr>
      <w:r>
        <w:rPr>
          <w:rFonts w:hint="eastAsia"/>
        </w:rPr>
        <w:t>检验方法：检查复核称量装置的数值。</w:t>
      </w:r>
    </w:p>
    <w:p>
      <w:pPr>
        <w:pStyle w:val="167"/>
      </w:pPr>
      <w:r>
        <w:rPr>
          <w:rFonts w:hint="eastAsia" w:ascii="宋体" w:hAnsi="宋体" w:eastAsia="宋体"/>
        </w:rPr>
        <w:t>拌合混凝土前，应测定砂、石含水率，并根据测定结果调整材料用量，提出混凝土施工配合比。当遇到雨天或含水率变化大时，应增加含水率测定次数，并及时调整水和骨料的重量</w:t>
      </w:r>
      <w:r>
        <w:rPr>
          <w:rFonts w:hint="eastAsia" w:hAnsi="宋体"/>
          <w:lang w:eastAsia="zh-CN"/>
        </w:rPr>
        <w:t>。</w:t>
      </w:r>
    </w:p>
    <w:p>
      <w:pPr>
        <w:pStyle w:val="242"/>
        <w:ind w:firstLine="420" w:firstLineChars="200"/>
      </w:pPr>
      <w:r>
        <w:rPr>
          <w:rFonts w:hint="eastAsia"/>
        </w:rPr>
        <w:t>检查数量：每工作班不应少于</w:t>
      </w:r>
      <w:r>
        <w:rPr>
          <w:rFonts w:hint="eastAsia"/>
          <w:lang w:val="en-US" w:eastAsia="zh-CN"/>
        </w:rPr>
        <w:t>一</w:t>
      </w:r>
      <w:r>
        <w:rPr>
          <w:rFonts w:hint="eastAsia"/>
        </w:rPr>
        <w:t>次。</w:t>
      </w:r>
    </w:p>
    <w:p>
      <w:pPr>
        <w:pStyle w:val="167"/>
        <w:numPr>
          <w:ilvl w:val="3"/>
          <w:numId w:val="0"/>
        </w:numPr>
        <w:ind w:leftChars="0" w:firstLine="420" w:firstLineChars="200"/>
      </w:pPr>
      <w:r>
        <w:rPr>
          <w:rFonts w:hint="eastAsia"/>
        </w:rPr>
        <w:t>检验方法：检查砂、石含水率测量记录及施工配合比。</w:t>
      </w:r>
    </w:p>
    <w:p>
      <w:pPr>
        <w:pStyle w:val="167"/>
      </w:pPr>
      <w:r>
        <w:rPr>
          <w:rFonts w:hint="eastAsia" w:ascii="宋体" w:hAnsi="宋体" w:eastAsia="宋体"/>
        </w:rPr>
        <w:t>混凝土拌合物应搅拌均匀、颜色一致，其工作性能应符合混凝土配合比设计的规定。</w:t>
      </w:r>
    </w:p>
    <w:p>
      <w:pPr>
        <w:pStyle w:val="242"/>
        <w:ind w:firstLine="420" w:firstLineChars="200"/>
      </w:pPr>
      <w:r>
        <w:rPr>
          <w:rFonts w:hint="eastAsia"/>
        </w:rPr>
        <w:t>检查数量：同一强度等级每台班至少检查</w:t>
      </w:r>
      <w:r>
        <w:rPr>
          <w:rFonts w:hint="eastAsia"/>
          <w:lang w:val="en-US" w:eastAsia="zh-CN"/>
        </w:rPr>
        <w:t>一</w:t>
      </w:r>
      <w:r>
        <w:rPr>
          <w:rFonts w:hint="eastAsia"/>
        </w:rPr>
        <w:t>次。</w:t>
      </w:r>
    </w:p>
    <w:p>
      <w:pPr>
        <w:pStyle w:val="242"/>
        <w:ind w:firstLine="420" w:firstLineChars="200"/>
        <w:rPr>
          <w:rFonts w:hint="eastAsia"/>
        </w:rPr>
      </w:pPr>
      <w:r>
        <w:rPr>
          <w:rFonts w:hint="eastAsia"/>
        </w:rPr>
        <w:t>检验方法：观察、用混凝土坍落度筒或维勃稠度仪抽样检查。</w:t>
      </w:r>
    </w:p>
    <w:p>
      <w:pPr>
        <w:pStyle w:val="167"/>
        <w:rPr>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混凝土有耐久性指标要求时，应进行耐久性检验</w:t>
      </w:r>
      <w:r>
        <w:rPr>
          <w:rFonts w:hint="eastAsia" w:hAnsi="宋体"/>
          <w:color w:val="000000" w:themeColor="text1"/>
          <w:lang w:eastAsia="zh-CN"/>
          <w14:textFill>
            <w14:solidFill>
              <w14:schemeClr w14:val="tx1"/>
            </w14:solidFill>
          </w14:textFill>
        </w:rPr>
        <w:t>。</w:t>
      </w:r>
    </w:p>
    <w:p>
      <w:pPr>
        <w:pStyle w:val="242"/>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检查数量：同一配合比的混凝土检查不应少于一次。</w:t>
      </w:r>
    </w:p>
    <w:p>
      <w:pPr>
        <w:pStyle w:val="242"/>
        <w:ind w:firstLine="42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检验方法：检验混凝土耐久性指标试验报告。</w:t>
      </w:r>
    </w:p>
    <w:p>
      <w:pPr>
        <w:pStyle w:val="167"/>
      </w:pPr>
      <w:r>
        <w:rPr>
          <w:rFonts w:hint="eastAsia" w:ascii="宋体" w:hAnsi="宋体" w:eastAsia="宋体"/>
        </w:rPr>
        <w:t>混凝土振捣应能使模板内各个部位混凝土密实、均匀，不应漏振、欠振、过振。浇筑质量应符合《混凝土结构工程施工规范》GB 50666及相关标准规定</w:t>
      </w:r>
      <w:r>
        <w:rPr>
          <w:rFonts w:hint="eastAsia" w:hAnsi="宋体"/>
          <w:lang w:eastAsia="zh-CN"/>
        </w:rPr>
        <w:t>。</w:t>
      </w:r>
    </w:p>
    <w:p>
      <w:pPr>
        <w:pStyle w:val="242"/>
        <w:ind w:firstLine="420" w:firstLineChars="200"/>
      </w:pPr>
      <w:r>
        <w:rPr>
          <w:rFonts w:hint="eastAsia"/>
        </w:rPr>
        <w:t>检查数量：全数检查。</w:t>
      </w:r>
    </w:p>
    <w:p>
      <w:pPr>
        <w:pStyle w:val="242"/>
        <w:ind w:firstLine="420" w:firstLineChars="200"/>
      </w:pPr>
      <w:r>
        <w:rPr>
          <w:rFonts w:hint="eastAsia"/>
        </w:rPr>
        <w:t>检查方法：目测。</w:t>
      </w:r>
    </w:p>
    <w:p>
      <w:pPr>
        <w:pStyle w:val="167"/>
      </w:pPr>
      <w:r>
        <w:rPr>
          <w:rFonts w:hint="eastAsia" w:ascii="宋体" w:hAnsi="宋体" w:eastAsia="宋体"/>
        </w:rPr>
        <w:t>预制构件成型后应按生产方案规定的混凝土养护制度进行养护；当采用加热养护时，升温速度、恒温温度及降温速度应不超过方案规定的范围</w:t>
      </w:r>
      <w:r>
        <w:rPr>
          <w:rFonts w:hint="eastAsia" w:hAnsi="宋体"/>
          <w:lang w:eastAsia="zh-CN"/>
        </w:rPr>
        <w:t>。</w:t>
      </w:r>
    </w:p>
    <w:p>
      <w:pPr>
        <w:pStyle w:val="242"/>
        <w:ind w:firstLine="420" w:firstLineChars="200"/>
      </w:pPr>
      <w:r>
        <w:rPr>
          <w:rFonts w:hint="eastAsia"/>
        </w:rPr>
        <w:t>检查数量：按批检查。</w:t>
      </w:r>
    </w:p>
    <w:p>
      <w:pPr>
        <w:pStyle w:val="242"/>
        <w:ind w:firstLine="420" w:firstLineChars="200"/>
      </w:pPr>
      <w:r>
        <w:rPr>
          <w:rFonts w:hint="eastAsia"/>
        </w:rPr>
        <w:t>检验方法：检查养护及测温记录。</w:t>
      </w:r>
    </w:p>
    <w:p>
      <w:pPr>
        <w:pStyle w:val="107"/>
        <w:spacing w:before="156" w:after="156"/>
      </w:pPr>
      <w:r>
        <w:rPr>
          <w:rFonts w:hint="eastAsia"/>
          <w:lang w:val="en-US" w:eastAsia="zh-CN"/>
        </w:rPr>
        <w:t>预应力工程</w:t>
      </w:r>
    </w:p>
    <w:p>
      <w:pPr>
        <w:pStyle w:val="233"/>
        <w:jc w:val="center"/>
        <w:rPr>
          <w:rFonts w:hint="eastAsia" w:ascii="黑体" w:eastAsia="黑体"/>
          <w:szCs w:val="21"/>
          <w:lang w:val="en-US" w:eastAsia="zh-CN"/>
        </w:rPr>
      </w:pPr>
      <w:r>
        <w:rPr>
          <w:rFonts w:hint="eastAsia" w:ascii="黑体" w:eastAsia="黑体"/>
          <w:szCs w:val="21"/>
          <w:lang w:val="en-US" w:eastAsia="zh-CN"/>
        </w:rPr>
        <w:t>主控项目</w:t>
      </w:r>
    </w:p>
    <w:p>
      <w:pPr>
        <w:pStyle w:val="167"/>
      </w:pPr>
      <w:r>
        <w:rPr>
          <w:rFonts w:hint="eastAsia" w:ascii="宋体" w:hAnsi="宋体" w:eastAsia="宋体"/>
        </w:rPr>
        <w:t>预应力筋品种、规格、级别、数量及安装位置必须符合设计要求</w:t>
      </w:r>
      <w:r>
        <w:rPr>
          <w:rFonts w:hint="eastAsia" w:hAnsi="宋体"/>
          <w:lang w:eastAsia="zh-CN"/>
        </w:rPr>
        <w:t>。</w:t>
      </w:r>
    </w:p>
    <w:p>
      <w:pPr>
        <w:pStyle w:val="242"/>
        <w:ind w:firstLine="420" w:firstLineChars="200"/>
      </w:pPr>
      <w:r>
        <w:rPr>
          <w:rFonts w:hint="eastAsia"/>
        </w:rPr>
        <w:t>检查数量：全数检查。</w:t>
      </w:r>
    </w:p>
    <w:p>
      <w:pPr>
        <w:pStyle w:val="242"/>
        <w:ind w:firstLine="420" w:firstLineChars="200"/>
        <w:rPr>
          <w:rFonts w:hint="eastAsia"/>
        </w:rPr>
      </w:pPr>
      <w:r>
        <w:rPr>
          <w:rFonts w:hint="eastAsia"/>
        </w:rPr>
        <w:t>检验方法：观察，尺量。</w:t>
      </w:r>
    </w:p>
    <w:p>
      <w:pPr>
        <w:pStyle w:val="167"/>
      </w:pPr>
      <w:r>
        <w:rPr>
          <w:rFonts w:hint="eastAsia" w:ascii="宋体" w:hAnsi="宋体" w:eastAsia="宋体"/>
        </w:rPr>
        <w:t>混凝土浇筑前应检验预应力筋张拉锚固后实际预应力值，其值与设计值的偏差绝对值不应超过5％</w:t>
      </w:r>
      <w:r>
        <w:rPr>
          <w:rFonts w:hint="eastAsia" w:hAnsi="宋体"/>
          <w:lang w:eastAsia="zh-CN"/>
        </w:rPr>
        <w:t>。</w:t>
      </w:r>
    </w:p>
    <w:p>
      <w:pPr>
        <w:pStyle w:val="242"/>
        <w:ind w:firstLine="420" w:firstLineChars="200"/>
      </w:pPr>
      <w:r>
        <w:rPr>
          <w:rFonts w:hint="eastAsia"/>
        </w:rPr>
        <w:t>检查数量：每工作班抽查预应力筋总数的</w:t>
      </w:r>
      <w:r>
        <w:t>1</w:t>
      </w:r>
      <w:r>
        <w:rPr>
          <w:rFonts w:hint="eastAsia"/>
        </w:rPr>
        <w:t>％，且不应少于</w:t>
      </w:r>
      <w:r>
        <w:t>3</w:t>
      </w:r>
      <w:r>
        <w:rPr>
          <w:rFonts w:hint="eastAsia"/>
        </w:rPr>
        <w:t>根。</w:t>
      </w:r>
    </w:p>
    <w:p>
      <w:pPr>
        <w:pStyle w:val="167"/>
        <w:numPr>
          <w:ilvl w:val="3"/>
          <w:numId w:val="0"/>
        </w:numPr>
        <w:ind w:leftChars="0" w:firstLine="420" w:firstLineChars="200"/>
      </w:pPr>
      <w:r>
        <w:rPr>
          <w:rFonts w:hint="eastAsia"/>
        </w:rPr>
        <w:t>检验方法：检查张拉设备上预应力筋应力的张拉记录。</w:t>
      </w:r>
    </w:p>
    <w:p>
      <w:pPr>
        <w:pStyle w:val="167"/>
      </w:pPr>
      <w:r>
        <w:rPr>
          <w:rFonts w:hint="eastAsia" w:ascii="宋体" w:hAnsi="宋体" w:eastAsia="宋体"/>
        </w:rPr>
        <w:t>预应力筋放张前，应对构件混凝土强度进行检验。同条件养护的混凝土立方体试件抗压强度应符合设计要求，当设计无要求时应符合下列规定</w:t>
      </w:r>
      <w:r>
        <w:rPr>
          <w:rFonts w:hint="eastAsia" w:hAnsi="宋体"/>
          <w:lang w:eastAsia="zh-CN"/>
        </w:rPr>
        <w:t>：</w:t>
      </w:r>
    </w:p>
    <w:p>
      <w:pPr>
        <w:pStyle w:val="176"/>
        <w:numPr>
          <w:ilvl w:val="0"/>
          <w:numId w:val="41"/>
        </w:numPr>
      </w:pPr>
      <w:r>
        <w:rPr>
          <w:rFonts w:hint="eastAsia"/>
        </w:rPr>
        <w:t>应达到配套锚固产品技术要求的混凝土最低强度且不应低于设计混凝土强度等级值的</w:t>
      </w:r>
      <w:r>
        <w:t>75</w:t>
      </w:r>
      <w:r>
        <w:rPr>
          <w:rFonts w:hint="eastAsia"/>
        </w:rPr>
        <w:t>％</w:t>
      </w:r>
      <w:r>
        <w:rPr>
          <w:rFonts w:hint="eastAsia"/>
          <w:lang w:eastAsia="zh-CN"/>
        </w:rPr>
        <w:t>；</w:t>
      </w:r>
    </w:p>
    <w:p>
      <w:pPr>
        <w:pStyle w:val="176"/>
        <w:numPr>
          <w:ilvl w:val="0"/>
          <w:numId w:val="41"/>
        </w:numPr>
      </w:pPr>
      <w:r>
        <w:rPr>
          <w:rFonts w:hint="eastAsia"/>
        </w:rPr>
        <w:t>对采用消除应力钢丝或钢绞线作为预应力筋的先张法构件，混凝土强度不应低于30MPa</w:t>
      </w:r>
      <w:r>
        <w:rPr>
          <w:rFonts w:hint="eastAsia"/>
          <w:lang w:eastAsia="zh-CN"/>
        </w:rPr>
        <w:t>。</w:t>
      </w:r>
    </w:p>
    <w:p>
      <w:pPr>
        <w:pStyle w:val="242"/>
        <w:ind w:firstLine="420" w:firstLineChars="200"/>
      </w:pPr>
      <w:r>
        <w:rPr>
          <w:rFonts w:hint="eastAsia"/>
        </w:rPr>
        <w:t>检查数量：全数检查。</w:t>
      </w:r>
    </w:p>
    <w:p>
      <w:pPr>
        <w:pStyle w:val="167"/>
        <w:numPr>
          <w:ilvl w:val="3"/>
          <w:numId w:val="0"/>
        </w:numPr>
        <w:ind w:leftChars="0" w:firstLine="420" w:firstLineChars="200"/>
        <w:rPr>
          <w:rFonts w:hint="eastAsia"/>
        </w:rPr>
      </w:pPr>
      <w:r>
        <w:rPr>
          <w:rFonts w:hint="eastAsia"/>
        </w:rPr>
        <w:t>检验方法：检查同条件养护试件抗压强度试验报告。</w:t>
      </w:r>
    </w:p>
    <w:p>
      <w:pPr>
        <w:pStyle w:val="233"/>
        <w:jc w:val="center"/>
        <w:rPr>
          <w:rFonts w:hint="eastAsia"/>
        </w:rPr>
      </w:pPr>
      <w:r>
        <w:rPr>
          <w:rFonts w:hint="eastAsia" w:ascii="黑体" w:eastAsia="黑体"/>
          <w:szCs w:val="21"/>
          <w:lang w:val="en-US" w:eastAsia="zh-CN"/>
        </w:rPr>
        <w:t>一般项目</w:t>
      </w:r>
    </w:p>
    <w:p>
      <w:pPr>
        <w:pStyle w:val="167"/>
      </w:pPr>
      <w:r>
        <w:rPr>
          <w:rFonts w:hint="eastAsia" w:ascii="宋体" w:hAnsi="宋体" w:eastAsia="宋体"/>
        </w:rPr>
        <w:t>钢筋半成品的外观质量要求应符合表1</w:t>
      </w:r>
      <w:r>
        <w:rPr>
          <w:rFonts w:hint="eastAsia" w:ascii="宋体" w:hAnsi="宋体" w:eastAsia="宋体"/>
          <w:lang w:val="en-US" w:eastAsia="zh-CN"/>
        </w:rPr>
        <w:t>2</w:t>
      </w:r>
      <w:r>
        <w:rPr>
          <w:rFonts w:hint="eastAsia" w:ascii="宋体" w:hAnsi="宋体" w:eastAsia="宋体"/>
        </w:rPr>
        <w:t>的规定</w:t>
      </w:r>
      <w:r>
        <w:rPr>
          <w:rFonts w:hint="eastAsia" w:hAnsi="宋体"/>
          <w:lang w:eastAsia="zh-CN"/>
        </w:rPr>
        <w:t>。</w:t>
      </w:r>
    </w:p>
    <w:p>
      <w:pPr>
        <w:pStyle w:val="242"/>
        <w:jc w:val="center"/>
      </w:pPr>
      <w:r>
        <w:rPr>
          <w:rFonts w:hint="eastAsia"/>
        </w:rPr>
        <w:t>表1</w:t>
      </w:r>
      <w:r>
        <w:rPr>
          <w:rFonts w:hint="eastAsia"/>
          <w:lang w:val="en-US" w:eastAsia="zh-CN"/>
        </w:rPr>
        <w:t>2</w:t>
      </w:r>
      <w:r>
        <w:rPr>
          <w:rFonts w:hint="eastAsia"/>
        </w:rPr>
        <w:t>钢筋半成品外观质量要求</w:t>
      </w:r>
    </w:p>
    <w:tbl>
      <w:tblPr>
        <w:tblStyle w:val="27"/>
        <w:tblW w:w="797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3807"/>
        <w:gridCol w:w="28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noWrap w:val="0"/>
            <w:vAlign w:val="center"/>
          </w:tcPr>
          <w:p>
            <w:pPr>
              <w:jc w:val="center"/>
            </w:pPr>
            <w:r>
              <w:rPr>
                <w:rFonts w:hint="eastAsia"/>
              </w:rPr>
              <w:t>工序名称</w:t>
            </w:r>
          </w:p>
        </w:tc>
        <w:tc>
          <w:tcPr>
            <w:tcW w:w="3807" w:type="dxa"/>
            <w:noWrap w:val="0"/>
            <w:vAlign w:val="center"/>
          </w:tcPr>
          <w:p>
            <w:pPr>
              <w:jc w:val="center"/>
            </w:pPr>
            <w:r>
              <w:rPr>
                <w:rFonts w:hint="eastAsia"/>
              </w:rPr>
              <w:t>检验项目</w:t>
            </w:r>
          </w:p>
        </w:tc>
        <w:tc>
          <w:tcPr>
            <w:tcW w:w="2835" w:type="dxa"/>
            <w:noWrap w:val="0"/>
            <w:vAlign w:val="center"/>
          </w:tcPr>
          <w:p>
            <w:pPr>
              <w:jc w:val="center"/>
            </w:pPr>
            <w:r>
              <w:rPr>
                <w:rFonts w:hint="eastAsia"/>
              </w:rPr>
              <w:t>质量要求</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pPr>
              <w:jc w:val="center"/>
            </w:pPr>
            <w:r>
              <w:rPr>
                <w:rFonts w:hint="eastAsia"/>
              </w:rPr>
              <w:t>冷拉</w:t>
            </w:r>
          </w:p>
        </w:tc>
        <w:tc>
          <w:tcPr>
            <w:tcW w:w="3807" w:type="dxa"/>
            <w:noWrap w:val="0"/>
            <w:vAlign w:val="center"/>
          </w:tcPr>
          <w:p>
            <w:pPr>
              <w:jc w:val="center"/>
            </w:pPr>
            <w:r>
              <w:rPr>
                <w:rFonts w:hint="eastAsia"/>
              </w:rPr>
              <w:t>钢筋表面裂纹、断面明显粗细不匀</w:t>
            </w:r>
          </w:p>
        </w:tc>
        <w:tc>
          <w:tcPr>
            <w:tcW w:w="2835"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pPr>
              <w:jc w:val="center"/>
            </w:pPr>
            <w:r>
              <w:rPr>
                <w:rFonts w:hint="eastAsia"/>
              </w:rPr>
              <w:t>冷拔</w:t>
            </w:r>
          </w:p>
        </w:tc>
        <w:tc>
          <w:tcPr>
            <w:tcW w:w="3807" w:type="dxa"/>
            <w:noWrap w:val="0"/>
            <w:vAlign w:val="center"/>
          </w:tcPr>
          <w:p>
            <w:pPr>
              <w:jc w:val="center"/>
            </w:pPr>
            <w:r>
              <w:rPr>
                <w:rFonts w:hint="eastAsia"/>
              </w:rPr>
              <w:t>钢筋表面斑痕、裂纹、纵向拉痕</w:t>
            </w:r>
          </w:p>
        </w:tc>
        <w:tc>
          <w:tcPr>
            <w:tcW w:w="2835"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noWrap w:val="0"/>
            <w:vAlign w:val="center"/>
          </w:tcPr>
          <w:p>
            <w:pPr>
              <w:jc w:val="center"/>
            </w:pPr>
            <w:r>
              <w:rPr>
                <w:rFonts w:hint="eastAsia"/>
              </w:rPr>
              <w:t>冷镦</w:t>
            </w:r>
          </w:p>
        </w:tc>
        <w:tc>
          <w:tcPr>
            <w:tcW w:w="3807" w:type="dxa"/>
            <w:noWrap w:val="0"/>
            <w:vAlign w:val="center"/>
          </w:tcPr>
          <w:p>
            <w:pPr>
              <w:jc w:val="center"/>
            </w:pPr>
            <w:r>
              <w:rPr>
                <w:rFonts w:hint="eastAsia"/>
              </w:rPr>
              <w:t>镦头严重裂纹</w:t>
            </w:r>
          </w:p>
        </w:tc>
        <w:tc>
          <w:tcPr>
            <w:tcW w:w="2835" w:type="dxa"/>
            <w:noWrap w:val="0"/>
            <w:vAlign w:val="center"/>
          </w:tcPr>
          <w:p>
            <w:pPr>
              <w:jc w:val="center"/>
            </w:pPr>
            <w:r>
              <w:rPr>
                <w:rFonts w:hint="eastAsia"/>
              </w:rPr>
              <w:t>不应有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335" w:type="dxa"/>
            <w:noWrap w:val="0"/>
            <w:vAlign w:val="center"/>
          </w:tcPr>
          <w:p>
            <w:pPr>
              <w:jc w:val="center"/>
            </w:pPr>
            <w:r>
              <w:rPr>
                <w:rFonts w:hint="eastAsia"/>
              </w:rPr>
              <w:t>热镦</w:t>
            </w:r>
          </w:p>
        </w:tc>
        <w:tc>
          <w:tcPr>
            <w:tcW w:w="3807" w:type="dxa"/>
            <w:noWrap w:val="0"/>
            <w:vAlign w:val="center"/>
          </w:tcPr>
          <w:p>
            <w:pPr>
              <w:jc w:val="center"/>
            </w:pPr>
            <w:r>
              <w:rPr>
                <w:rFonts w:hint="eastAsia"/>
              </w:rPr>
              <w:t>夹具处钢筋烧伤</w:t>
            </w:r>
          </w:p>
        </w:tc>
        <w:tc>
          <w:tcPr>
            <w:tcW w:w="2835" w:type="dxa"/>
            <w:noWrap w:val="0"/>
            <w:vAlign w:val="center"/>
          </w:tcPr>
          <w:p>
            <w:pPr>
              <w:jc w:val="center"/>
            </w:pPr>
            <w:r>
              <w:rPr>
                <w:rFonts w:hint="eastAsia"/>
              </w:rPr>
              <w:t>不应有</w:t>
            </w:r>
          </w:p>
        </w:tc>
      </w:tr>
    </w:tbl>
    <w:p>
      <w:pPr>
        <w:pStyle w:val="242"/>
        <w:ind w:firstLine="420" w:firstLineChars="200"/>
      </w:pPr>
      <w:r>
        <w:rPr>
          <w:rFonts w:hint="eastAsia"/>
        </w:rPr>
        <w:t>检查数量：每一工作班检验次数不少于一次，每次以同一班组同一工序的钢筋半成品为一批，每批随机抽件数量不少于</w:t>
      </w:r>
      <w:r>
        <w:t>3</w:t>
      </w:r>
      <w:r>
        <w:rPr>
          <w:rFonts w:hint="eastAsia"/>
        </w:rPr>
        <w:t>件。</w:t>
      </w:r>
    </w:p>
    <w:p>
      <w:pPr>
        <w:pStyle w:val="242"/>
        <w:ind w:firstLine="420" w:firstLineChars="200"/>
      </w:pPr>
      <w:r>
        <w:rPr>
          <w:rFonts w:hint="eastAsia"/>
        </w:rPr>
        <w:t>检查方法：观察。</w:t>
      </w:r>
    </w:p>
    <w:p>
      <w:pPr>
        <w:pStyle w:val="167"/>
      </w:pPr>
      <w:r>
        <w:rPr>
          <w:rFonts w:hint="eastAsia" w:ascii="宋体" w:hAnsi="宋体" w:eastAsia="宋体"/>
        </w:rPr>
        <w:t>预应力筋端部锚具的制作质量应符合下列规定</w:t>
      </w:r>
      <w:r>
        <w:rPr>
          <w:rFonts w:hint="eastAsia" w:hAnsi="宋体"/>
          <w:lang w:eastAsia="zh-CN"/>
        </w:rPr>
        <w:t>：</w:t>
      </w:r>
    </w:p>
    <w:p>
      <w:pPr>
        <w:pStyle w:val="176"/>
        <w:numPr>
          <w:ilvl w:val="0"/>
          <w:numId w:val="42"/>
        </w:numPr>
      </w:pPr>
      <w:r>
        <w:rPr>
          <w:rFonts w:hint="eastAsia"/>
        </w:rPr>
        <w:t>钢绞线挤压锚具挤压完成后，预应力筋外端露出挤压套筒的长度不应小于</w:t>
      </w:r>
      <w:r>
        <w:t>1mm</w:t>
      </w:r>
      <w:r>
        <w:rPr>
          <w:rFonts w:hint="eastAsia"/>
          <w:lang w:eastAsia="zh-CN"/>
        </w:rPr>
        <w:t>；</w:t>
      </w:r>
    </w:p>
    <w:p>
      <w:pPr>
        <w:pStyle w:val="176"/>
        <w:numPr>
          <w:ilvl w:val="0"/>
          <w:numId w:val="42"/>
        </w:numPr>
      </w:pPr>
      <w:r>
        <w:rPr>
          <w:rFonts w:hint="eastAsia"/>
        </w:rPr>
        <w:t>钢绞线压花锚具的梨形头尺寸和直线锚固段长度不应小于设计值</w:t>
      </w:r>
      <w:r>
        <w:rPr>
          <w:rFonts w:hint="eastAsia"/>
          <w:lang w:eastAsia="zh-CN"/>
        </w:rPr>
        <w:t>；</w:t>
      </w:r>
    </w:p>
    <w:p>
      <w:pPr>
        <w:pStyle w:val="176"/>
        <w:numPr>
          <w:ilvl w:val="0"/>
          <w:numId w:val="42"/>
        </w:numPr>
      </w:pPr>
      <w:r>
        <w:rPr>
          <w:rFonts w:hint="eastAsia"/>
        </w:rPr>
        <w:t>钢丝镦头不应出现横向裂纹，镦头的强度不得低于钢丝强度标准值的</w:t>
      </w:r>
      <w:r>
        <w:t>98</w:t>
      </w:r>
      <w:r>
        <w:rPr>
          <w:rFonts w:hint="eastAsia"/>
        </w:rPr>
        <w:t>％</w:t>
      </w:r>
      <w:r>
        <w:rPr>
          <w:rFonts w:hint="eastAsia"/>
          <w:lang w:eastAsia="zh-CN"/>
        </w:rPr>
        <w:t>。</w:t>
      </w:r>
    </w:p>
    <w:p>
      <w:pPr>
        <w:pStyle w:val="242"/>
        <w:ind w:firstLine="420" w:firstLineChars="200"/>
      </w:pPr>
      <w:r>
        <w:rPr>
          <w:rFonts w:hint="eastAsia"/>
        </w:rPr>
        <w:t>检查数量：对挤压锚，每工作班抽查</w:t>
      </w:r>
      <w:r>
        <w:t>5</w:t>
      </w:r>
      <w:r>
        <w:rPr>
          <w:rFonts w:hint="eastAsia"/>
        </w:rPr>
        <w:t>％，且不应少于</w:t>
      </w:r>
      <w:r>
        <w:t>5</w:t>
      </w:r>
      <w:r>
        <w:rPr>
          <w:rFonts w:hint="eastAsia"/>
        </w:rPr>
        <w:t>件；对压花锚，每工作班抽查</w:t>
      </w:r>
      <w:r>
        <w:t>3</w:t>
      </w:r>
      <w:r>
        <w:rPr>
          <w:rFonts w:hint="eastAsia"/>
        </w:rPr>
        <w:t>件；对钢丝镦头强度，每批钢丝检查</w:t>
      </w:r>
      <w:r>
        <w:t>6</w:t>
      </w:r>
      <w:r>
        <w:rPr>
          <w:rFonts w:hint="eastAsia"/>
        </w:rPr>
        <w:t>个镦头试件。</w:t>
      </w:r>
    </w:p>
    <w:p>
      <w:pPr>
        <w:pStyle w:val="242"/>
        <w:ind w:firstLine="420" w:firstLineChars="200"/>
        <w:rPr>
          <w:rFonts w:hint="eastAsia"/>
        </w:rPr>
      </w:pPr>
      <w:r>
        <w:rPr>
          <w:rFonts w:hint="eastAsia"/>
        </w:rPr>
        <w:t>检验方法：观察，尺量，检查镦头强度试验报告。</w:t>
      </w:r>
    </w:p>
    <w:p>
      <w:pPr>
        <w:pStyle w:val="167"/>
      </w:pPr>
      <w:r>
        <w:rPr>
          <w:rFonts w:hint="eastAsia" w:ascii="宋体" w:hAnsi="宋体" w:eastAsia="宋体"/>
        </w:rPr>
        <w:t>预应力筋安装质量应符合下列规定</w:t>
      </w:r>
      <w:r>
        <w:rPr>
          <w:rFonts w:hint="eastAsia" w:hAnsi="宋体"/>
          <w:lang w:eastAsia="zh-CN"/>
        </w:rPr>
        <w:t>：</w:t>
      </w:r>
    </w:p>
    <w:p>
      <w:pPr>
        <w:pStyle w:val="176"/>
        <w:numPr>
          <w:ilvl w:val="0"/>
          <w:numId w:val="43"/>
        </w:numPr>
      </w:pPr>
      <w:r>
        <w:rPr>
          <w:rFonts w:hint="eastAsia"/>
        </w:rPr>
        <w:t>预应力筋应平顺，并应与定位支撑钢筋绑扎牢固</w:t>
      </w:r>
      <w:r>
        <w:rPr>
          <w:rFonts w:hint="eastAsia"/>
          <w:lang w:eastAsia="zh-CN"/>
        </w:rPr>
        <w:t>；</w:t>
      </w:r>
    </w:p>
    <w:p>
      <w:pPr>
        <w:pStyle w:val="176"/>
        <w:numPr>
          <w:ilvl w:val="0"/>
          <w:numId w:val="43"/>
        </w:numPr>
      </w:pPr>
      <w:r>
        <w:rPr>
          <w:rFonts w:hint="eastAsia"/>
        </w:rPr>
        <w:t>锚垫板的承压面应与预应力筋垂直，预应力筋直线段长度应符合</w:t>
      </w:r>
      <w:r>
        <w:rPr>
          <w:rFonts w:hint="eastAsia"/>
          <w:lang w:eastAsia="zh-CN"/>
        </w:rPr>
        <w:t>表13</w:t>
      </w:r>
      <w:r>
        <w:rPr>
          <w:rFonts w:hint="eastAsia"/>
        </w:rPr>
        <w:t>规定</w:t>
      </w:r>
      <w:r>
        <w:rPr>
          <w:rFonts w:hint="eastAsia"/>
          <w:lang w:eastAsia="zh-CN"/>
        </w:rPr>
        <w:t>。</w:t>
      </w:r>
    </w:p>
    <w:p>
      <w:pPr>
        <w:pStyle w:val="242"/>
        <w:jc w:val="center"/>
      </w:pPr>
      <w:r>
        <w:rPr>
          <w:rFonts w:hint="eastAsia"/>
          <w:lang w:eastAsia="zh-CN"/>
        </w:rPr>
        <w:t>表13</w:t>
      </w:r>
      <w:r>
        <w:rPr>
          <w:rFonts w:hint="eastAsia"/>
        </w:rPr>
        <w:t>预应力筋曲线起始点与张拉锚固点之间直线段最小长度</w:t>
      </w:r>
    </w:p>
    <w:tbl>
      <w:tblPr>
        <w:tblStyle w:val="27"/>
        <w:tblW w:w="815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767"/>
        <w:gridCol w:w="1797"/>
        <w:gridCol w:w="1798"/>
        <w:gridCol w:w="179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767" w:type="dxa"/>
            <w:noWrap w:val="0"/>
            <w:vAlign w:val="center"/>
          </w:tcPr>
          <w:p>
            <w:pPr>
              <w:jc w:val="center"/>
            </w:pPr>
            <w:r>
              <w:rPr>
                <w:rFonts w:hint="eastAsia"/>
              </w:rPr>
              <w:t>检验项目</w:t>
            </w:r>
          </w:p>
        </w:tc>
        <w:tc>
          <w:tcPr>
            <w:tcW w:w="5392" w:type="dxa"/>
            <w:gridSpan w:val="3"/>
            <w:noWrap w:val="0"/>
            <w:vAlign w:val="center"/>
          </w:tcPr>
          <w:p>
            <w:pPr>
              <w:jc w:val="center"/>
            </w:pPr>
            <w:r>
              <w:rPr>
                <w:rFonts w:hint="eastAsia"/>
              </w:rPr>
              <w:t>允许偏差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767" w:type="dxa"/>
            <w:noWrap w:val="0"/>
            <w:vAlign w:val="center"/>
          </w:tcPr>
          <w:p>
            <w:pPr>
              <w:jc w:val="center"/>
            </w:pPr>
            <w:r>
              <w:rPr>
                <w:rFonts w:hint="eastAsia"/>
              </w:rPr>
              <w:t>预应力筋张拉控制力</w:t>
            </w:r>
            <w:r>
              <w:t>N(kN)</w:t>
            </w:r>
          </w:p>
        </w:tc>
        <w:tc>
          <w:tcPr>
            <w:tcW w:w="1797" w:type="dxa"/>
            <w:noWrap w:val="0"/>
            <w:vAlign w:val="center"/>
          </w:tcPr>
          <w:p>
            <w:pPr>
              <w:jc w:val="center"/>
              <w:rPr>
                <w:szCs w:val="21"/>
              </w:rPr>
            </w:pPr>
            <w:r>
              <w:rPr>
                <w:szCs w:val="21"/>
              </w:rPr>
              <w:t>N</w:t>
            </w:r>
            <w:r>
              <w:rPr>
                <w:rFonts w:hint="eastAsia"/>
                <w:szCs w:val="21"/>
              </w:rPr>
              <w:t>≤</w:t>
            </w:r>
            <w:r>
              <w:rPr>
                <w:szCs w:val="21"/>
              </w:rPr>
              <w:t>1500</w:t>
            </w:r>
          </w:p>
        </w:tc>
        <w:tc>
          <w:tcPr>
            <w:tcW w:w="1798" w:type="dxa"/>
            <w:noWrap w:val="0"/>
            <w:vAlign w:val="center"/>
          </w:tcPr>
          <w:p>
            <w:pPr>
              <w:jc w:val="center"/>
              <w:rPr>
                <w:szCs w:val="21"/>
              </w:rPr>
            </w:pPr>
            <w:r>
              <w:rPr>
                <w:szCs w:val="21"/>
              </w:rPr>
              <w:t>1500</w:t>
            </w:r>
            <w:r>
              <w:rPr>
                <w:rFonts w:hint="eastAsia"/>
              </w:rPr>
              <w:t>＜</w:t>
            </w:r>
            <w:r>
              <w:rPr>
                <w:rFonts w:hint="eastAsia"/>
                <w:szCs w:val="21"/>
              </w:rPr>
              <w:t>N≤</w:t>
            </w:r>
            <w:r>
              <w:rPr>
                <w:szCs w:val="21"/>
              </w:rPr>
              <w:t>6000</w:t>
            </w:r>
          </w:p>
        </w:tc>
        <w:tc>
          <w:tcPr>
            <w:tcW w:w="1797" w:type="dxa"/>
            <w:noWrap w:val="0"/>
            <w:vAlign w:val="center"/>
          </w:tcPr>
          <w:p>
            <w:pPr>
              <w:jc w:val="center"/>
            </w:pPr>
            <w:r>
              <w:t>N</w:t>
            </w:r>
            <w:r>
              <w:rPr>
                <w:rFonts w:hint="eastAsia"/>
              </w:rPr>
              <w:t>＞</w:t>
            </w:r>
            <w:r>
              <w:t>6000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767" w:type="dxa"/>
            <w:noWrap w:val="0"/>
            <w:vAlign w:val="center"/>
          </w:tcPr>
          <w:p>
            <w:pPr>
              <w:jc w:val="center"/>
            </w:pPr>
            <w:r>
              <w:rPr>
                <w:rFonts w:hint="eastAsia"/>
              </w:rPr>
              <w:t>直线段最小长度</w:t>
            </w:r>
            <w:r>
              <w:t>(mm)</w:t>
            </w:r>
          </w:p>
        </w:tc>
        <w:tc>
          <w:tcPr>
            <w:tcW w:w="1797" w:type="dxa"/>
            <w:noWrap w:val="0"/>
            <w:vAlign w:val="center"/>
          </w:tcPr>
          <w:p>
            <w:pPr>
              <w:jc w:val="center"/>
            </w:pPr>
            <w:r>
              <w:t>400</w:t>
            </w:r>
          </w:p>
        </w:tc>
        <w:tc>
          <w:tcPr>
            <w:tcW w:w="1798" w:type="dxa"/>
            <w:noWrap w:val="0"/>
            <w:vAlign w:val="center"/>
          </w:tcPr>
          <w:p>
            <w:pPr>
              <w:jc w:val="center"/>
            </w:pPr>
            <w:r>
              <w:t>500</w:t>
            </w:r>
          </w:p>
        </w:tc>
        <w:tc>
          <w:tcPr>
            <w:tcW w:w="1797" w:type="dxa"/>
            <w:noWrap w:val="0"/>
            <w:vAlign w:val="center"/>
          </w:tcPr>
          <w:p>
            <w:pPr>
              <w:jc w:val="center"/>
            </w:pPr>
            <w:r>
              <w:t>600</w:t>
            </w:r>
          </w:p>
        </w:tc>
      </w:tr>
    </w:tbl>
    <w:p>
      <w:pPr>
        <w:pStyle w:val="242"/>
        <w:ind w:firstLine="420" w:firstLineChars="200"/>
      </w:pPr>
      <w:r>
        <w:rPr>
          <w:rFonts w:hint="eastAsia"/>
        </w:rPr>
        <w:t>检查数量：第</w:t>
      </w:r>
      <w:r>
        <w:t>1</w:t>
      </w:r>
      <w:r>
        <w:rPr>
          <w:rFonts w:hint="eastAsia"/>
        </w:rPr>
        <w:t>应全数检查；第</w:t>
      </w:r>
      <w:r>
        <w:t>2</w:t>
      </w:r>
      <w:r>
        <w:rPr>
          <w:rFonts w:hint="eastAsia"/>
        </w:rPr>
        <w:t>应抽查预应力束总数的</w:t>
      </w:r>
      <w:r>
        <w:t>10</w:t>
      </w:r>
      <w:r>
        <w:rPr>
          <w:rFonts w:hint="eastAsia"/>
        </w:rPr>
        <w:t>％，且不少于</w:t>
      </w:r>
      <w:r>
        <w:t>5</w:t>
      </w:r>
      <w:r>
        <w:rPr>
          <w:rFonts w:hint="eastAsia"/>
        </w:rPr>
        <w:t>束。</w:t>
      </w:r>
    </w:p>
    <w:p>
      <w:pPr>
        <w:pStyle w:val="242"/>
        <w:ind w:firstLine="420" w:firstLineChars="200"/>
      </w:pPr>
      <w:r>
        <w:rPr>
          <w:rFonts w:hint="eastAsia"/>
        </w:rPr>
        <w:t>检验方法：观察，尺量。</w:t>
      </w:r>
    </w:p>
    <w:p>
      <w:pPr>
        <w:pStyle w:val="167"/>
      </w:pPr>
      <w:r>
        <w:rPr>
          <w:rFonts w:hint="eastAsia" w:ascii="宋体" w:hAnsi="宋体" w:eastAsia="宋体"/>
        </w:rPr>
        <w:t>预应力筋定位控制点的竖向位置偏差应符合</w:t>
      </w:r>
      <w:r>
        <w:rPr>
          <w:rFonts w:hint="eastAsia" w:ascii="宋体" w:hAnsi="宋体" w:eastAsia="宋体"/>
          <w:lang w:eastAsia="zh-CN"/>
        </w:rPr>
        <w:t>表14</w:t>
      </w:r>
      <w:r>
        <w:rPr>
          <w:rFonts w:hint="eastAsia" w:ascii="宋体" w:hAnsi="宋体" w:eastAsia="宋体"/>
        </w:rPr>
        <w:t>的规定，其合格点率应达到</w:t>
      </w:r>
      <w:r>
        <w:rPr>
          <w:rFonts w:ascii="宋体" w:hAnsi="宋体" w:eastAsia="宋体"/>
        </w:rPr>
        <w:t>90</w:t>
      </w:r>
      <w:r>
        <w:rPr>
          <w:rFonts w:hint="eastAsia" w:ascii="宋体" w:hAnsi="宋体" w:eastAsia="宋体"/>
        </w:rPr>
        <w:t>％及以上，且不得有超过表中数值</w:t>
      </w:r>
      <w:r>
        <w:rPr>
          <w:rFonts w:ascii="宋体" w:hAnsi="宋体" w:eastAsia="宋体"/>
        </w:rPr>
        <w:t>1.5</w:t>
      </w:r>
      <w:r>
        <w:rPr>
          <w:rFonts w:hint="eastAsia" w:ascii="宋体" w:hAnsi="宋体" w:eastAsia="宋体"/>
        </w:rPr>
        <w:t>倍的尺寸偏差</w:t>
      </w:r>
      <w:r>
        <w:rPr>
          <w:rFonts w:hint="eastAsia" w:hAnsi="宋体"/>
          <w:lang w:eastAsia="zh-CN"/>
        </w:rPr>
        <w:t>。</w:t>
      </w:r>
    </w:p>
    <w:p>
      <w:pPr>
        <w:pStyle w:val="242"/>
        <w:jc w:val="center"/>
      </w:pPr>
      <w:r>
        <w:rPr>
          <w:rFonts w:hint="eastAsia"/>
          <w:lang w:eastAsia="zh-CN"/>
        </w:rPr>
        <w:t>表14</w:t>
      </w:r>
      <w:r>
        <w:rPr>
          <w:rFonts w:hint="eastAsia"/>
        </w:rPr>
        <w:t>预应力筋定位控制点的竖向位置允许偏差</w:t>
      </w:r>
    </w:p>
    <w:tbl>
      <w:tblPr>
        <w:tblStyle w:val="27"/>
        <w:tblW w:w="848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749"/>
        <w:gridCol w:w="1901"/>
        <w:gridCol w:w="1824"/>
        <w:gridCol w:w="201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2749" w:type="dxa"/>
            <w:tcBorders>
              <w:top w:val="single" w:color="auto" w:sz="12" w:space="0"/>
              <w:bottom w:val="single" w:color="auto" w:sz="4" w:space="0"/>
            </w:tcBorders>
            <w:noWrap w:val="0"/>
            <w:vAlign w:val="center"/>
          </w:tcPr>
          <w:p>
            <w:pPr>
              <w:jc w:val="center"/>
            </w:pPr>
            <w:r>
              <w:rPr>
                <w:rFonts w:hint="eastAsia"/>
              </w:rPr>
              <w:t>检验项目</w:t>
            </w:r>
          </w:p>
        </w:tc>
        <w:tc>
          <w:tcPr>
            <w:tcW w:w="5740" w:type="dxa"/>
            <w:gridSpan w:val="3"/>
            <w:tcBorders>
              <w:top w:val="single" w:color="auto" w:sz="12" w:space="0"/>
              <w:bottom w:val="single" w:color="auto" w:sz="4" w:space="0"/>
            </w:tcBorders>
            <w:noWrap w:val="0"/>
            <w:vAlign w:val="center"/>
          </w:tcPr>
          <w:p>
            <w:pPr>
              <w:jc w:val="center"/>
            </w:pPr>
            <w:r>
              <w:rPr>
                <w:rFonts w:hint="eastAsia"/>
              </w:rPr>
              <w:t>允许偏差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2749" w:type="dxa"/>
            <w:tcBorders>
              <w:top w:val="single" w:color="auto" w:sz="4" w:space="0"/>
            </w:tcBorders>
            <w:noWrap w:val="0"/>
            <w:vAlign w:val="center"/>
          </w:tcPr>
          <w:p>
            <w:pPr>
              <w:jc w:val="center"/>
            </w:pPr>
            <w:r>
              <w:rPr>
                <w:rFonts w:hint="eastAsia"/>
              </w:rPr>
              <w:t>构件截面高（厚）度</w:t>
            </w:r>
            <w:r>
              <w:t>(mm)</w:t>
            </w:r>
          </w:p>
        </w:tc>
        <w:tc>
          <w:tcPr>
            <w:tcW w:w="1901" w:type="dxa"/>
            <w:tcBorders>
              <w:top w:val="single" w:color="auto" w:sz="4" w:space="0"/>
            </w:tcBorders>
            <w:noWrap w:val="0"/>
            <w:vAlign w:val="center"/>
          </w:tcPr>
          <w:p>
            <w:pPr>
              <w:jc w:val="center"/>
            </w:pPr>
            <w:r>
              <w:rPr>
                <w:rFonts w:hint="eastAsia"/>
              </w:rPr>
              <w:t>h≤300</w:t>
            </w:r>
          </w:p>
        </w:tc>
        <w:tc>
          <w:tcPr>
            <w:tcW w:w="1824" w:type="dxa"/>
            <w:tcBorders>
              <w:top w:val="single" w:color="auto" w:sz="4" w:space="0"/>
            </w:tcBorders>
            <w:noWrap w:val="0"/>
            <w:vAlign w:val="center"/>
          </w:tcPr>
          <w:p>
            <w:pPr>
              <w:jc w:val="center"/>
            </w:pPr>
            <w:r>
              <w:t>300</w:t>
            </w:r>
            <w:r>
              <w:rPr>
                <w:rFonts w:hint="eastAsia"/>
              </w:rPr>
              <w:t>＜</w:t>
            </w:r>
            <w:r>
              <w:t>h</w:t>
            </w:r>
            <w:r>
              <w:rPr>
                <w:rFonts w:hint="eastAsia"/>
              </w:rPr>
              <w:t>≤1500</w:t>
            </w:r>
          </w:p>
        </w:tc>
        <w:tc>
          <w:tcPr>
            <w:tcW w:w="2015" w:type="dxa"/>
            <w:tcBorders>
              <w:top w:val="single" w:color="auto" w:sz="4" w:space="0"/>
            </w:tcBorders>
            <w:noWrap w:val="0"/>
            <w:vAlign w:val="center"/>
          </w:tcPr>
          <w:p>
            <w:pPr>
              <w:jc w:val="center"/>
            </w:pPr>
            <w:r>
              <w:t>h</w:t>
            </w:r>
            <w:r>
              <w:rPr>
                <w:rFonts w:hint="eastAsia"/>
              </w:rPr>
              <w:t>＞</w:t>
            </w:r>
            <w:r>
              <w:t>1500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2749" w:type="dxa"/>
            <w:tcBorders>
              <w:bottom w:val="single" w:color="auto" w:sz="12" w:space="0"/>
            </w:tcBorders>
            <w:noWrap w:val="0"/>
            <w:vAlign w:val="center"/>
          </w:tcPr>
          <w:p>
            <w:pPr>
              <w:jc w:val="center"/>
            </w:pPr>
            <w:r>
              <w:rPr>
                <w:rFonts w:hint="eastAsia"/>
              </w:rPr>
              <w:t>允许偏差</w:t>
            </w:r>
            <w:r>
              <w:t>(mm)</w:t>
            </w:r>
          </w:p>
        </w:tc>
        <w:tc>
          <w:tcPr>
            <w:tcW w:w="1901" w:type="dxa"/>
            <w:tcBorders>
              <w:bottom w:val="single" w:color="auto" w:sz="12" w:space="0"/>
            </w:tcBorders>
            <w:noWrap w:val="0"/>
            <w:vAlign w:val="center"/>
          </w:tcPr>
          <w:p>
            <w:pPr>
              <w:jc w:val="center"/>
            </w:pPr>
            <w:r>
              <w:rPr>
                <w:rFonts w:hint="eastAsia"/>
              </w:rPr>
              <w:t>±</w:t>
            </w:r>
            <w:r>
              <w:t>5</w:t>
            </w:r>
          </w:p>
        </w:tc>
        <w:tc>
          <w:tcPr>
            <w:tcW w:w="1824" w:type="dxa"/>
            <w:tcBorders>
              <w:bottom w:val="single" w:color="auto" w:sz="12" w:space="0"/>
            </w:tcBorders>
            <w:noWrap w:val="0"/>
            <w:vAlign w:val="center"/>
          </w:tcPr>
          <w:p>
            <w:pPr>
              <w:jc w:val="center"/>
            </w:pPr>
            <w:r>
              <w:rPr>
                <w:rFonts w:hint="eastAsia"/>
              </w:rPr>
              <w:t>±</w:t>
            </w:r>
            <w:r>
              <w:t>10</w:t>
            </w:r>
          </w:p>
        </w:tc>
        <w:tc>
          <w:tcPr>
            <w:tcW w:w="2015" w:type="dxa"/>
            <w:tcBorders>
              <w:bottom w:val="single" w:color="auto" w:sz="12" w:space="0"/>
            </w:tcBorders>
            <w:noWrap w:val="0"/>
            <w:vAlign w:val="center"/>
          </w:tcPr>
          <w:p>
            <w:pPr>
              <w:jc w:val="center"/>
            </w:pPr>
            <w:r>
              <w:rPr>
                <w:rFonts w:hint="eastAsia"/>
              </w:rPr>
              <w:t>±</w:t>
            </w:r>
            <w:r>
              <w:t>15</w:t>
            </w:r>
          </w:p>
        </w:tc>
      </w:tr>
    </w:tbl>
    <w:p>
      <w:pPr>
        <w:pStyle w:val="242"/>
        <w:ind w:firstLine="420" w:firstLineChars="200"/>
      </w:pPr>
      <w:r>
        <w:rPr>
          <w:rFonts w:hint="eastAsia"/>
        </w:rPr>
        <w:t>检查数量：在同一检验批内，应抽查各类型构件总数的</w:t>
      </w:r>
      <w:r>
        <w:t>10</w:t>
      </w:r>
      <w:r>
        <w:rPr>
          <w:rFonts w:hint="eastAsia"/>
        </w:rPr>
        <w:t>％，且不少于</w:t>
      </w:r>
      <w:r>
        <w:t>3</w:t>
      </w:r>
      <w:r>
        <w:rPr>
          <w:rFonts w:hint="eastAsia"/>
        </w:rPr>
        <w:t>个构件，每个构件不应少于</w:t>
      </w:r>
      <w:r>
        <w:t>5</w:t>
      </w:r>
      <w:r>
        <w:rPr>
          <w:rFonts w:hint="eastAsia"/>
        </w:rPr>
        <w:t>处。</w:t>
      </w:r>
    </w:p>
    <w:p>
      <w:pPr>
        <w:pStyle w:val="242"/>
        <w:ind w:firstLine="420" w:firstLineChars="200"/>
        <w:rPr>
          <w:rFonts w:hint="eastAsia"/>
        </w:rPr>
      </w:pPr>
      <w:r>
        <w:rPr>
          <w:rFonts w:hint="eastAsia"/>
        </w:rPr>
        <w:t>检验方法：尺量。</w:t>
      </w:r>
    </w:p>
    <w:p>
      <w:pPr>
        <w:pStyle w:val="167"/>
      </w:pPr>
      <w:r>
        <w:rPr>
          <w:rFonts w:hint="eastAsia" w:ascii="宋体" w:hAnsi="宋体" w:eastAsia="宋体"/>
        </w:rPr>
        <w:t>应检查预应力筋张拉后的位置偏差，张拉后预应力筋的位置与设计位置的偏差不应大于5mm，且不应大于构件截面短边边长的4％</w:t>
      </w:r>
      <w:r>
        <w:rPr>
          <w:rFonts w:hint="eastAsia" w:hAnsi="宋体"/>
          <w:lang w:eastAsia="zh-CN"/>
        </w:rPr>
        <w:t>。</w:t>
      </w:r>
    </w:p>
    <w:p>
      <w:pPr>
        <w:pStyle w:val="242"/>
        <w:ind w:firstLine="420" w:firstLineChars="200"/>
      </w:pPr>
      <w:r>
        <w:rPr>
          <w:rFonts w:hint="eastAsia"/>
        </w:rPr>
        <w:t>检查数量：每工作班抽查预应力筋总数的</w:t>
      </w:r>
      <w:r>
        <w:t>3</w:t>
      </w:r>
      <w:r>
        <w:rPr>
          <w:rFonts w:hint="eastAsia"/>
        </w:rPr>
        <w:t>％，且不应少于</w:t>
      </w:r>
      <w:r>
        <w:t>3</w:t>
      </w:r>
      <w:r>
        <w:rPr>
          <w:rFonts w:hint="eastAsia"/>
        </w:rPr>
        <w:t>根。</w:t>
      </w:r>
    </w:p>
    <w:p>
      <w:pPr>
        <w:pStyle w:val="242"/>
        <w:ind w:firstLine="420" w:firstLineChars="200"/>
      </w:pPr>
      <w:r>
        <w:rPr>
          <w:rFonts w:hint="eastAsia"/>
        </w:rPr>
        <w:t>检验方法：尺量。</w:t>
      </w:r>
    </w:p>
    <w:p>
      <w:pPr>
        <w:pStyle w:val="106"/>
        <w:spacing w:before="312" w:after="312"/>
      </w:pPr>
      <w:r>
        <w:rPr>
          <w:rFonts w:hint="eastAsia"/>
          <w:lang w:val="en-US" w:eastAsia="zh-CN"/>
        </w:rPr>
        <w:t>成品质量验收</w:t>
      </w:r>
    </w:p>
    <w:p>
      <w:pPr>
        <w:pStyle w:val="107"/>
        <w:spacing w:before="156" w:after="156"/>
      </w:pPr>
      <w:r>
        <w:rPr>
          <w:rFonts w:hint="eastAsia"/>
          <w:lang w:val="en-US" w:eastAsia="zh-CN"/>
        </w:rPr>
        <w:t>一般规定</w:t>
      </w:r>
    </w:p>
    <w:p>
      <w:pPr>
        <w:pStyle w:val="167"/>
      </w:pPr>
      <w:r>
        <w:rPr>
          <w:rFonts w:hint="eastAsia" w:ascii="宋体" w:hAnsi="宋体" w:eastAsia="宋体"/>
        </w:rPr>
        <w:t>预制构件应进行出厂检验和型式检验</w:t>
      </w:r>
      <w:r>
        <w:rPr>
          <w:rFonts w:hint="eastAsia" w:hAnsi="宋体"/>
          <w:lang w:eastAsia="zh-CN"/>
        </w:rPr>
        <w:t>。</w:t>
      </w:r>
    </w:p>
    <w:p>
      <w:pPr>
        <w:pStyle w:val="167"/>
      </w:pPr>
      <w:r>
        <w:rPr>
          <w:rFonts w:hint="eastAsia" w:ascii="宋体" w:hAnsi="宋体" w:eastAsia="宋体"/>
        </w:rPr>
        <w:t>每批产品应进行出厂检验，检验合格后方可出厂</w:t>
      </w:r>
      <w:r>
        <w:rPr>
          <w:rFonts w:hint="eastAsia" w:hAnsi="宋体"/>
          <w:lang w:eastAsia="zh-CN"/>
        </w:rPr>
        <w:t>。</w:t>
      </w:r>
    </w:p>
    <w:p>
      <w:pPr>
        <w:pStyle w:val="167"/>
      </w:pPr>
      <w:r>
        <w:rPr>
          <w:rFonts w:hint="eastAsia" w:ascii="宋体" w:hAnsi="宋体" w:eastAsia="宋体"/>
        </w:rPr>
        <w:t>有下列情况之一时，应进行型式检验</w:t>
      </w:r>
      <w:r>
        <w:rPr>
          <w:rFonts w:hint="eastAsia" w:hAnsi="宋体"/>
          <w:lang w:eastAsia="zh-CN"/>
        </w:rPr>
        <w:t>：</w:t>
      </w:r>
    </w:p>
    <w:p>
      <w:pPr>
        <w:pStyle w:val="176"/>
        <w:numPr>
          <w:ilvl w:val="0"/>
          <w:numId w:val="44"/>
        </w:numPr>
      </w:pPr>
      <w:r>
        <w:rPr>
          <w:rFonts w:hint="eastAsia"/>
        </w:rPr>
        <w:t>新产品定型时</w:t>
      </w:r>
      <w:r>
        <w:rPr>
          <w:rFonts w:hint="eastAsia"/>
          <w:lang w:eastAsia="zh-CN"/>
        </w:rPr>
        <w:t>；</w:t>
      </w:r>
    </w:p>
    <w:p>
      <w:pPr>
        <w:pStyle w:val="176"/>
        <w:numPr>
          <w:ilvl w:val="0"/>
          <w:numId w:val="44"/>
        </w:numPr>
      </w:pPr>
      <w:r>
        <w:rPr>
          <w:rFonts w:hint="eastAsia"/>
        </w:rPr>
        <w:t>产品的材料、配方、工艺有重大改变，可能影响产品性能时</w:t>
      </w:r>
      <w:r>
        <w:rPr>
          <w:rFonts w:hint="eastAsia"/>
          <w:lang w:eastAsia="zh-CN"/>
        </w:rPr>
        <w:t>；</w:t>
      </w:r>
    </w:p>
    <w:p>
      <w:pPr>
        <w:pStyle w:val="176"/>
        <w:numPr>
          <w:ilvl w:val="0"/>
          <w:numId w:val="44"/>
        </w:numPr>
      </w:pPr>
      <w:r>
        <w:t>停产半年以上恢复生产的</w:t>
      </w:r>
      <w:r>
        <w:rPr>
          <w:rFonts w:hint="eastAsia"/>
          <w:lang w:eastAsia="zh-CN"/>
        </w:rPr>
        <w:t>；</w:t>
      </w:r>
    </w:p>
    <w:p>
      <w:pPr>
        <w:pStyle w:val="176"/>
        <w:numPr>
          <w:ilvl w:val="0"/>
          <w:numId w:val="44"/>
        </w:numPr>
      </w:pPr>
      <w:r>
        <w:rPr>
          <w:rFonts w:hint="eastAsia"/>
        </w:rPr>
        <w:t>正常生产2年检验一次</w:t>
      </w:r>
      <w:r>
        <w:rPr>
          <w:rFonts w:hint="eastAsia"/>
          <w:lang w:eastAsia="zh-CN"/>
        </w:rPr>
        <w:t>。</w:t>
      </w:r>
    </w:p>
    <w:p>
      <w:pPr>
        <w:pStyle w:val="167"/>
      </w:pPr>
      <w:r>
        <w:rPr>
          <w:rFonts w:hint="eastAsia" w:ascii="宋体" w:hAnsi="宋体" w:eastAsia="宋体"/>
        </w:rPr>
        <w:t>对出厂检验或型式检验不合格以及经厂内运输、吊装和存放导致的不合格预制构件，应按下列规定处理</w:t>
      </w:r>
      <w:r>
        <w:rPr>
          <w:rFonts w:hint="eastAsia" w:hAnsi="宋体"/>
          <w:lang w:eastAsia="zh-CN"/>
        </w:rPr>
        <w:t>：</w:t>
      </w:r>
    </w:p>
    <w:p>
      <w:pPr>
        <w:pStyle w:val="176"/>
        <w:numPr>
          <w:ilvl w:val="0"/>
          <w:numId w:val="45"/>
        </w:numPr>
      </w:pPr>
      <w:r>
        <w:rPr>
          <w:rFonts w:hint="eastAsia"/>
        </w:rPr>
        <w:t>采用技术措施处理后且经二次检验合格的预制构件可定为合格品</w:t>
      </w:r>
      <w:r>
        <w:rPr>
          <w:rFonts w:hint="eastAsia"/>
          <w:lang w:eastAsia="zh-CN"/>
        </w:rPr>
        <w:t>；</w:t>
      </w:r>
    </w:p>
    <w:p>
      <w:pPr>
        <w:pStyle w:val="176"/>
        <w:numPr>
          <w:ilvl w:val="0"/>
          <w:numId w:val="45"/>
        </w:numPr>
      </w:pPr>
      <w:r>
        <w:rPr>
          <w:rFonts w:hint="eastAsia"/>
        </w:rPr>
        <w:t>经有资质的检测机构检测，并经原设计单位核算认可能够满足安全和使用功能的预制构件，可按照技术处理方案和协商文件的要求处理后使用</w:t>
      </w:r>
      <w:r>
        <w:rPr>
          <w:rFonts w:hint="eastAsia"/>
          <w:lang w:eastAsia="zh-CN"/>
        </w:rPr>
        <w:t>；</w:t>
      </w:r>
    </w:p>
    <w:p>
      <w:pPr>
        <w:pStyle w:val="176"/>
        <w:numPr>
          <w:ilvl w:val="0"/>
          <w:numId w:val="45"/>
        </w:numPr>
      </w:pPr>
      <w:r>
        <w:rPr>
          <w:rFonts w:hint="eastAsia"/>
        </w:rPr>
        <w:t>采用技术措施处理后仍不合格以及不能采用技术措施处理的预制构件按废品处理</w:t>
      </w:r>
      <w:r>
        <w:rPr>
          <w:rFonts w:hint="eastAsia"/>
          <w:lang w:eastAsia="zh-CN"/>
        </w:rPr>
        <w:t>。</w:t>
      </w:r>
    </w:p>
    <w:p>
      <w:pPr>
        <w:pStyle w:val="107"/>
        <w:spacing w:before="156" w:after="156"/>
      </w:pPr>
      <w:r>
        <w:rPr>
          <w:rFonts w:hint="eastAsia" w:ascii="Times New Roman"/>
        </w:rPr>
        <w:t>成品质量检验及</w:t>
      </w:r>
      <w:r>
        <w:rPr>
          <w:rFonts w:hint="eastAsia" w:ascii="Times New Roman"/>
          <w:lang w:val="en-US" w:eastAsia="zh-CN"/>
        </w:rPr>
        <w:t>方法</w:t>
      </w:r>
    </w:p>
    <w:p>
      <w:pPr>
        <w:pStyle w:val="167"/>
      </w:pPr>
      <w:r>
        <w:rPr>
          <w:rFonts w:hint="eastAsia" w:ascii="宋体" w:hAnsi="宋体" w:eastAsia="宋体"/>
        </w:rPr>
        <w:t>预制构件的外观质量缺陷根据其影响预制构件的结构性能和使用功能的严重程度，可按</w:t>
      </w:r>
      <w:r>
        <w:rPr>
          <w:rFonts w:hint="eastAsia" w:ascii="宋体" w:hAnsi="宋体" w:eastAsia="宋体"/>
          <w:lang w:eastAsia="zh-CN"/>
        </w:rPr>
        <w:t>表15</w:t>
      </w:r>
      <w:r>
        <w:rPr>
          <w:rFonts w:hint="eastAsia" w:ascii="宋体" w:hAnsi="宋体" w:eastAsia="宋体"/>
        </w:rPr>
        <w:t>规定划分为严重缺陷和一般缺陷。预制构件不允许有严重缺陷</w:t>
      </w:r>
      <w:r>
        <w:rPr>
          <w:rFonts w:hint="eastAsia" w:hAnsi="宋体"/>
          <w:lang w:eastAsia="zh-CN"/>
        </w:rPr>
        <w:t>。</w:t>
      </w:r>
    </w:p>
    <w:p>
      <w:pPr>
        <w:pStyle w:val="242"/>
        <w:jc w:val="center"/>
      </w:pPr>
      <w:bookmarkStart w:id="94" w:name="_Toc531952462"/>
      <w:r>
        <w:rPr>
          <w:rFonts w:hint="eastAsia"/>
          <w:lang w:eastAsia="zh-CN"/>
        </w:rPr>
        <w:t>表15</w:t>
      </w:r>
      <w:r>
        <w:t xml:space="preserve"> </w:t>
      </w:r>
      <w:r>
        <w:rPr>
          <w:rFonts w:hint="eastAsia"/>
        </w:rPr>
        <w:t>外观质量</w:t>
      </w:r>
      <w:bookmarkEnd w:id="94"/>
    </w:p>
    <w:tbl>
      <w:tblPr>
        <w:tblStyle w:val="27"/>
        <w:tblW w:w="99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71"/>
        <w:gridCol w:w="1105"/>
        <w:gridCol w:w="2755"/>
        <w:gridCol w:w="2861"/>
        <w:gridCol w:w="265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6" w:hRule="exact"/>
          <w:tblHeader/>
          <w:jc w:val="center"/>
        </w:trPr>
        <w:tc>
          <w:tcPr>
            <w:tcW w:w="571" w:type="dxa"/>
            <w:noWrap w:val="0"/>
            <w:vAlign w:val="top"/>
          </w:tcPr>
          <w:p>
            <w:pPr>
              <w:pStyle w:val="233"/>
              <w:widowControl w:val="0"/>
              <w:ind w:firstLine="0" w:firstLineChars="0"/>
              <w:jc w:val="center"/>
              <w:rPr>
                <w:rFonts w:ascii="Times New Roman"/>
                <w:szCs w:val="21"/>
              </w:rPr>
            </w:pPr>
            <w:r>
              <w:rPr>
                <w:rFonts w:hint="eastAsia" w:ascii="Times New Roman"/>
                <w:szCs w:val="21"/>
              </w:rPr>
              <w:t>项次</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检验项目</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现象</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严重缺陷</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一般缺陷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1</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露筋</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构件内钢筋未被混凝土包裹而外露</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纵向受力钢筋有露筋</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其他钢筋有少量露筋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2</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蜂窝</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混凝土表面缺少水泥砂浆而形成石子外露</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构件主要受力部位有蜂窝</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其他部位有少量蜂窝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3</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孔洞</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混凝土中孔穴深度和长度均超过保护层厚度</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构件主要受力部位有孔洞</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其他部位有少量孔洞</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4</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夹渣</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混凝土中夹有杂物且深度超过保护层厚度</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构件主要受力部位有夹渣</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其他部位有少量夹渣</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61" w:hRule="exac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5</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疏松</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混凝土中局部不密实</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构件主要受力部位有疏松</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其他部位有少量疏松</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3" w:hRule="exac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6</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裂缝</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裂缝从混凝土表面延伸至混凝土内部</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构件主要受力部位有影响结构性能或使用功能的裂缝</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其他部位有少量不影响结构性能或使用功能的裂缝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7</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连接部位缺陷</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构件连接处混凝土缺陷及连接钢筋、连接件松动，插筋严重锈蚀、弯曲，灌浆套筒堵塞、偏位，灌浆孔洞堵塞、偏位、破损等缺陷</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连接部位有影响结构传力性能的缺陷</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连接部位有基本不影响结构传力性能的缺陷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8</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外形缺陷</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缺掉棱角、棱角不直、翘曲不平、飞边凸肋等，装饰面砖粘结不牢、表面不平、砖缝不顺直等</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清水或具有装饰的混凝土构件内有影响使用功能或装饰效果的外形缺陷</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其他混凝土构件有不影响使用功能的外形缺陷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2" w:hRule="exact"/>
          <w:jc w:val="center"/>
        </w:trPr>
        <w:tc>
          <w:tcPr>
            <w:tcW w:w="571" w:type="dxa"/>
            <w:noWrap w:val="0"/>
            <w:vAlign w:val="center"/>
          </w:tcPr>
          <w:p>
            <w:pPr>
              <w:pStyle w:val="233"/>
              <w:widowControl w:val="0"/>
              <w:ind w:firstLine="0" w:firstLineChars="0"/>
              <w:jc w:val="center"/>
              <w:rPr>
                <w:rFonts w:ascii="Times New Roman"/>
                <w:szCs w:val="21"/>
              </w:rPr>
            </w:pPr>
            <w:r>
              <w:rPr>
                <w:rFonts w:hint="eastAsia" w:ascii="Times New Roman"/>
                <w:szCs w:val="21"/>
              </w:rPr>
              <w:t>9</w:t>
            </w:r>
          </w:p>
        </w:tc>
        <w:tc>
          <w:tcPr>
            <w:tcW w:w="1105" w:type="dxa"/>
            <w:noWrap w:val="0"/>
            <w:vAlign w:val="center"/>
          </w:tcPr>
          <w:p>
            <w:pPr>
              <w:pStyle w:val="233"/>
              <w:widowControl w:val="0"/>
              <w:ind w:firstLine="0" w:firstLineChars="0"/>
              <w:jc w:val="center"/>
              <w:rPr>
                <w:rFonts w:ascii="Times New Roman"/>
                <w:szCs w:val="21"/>
              </w:rPr>
            </w:pPr>
            <w:r>
              <w:rPr>
                <w:rFonts w:hint="eastAsia" w:ascii="Times New Roman"/>
                <w:szCs w:val="21"/>
              </w:rPr>
              <w:t>外表缺陷</w:t>
            </w:r>
          </w:p>
        </w:tc>
        <w:tc>
          <w:tcPr>
            <w:tcW w:w="2755" w:type="dxa"/>
            <w:noWrap w:val="0"/>
            <w:vAlign w:val="center"/>
          </w:tcPr>
          <w:p>
            <w:pPr>
              <w:pStyle w:val="233"/>
              <w:widowControl w:val="0"/>
              <w:ind w:firstLine="0" w:firstLineChars="0"/>
              <w:jc w:val="center"/>
              <w:rPr>
                <w:rFonts w:ascii="Times New Roman"/>
                <w:szCs w:val="21"/>
              </w:rPr>
            </w:pPr>
            <w:r>
              <w:rPr>
                <w:rFonts w:hint="eastAsia" w:ascii="Times New Roman"/>
                <w:szCs w:val="21"/>
              </w:rPr>
              <w:t>构件表面麻面、掉皮、起砂、沾污等</w:t>
            </w:r>
          </w:p>
        </w:tc>
        <w:tc>
          <w:tcPr>
            <w:tcW w:w="2861" w:type="dxa"/>
            <w:noWrap w:val="0"/>
            <w:vAlign w:val="center"/>
          </w:tcPr>
          <w:p>
            <w:pPr>
              <w:pStyle w:val="233"/>
              <w:widowControl w:val="0"/>
              <w:ind w:firstLine="0" w:firstLineChars="0"/>
              <w:jc w:val="center"/>
              <w:rPr>
                <w:rFonts w:ascii="Times New Roman"/>
                <w:szCs w:val="21"/>
              </w:rPr>
            </w:pPr>
            <w:r>
              <w:rPr>
                <w:rFonts w:hint="eastAsia" w:ascii="Times New Roman"/>
                <w:szCs w:val="21"/>
              </w:rPr>
              <w:t>具有重要装饰效果的清水混凝土构件有外表缺陷</w:t>
            </w:r>
          </w:p>
        </w:tc>
        <w:tc>
          <w:tcPr>
            <w:tcW w:w="2651" w:type="dxa"/>
            <w:noWrap w:val="0"/>
            <w:vAlign w:val="center"/>
          </w:tcPr>
          <w:p>
            <w:pPr>
              <w:pStyle w:val="233"/>
              <w:widowControl w:val="0"/>
              <w:ind w:firstLine="0" w:firstLineChars="0"/>
              <w:jc w:val="center"/>
              <w:rPr>
                <w:rFonts w:ascii="Times New Roman"/>
                <w:szCs w:val="21"/>
              </w:rPr>
            </w:pPr>
            <w:r>
              <w:rPr>
                <w:rFonts w:hint="eastAsia" w:ascii="Times New Roman"/>
                <w:szCs w:val="21"/>
              </w:rPr>
              <w:t>其他混凝土构件有不影响使用功能的外表缺陷</w:t>
            </w:r>
          </w:p>
        </w:tc>
      </w:tr>
    </w:tbl>
    <w:p>
      <w:pPr>
        <w:pStyle w:val="167"/>
      </w:pPr>
      <w:r>
        <w:rPr>
          <w:rFonts w:hint="eastAsia" w:ascii="宋体" w:hAnsi="宋体" w:eastAsia="宋体"/>
        </w:rPr>
        <w:t>尺寸偏差应符合</w:t>
      </w:r>
      <w:r>
        <w:rPr>
          <w:rFonts w:hint="eastAsia" w:ascii="宋体" w:hAnsi="宋体" w:eastAsia="宋体"/>
          <w:lang w:eastAsia="zh-CN"/>
        </w:rPr>
        <w:t>表16</w:t>
      </w:r>
      <w:r>
        <w:rPr>
          <w:rFonts w:hint="eastAsia" w:ascii="宋体" w:hAnsi="宋体" w:eastAsia="宋体"/>
        </w:rPr>
        <w:t>及</w:t>
      </w:r>
      <w:r>
        <w:rPr>
          <w:rFonts w:hint="eastAsia" w:ascii="宋体" w:hAnsi="宋体" w:eastAsia="宋体"/>
          <w:lang w:eastAsia="zh-CN"/>
        </w:rPr>
        <w:t>表17</w:t>
      </w:r>
      <w:r>
        <w:rPr>
          <w:rFonts w:hint="eastAsia" w:ascii="宋体" w:hAnsi="宋体" w:eastAsia="宋体"/>
        </w:rPr>
        <w:t>的规定</w:t>
      </w:r>
      <w:r>
        <w:rPr>
          <w:rFonts w:hint="eastAsia" w:hAnsi="宋体"/>
          <w:lang w:eastAsia="zh-CN"/>
        </w:rPr>
        <w:t>。</w:t>
      </w:r>
    </w:p>
    <w:p>
      <w:pPr>
        <w:pStyle w:val="242"/>
        <w:jc w:val="center"/>
      </w:pPr>
      <w:bookmarkStart w:id="95" w:name="_Toc531952463"/>
      <w:r>
        <w:rPr>
          <w:rFonts w:hint="eastAsia"/>
          <w:lang w:eastAsia="zh-CN"/>
        </w:rPr>
        <w:t>表16</w:t>
      </w:r>
      <w:r>
        <w:t xml:space="preserve"> </w:t>
      </w:r>
      <w:r>
        <w:rPr>
          <w:rFonts w:hint="eastAsia"/>
        </w:rPr>
        <w:t>叠合板尺寸偏差</w:t>
      </w:r>
      <w:bookmarkEnd w:id="95"/>
    </w:p>
    <w:tbl>
      <w:tblPr>
        <w:tblStyle w:val="27"/>
        <w:tblW w:w="942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5"/>
        <w:gridCol w:w="1072"/>
        <w:gridCol w:w="929"/>
        <w:gridCol w:w="1634"/>
        <w:gridCol w:w="2318"/>
        <w:gridCol w:w="25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exact"/>
          <w:tblHeader/>
          <w:jc w:val="center"/>
        </w:trPr>
        <w:tc>
          <w:tcPr>
            <w:tcW w:w="885"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项次</w:t>
            </w:r>
          </w:p>
        </w:tc>
        <w:tc>
          <w:tcPr>
            <w:tcW w:w="3635" w:type="dxa"/>
            <w:gridSpan w:val="3"/>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检验项目</w:t>
            </w:r>
          </w:p>
        </w:tc>
        <w:tc>
          <w:tcPr>
            <w:tcW w:w="2318"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允许偏差（</w:t>
            </w:r>
            <w:r>
              <w:rPr>
                <w:rFonts w:ascii="Times New Roman"/>
                <w:szCs w:val="21"/>
              </w:rPr>
              <w:t>mm）</w:t>
            </w:r>
          </w:p>
        </w:tc>
        <w:tc>
          <w:tcPr>
            <w:tcW w:w="2583"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885" w:type="dxa"/>
            <w:vMerge w:val="restart"/>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1</w:t>
            </w:r>
          </w:p>
        </w:tc>
        <w:tc>
          <w:tcPr>
            <w:tcW w:w="2001"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长度</w:t>
            </w:r>
          </w:p>
        </w:tc>
        <w:tc>
          <w:tcPr>
            <w:tcW w:w="163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＜1</w:t>
            </w:r>
            <w:r>
              <w:rPr>
                <w:rFonts w:ascii="Times New Roman" w:hAnsi="Times New Roman" w:cs="Times New Roman"/>
                <w:szCs w:val="21"/>
              </w:rPr>
              <w:t>2m</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5</w:t>
            </w:r>
          </w:p>
        </w:tc>
        <w:tc>
          <w:tcPr>
            <w:tcW w:w="2583"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cs="Times New Roman"/>
                <w:szCs w:val="21"/>
              </w:rPr>
              <w:t>用钢尺测量两端及中部，取其中偏差绝对值较大处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885" w:type="dxa"/>
            <w:vMerge w:val="continue"/>
            <w:shd w:val="clear" w:color="auto" w:fill="FFFFFF"/>
            <w:noWrap w:val="0"/>
            <w:vAlign w:val="center"/>
          </w:tcPr>
          <w:p>
            <w:pPr>
              <w:pStyle w:val="233"/>
              <w:ind w:firstLine="0" w:firstLineChars="0"/>
              <w:jc w:val="center"/>
              <w:rPr>
                <w:rFonts w:hAnsi="宋体" w:cs="宋体"/>
                <w:szCs w:val="21"/>
              </w:rPr>
            </w:pPr>
          </w:p>
        </w:tc>
        <w:tc>
          <w:tcPr>
            <w:tcW w:w="2001" w:type="dxa"/>
            <w:gridSpan w:val="2"/>
            <w:vMerge w:val="continue"/>
            <w:shd w:val="clear" w:color="auto" w:fill="FFFFFF"/>
            <w:noWrap w:val="0"/>
            <w:vAlign w:val="center"/>
          </w:tcPr>
          <w:p>
            <w:pPr>
              <w:pStyle w:val="233"/>
              <w:spacing w:beforeLines="0" w:afterLines="0"/>
              <w:ind w:left="0" w:leftChars="0" w:firstLine="0" w:firstLineChars="0"/>
              <w:jc w:val="center"/>
              <w:rPr>
                <w:rFonts w:ascii="Times New Roman"/>
                <w:szCs w:val="21"/>
              </w:rPr>
            </w:pPr>
          </w:p>
        </w:tc>
        <w:tc>
          <w:tcPr>
            <w:tcW w:w="163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≥1</w:t>
            </w:r>
            <w:r>
              <w:rPr>
                <w:rFonts w:ascii="Times New Roman" w:hAnsi="Times New Roman" w:cs="Times New Roman"/>
                <w:szCs w:val="21"/>
              </w:rPr>
              <w:t>2m</w:t>
            </w:r>
            <w:r>
              <w:rPr>
                <w:rFonts w:hint="eastAsia" w:ascii="Times New Roman" w:hAnsi="Times New Roman" w:cs="Times New Roman"/>
                <w:szCs w:val="21"/>
              </w:rPr>
              <w:t>且＜1</w:t>
            </w:r>
            <w:r>
              <w:rPr>
                <w:rFonts w:ascii="Times New Roman" w:hAnsi="Times New Roman" w:cs="Times New Roman"/>
                <w:szCs w:val="21"/>
              </w:rPr>
              <w:t>8m</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±1</w:t>
            </w:r>
            <w:r>
              <w:rPr>
                <w:rFonts w:ascii="Times New Roman" w:hAnsi="Times New Roman" w:cs="Times New Roman"/>
                <w:szCs w:val="21"/>
              </w:rPr>
              <w:t>0</w:t>
            </w:r>
          </w:p>
        </w:tc>
        <w:tc>
          <w:tcPr>
            <w:tcW w:w="2583" w:type="dxa"/>
            <w:vMerge w:val="continue"/>
            <w:shd w:val="clear" w:color="auto" w:fill="FFFFFF"/>
            <w:noWrap w:val="0"/>
            <w:vAlign w:val="center"/>
          </w:tcPr>
          <w:p>
            <w:pPr>
              <w:pStyle w:val="233"/>
              <w:spacing w:beforeLines="0" w:afterLines="0"/>
              <w:ind w:left="0" w:leftChars="0"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885" w:type="dxa"/>
            <w:vMerge w:val="continue"/>
            <w:shd w:val="clear" w:color="auto" w:fill="FFFFFF"/>
            <w:noWrap w:val="0"/>
            <w:vAlign w:val="center"/>
          </w:tcPr>
          <w:p>
            <w:pPr>
              <w:pStyle w:val="233"/>
              <w:ind w:firstLine="0" w:firstLineChars="0"/>
              <w:jc w:val="center"/>
              <w:rPr>
                <w:rFonts w:hAnsi="宋体" w:cs="宋体"/>
                <w:szCs w:val="21"/>
              </w:rPr>
            </w:pPr>
          </w:p>
        </w:tc>
        <w:tc>
          <w:tcPr>
            <w:tcW w:w="2001" w:type="dxa"/>
            <w:gridSpan w:val="2"/>
            <w:vMerge w:val="continue"/>
            <w:shd w:val="clear" w:color="auto" w:fill="FFFFFF"/>
            <w:noWrap w:val="0"/>
            <w:vAlign w:val="center"/>
          </w:tcPr>
          <w:p>
            <w:pPr>
              <w:pStyle w:val="233"/>
              <w:spacing w:beforeLines="0" w:afterLines="0"/>
              <w:ind w:left="0" w:leftChars="0" w:firstLine="0" w:firstLineChars="0"/>
              <w:jc w:val="center"/>
              <w:rPr>
                <w:rFonts w:ascii="Times New Roman"/>
                <w:szCs w:val="21"/>
              </w:rPr>
            </w:pPr>
          </w:p>
        </w:tc>
        <w:tc>
          <w:tcPr>
            <w:tcW w:w="163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≥1</w:t>
            </w:r>
            <w:r>
              <w:rPr>
                <w:rFonts w:ascii="Times New Roman" w:hAnsi="Times New Roman" w:cs="Times New Roman"/>
                <w:szCs w:val="21"/>
              </w:rPr>
              <w:t>8m</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20</w:t>
            </w:r>
          </w:p>
        </w:tc>
        <w:tc>
          <w:tcPr>
            <w:tcW w:w="2583" w:type="dxa"/>
            <w:vMerge w:val="continue"/>
            <w:shd w:val="clear" w:color="auto" w:fill="FFFFFF"/>
            <w:noWrap w:val="0"/>
            <w:vAlign w:val="center"/>
          </w:tcPr>
          <w:p>
            <w:pPr>
              <w:pStyle w:val="233"/>
              <w:spacing w:beforeLines="0" w:afterLines="0"/>
              <w:ind w:left="0" w:leftChars="0"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5" w:type="dxa"/>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2</w:t>
            </w:r>
          </w:p>
        </w:tc>
        <w:tc>
          <w:tcPr>
            <w:tcW w:w="3635" w:type="dxa"/>
            <w:gridSpan w:val="3"/>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宽度</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5</w:t>
            </w:r>
          </w:p>
        </w:tc>
        <w:tc>
          <w:tcPr>
            <w:tcW w:w="2583" w:type="dxa"/>
            <w:shd w:val="clear" w:color="auto" w:fill="FFFFFF"/>
            <w:noWrap w:val="0"/>
            <w:vAlign w:val="center"/>
          </w:tcPr>
          <w:p>
            <w:pPr>
              <w:widowControl/>
              <w:jc w:val="center"/>
              <w:rPr>
                <w:szCs w:val="21"/>
              </w:rPr>
            </w:pPr>
            <w:r>
              <w:rPr>
                <w:rFonts w:hint="eastAsia" w:eastAsia="宋体"/>
                <w:szCs w:val="21"/>
              </w:rPr>
              <w:t>用钢尺测量两端及中部，取其中偏差绝对值较大处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5" w:type="dxa"/>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3</w:t>
            </w:r>
          </w:p>
        </w:tc>
        <w:tc>
          <w:tcPr>
            <w:tcW w:w="3635" w:type="dxa"/>
            <w:gridSpan w:val="3"/>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高（厚）度</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5</w:t>
            </w:r>
          </w:p>
        </w:tc>
        <w:tc>
          <w:tcPr>
            <w:tcW w:w="2583"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cs="Times New Roman"/>
                <w:szCs w:val="21"/>
              </w:rPr>
              <w:t>用钢尺测量两端及中部，取其中偏差绝对值较大处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5" w:type="dxa"/>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4</w:t>
            </w:r>
          </w:p>
        </w:tc>
        <w:tc>
          <w:tcPr>
            <w:tcW w:w="3635" w:type="dxa"/>
            <w:gridSpan w:val="3"/>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对角线差</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5</w:t>
            </w:r>
          </w:p>
        </w:tc>
        <w:tc>
          <w:tcPr>
            <w:tcW w:w="2583"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用尺量测板面的两个对角线，计算其差值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5" w:type="dxa"/>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5</w:t>
            </w:r>
          </w:p>
        </w:tc>
        <w:tc>
          <w:tcPr>
            <w:tcW w:w="3635" w:type="dxa"/>
            <w:gridSpan w:val="3"/>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侧向弯曲</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L/750且</w:t>
            </w:r>
            <w:r>
              <w:rPr>
                <w:rFonts w:hint="eastAsia" w:ascii="Times New Roman" w:hAnsi="Times New Roman" w:cs="Times New Roman"/>
                <w:szCs w:val="21"/>
              </w:rPr>
              <w:t>≤</w:t>
            </w:r>
            <w:r>
              <w:rPr>
                <w:rFonts w:ascii="Times New Roman" w:hAnsi="Times New Roman" w:cs="Times New Roman"/>
                <w:szCs w:val="21"/>
              </w:rPr>
              <w:t>20</w:t>
            </w:r>
          </w:p>
        </w:tc>
        <w:tc>
          <w:tcPr>
            <w:tcW w:w="2583"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拉线，钢尺量测侧向弯曲最大处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5" w:type="dxa"/>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6</w:t>
            </w:r>
          </w:p>
        </w:tc>
        <w:tc>
          <w:tcPr>
            <w:tcW w:w="3635" w:type="dxa"/>
            <w:gridSpan w:val="3"/>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翘曲</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L/750</w:t>
            </w:r>
          </w:p>
        </w:tc>
        <w:tc>
          <w:tcPr>
            <w:tcW w:w="2583"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对角拉线测量交点间距离值的两倍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5" w:type="dxa"/>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7</w:t>
            </w:r>
          </w:p>
        </w:tc>
        <w:tc>
          <w:tcPr>
            <w:tcW w:w="3635" w:type="dxa"/>
            <w:gridSpan w:val="3"/>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底板平整度</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3</w:t>
            </w:r>
          </w:p>
        </w:tc>
        <w:tc>
          <w:tcPr>
            <w:tcW w:w="2583"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用2m靠尺和塞尺，量测靠尺与板面最大间隙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885" w:type="dxa"/>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8</w:t>
            </w:r>
          </w:p>
        </w:tc>
        <w:tc>
          <w:tcPr>
            <w:tcW w:w="3635" w:type="dxa"/>
            <w:gridSpan w:val="3"/>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钢筋外伸长度</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5</w:t>
            </w:r>
          </w:p>
        </w:tc>
        <w:tc>
          <w:tcPr>
            <w:tcW w:w="2583"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用尺在板两端测量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85" w:type="dxa"/>
            <w:vMerge w:val="restart"/>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9</w:t>
            </w:r>
          </w:p>
        </w:tc>
        <w:tc>
          <w:tcPr>
            <w:tcW w:w="1072"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预埋件</w:t>
            </w:r>
          </w:p>
        </w:tc>
        <w:tc>
          <w:tcPr>
            <w:tcW w:w="2563"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中心位置偏移</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eastAsia="宋体" w:cs="Times New Roman"/>
                <w:szCs w:val="21"/>
              </w:rPr>
              <w:t>5</w:t>
            </w:r>
          </w:p>
        </w:tc>
        <w:tc>
          <w:tcPr>
            <w:tcW w:w="2583" w:type="dxa"/>
            <w:shd w:val="clear" w:color="auto" w:fill="FFFFFF"/>
            <w:noWrap w:val="0"/>
            <w:vAlign w:val="center"/>
          </w:tcPr>
          <w:p>
            <w:pPr>
              <w:widowControl/>
              <w:jc w:val="left"/>
              <w:rPr>
                <w:szCs w:val="21"/>
              </w:rPr>
            </w:pPr>
            <w:r>
              <w:rPr>
                <w:rFonts w:hint="eastAsia" w:eastAsia="宋体"/>
                <w:szCs w:val="21"/>
              </w:rPr>
              <w:t>用尺量测纵、横两个方向中心线，</w:t>
            </w:r>
            <w:r>
              <w:rPr>
                <w:rFonts w:eastAsia="宋体"/>
                <w:szCs w:val="21"/>
              </w:rPr>
              <w:t>取其中较大值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85"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072"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563"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hAnsi="宋体"/>
                <w:szCs w:val="21"/>
              </w:rPr>
              <w:t>与混凝土面平面高差</w:t>
            </w:r>
          </w:p>
        </w:tc>
        <w:tc>
          <w:tcPr>
            <w:tcW w:w="2318"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0</w:t>
            </w:r>
            <w:r>
              <w:rPr>
                <w:rFonts w:hint="eastAsia" w:ascii="Times New Roman" w:hAnsi="Times New Roman" w:cs="Times New Roman"/>
                <w:szCs w:val="21"/>
              </w:rPr>
              <w:t>，－</w:t>
            </w:r>
            <w:r>
              <w:rPr>
                <w:rFonts w:ascii="Times New Roman" w:hAnsi="Times New Roman" w:cs="Times New Roman"/>
                <w:szCs w:val="21"/>
              </w:rPr>
              <w:t>5</w:t>
            </w:r>
          </w:p>
        </w:tc>
        <w:tc>
          <w:tcPr>
            <w:tcW w:w="2583"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用平尺或钢尺测量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85" w:type="dxa"/>
            <w:vMerge w:val="restart"/>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10</w:t>
            </w:r>
          </w:p>
        </w:tc>
        <w:tc>
          <w:tcPr>
            <w:tcW w:w="1072"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预留孔洞</w:t>
            </w:r>
          </w:p>
        </w:tc>
        <w:tc>
          <w:tcPr>
            <w:tcW w:w="2563"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中心位置偏移</w:t>
            </w:r>
          </w:p>
        </w:tc>
        <w:tc>
          <w:tcPr>
            <w:tcW w:w="2318"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5</w:t>
            </w:r>
          </w:p>
        </w:tc>
        <w:tc>
          <w:tcPr>
            <w:tcW w:w="2583"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用尺量测纵、横两个方向中心线，</w:t>
            </w:r>
            <w:r>
              <w:rPr>
                <w:rFonts w:ascii="Times New Roman" w:hAnsi="Times New Roman" w:cs="Times New Roman"/>
                <w:szCs w:val="21"/>
              </w:rPr>
              <w:t>取其中较大值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85" w:type="dxa"/>
            <w:vMerge w:val="continue"/>
            <w:shd w:val="clear" w:color="auto" w:fill="FFFFFF"/>
            <w:noWrap w:val="0"/>
            <w:vAlign w:val="center"/>
          </w:tcPr>
          <w:p>
            <w:pPr>
              <w:pStyle w:val="233"/>
              <w:widowControl w:val="0"/>
              <w:ind w:firstLine="0" w:firstLineChars="0"/>
              <w:jc w:val="center"/>
              <w:rPr>
                <w:rFonts w:ascii="Times New Roman"/>
                <w:szCs w:val="21"/>
              </w:rPr>
            </w:pPr>
          </w:p>
        </w:tc>
        <w:tc>
          <w:tcPr>
            <w:tcW w:w="1072" w:type="dxa"/>
            <w:vMerge w:val="continue"/>
            <w:shd w:val="clear" w:color="auto" w:fill="FFFFFF"/>
            <w:noWrap w:val="0"/>
            <w:vAlign w:val="center"/>
          </w:tcPr>
          <w:p>
            <w:pPr>
              <w:pStyle w:val="233"/>
              <w:widowControl w:val="0"/>
              <w:ind w:firstLine="0" w:firstLineChars="0"/>
              <w:jc w:val="center"/>
              <w:rPr>
                <w:rFonts w:ascii="Times New Roman"/>
                <w:szCs w:val="21"/>
              </w:rPr>
            </w:pPr>
          </w:p>
        </w:tc>
        <w:tc>
          <w:tcPr>
            <w:tcW w:w="2563" w:type="dxa"/>
            <w:gridSpan w:val="2"/>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规格尺寸</w:t>
            </w:r>
          </w:p>
        </w:tc>
        <w:tc>
          <w:tcPr>
            <w:tcW w:w="2318"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±5</w:t>
            </w:r>
          </w:p>
        </w:tc>
        <w:tc>
          <w:tcPr>
            <w:tcW w:w="2583"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用尺测量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9" w:hRule="exact"/>
          <w:jc w:val="center"/>
        </w:trPr>
        <w:tc>
          <w:tcPr>
            <w:tcW w:w="9421" w:type="dxa"/>
            <w:gridSpan w:val="6"/>
            <w:shd w:val="clear" w:color="auto" w:fill="FFFFFF"/>
            <w:noWrap w:val="0"/>
            <w:vAlign w:val="center"/>
          </w:tcPr>
          <w:p>
            <w:pPr>
              <w:pStyle w:val="233"/>
              <w:ind w:firstLine="0" w:firstLineChars="0"/>
              <w:jc w:val="center"/>
              <w:rPr>
                <w:rFonts w:ascii="Times New Roman"/>
                <w:szCs w:val="21"/>
              </w:rPr>
            </w:pPr>
            <w:r>
              <w:rPr>
                <w:rFonts w:ascii="Times New Roman"/>
                <w:szCs w:val="21"/>
              </w:rPr>
              <w:t>L为构件长度，单位为mm</w:t>
            </w:r>
          </w:p>
        </w:tc>
      </w:tr>
    </w:tbl>
    <w:p>
      <w:pPr>
        <w:pStyle w:val="242"/>
        <w:jc w:val="center"/>
      </w:pPr>
      <w:bookmarkStart w:id="96" w:name="_Toc531952464"/>
      <w:r>
        <w:rPr>
          <w:rFonts w:hint="eastAsia"/>
          <w:lang w:eastAsia="zh-CN"/>
        </w:rPr>
        <w:t>表17</w:t>
      </w:r>
      <w:r>
        <w:t xml:space="preserve"> </w:t>
      </w:r>
      <w:r>
        <w:rPr>
          <w:rFonts w:hint="eastAsia"/>
        </w:rPr>
        <w:t>其他构件尺寸偏差</w:t>
      </w:r>
      <w:bookmarkEnd w:id="96"/>
    </w:p>
    <w:tbl>
      <w:tblPr>
        <w:tblStyle w:val="27"/>
        <w:tblW w:w="9329" w:type="dxa"/>
        <w:jc w:val="center"/>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868"/>
        <w:gridCol w:w="796"/>
        <w:gridCol w:w="1091"/>
        <w:gridCol w:w="1404"/>
        <w:gridCol w:w="1405"/>
        <w:gridCol w:w="1854"/>
        <w:gridCol w:w="1911"/>
      </w:tblGrid>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tblHeader/>
          <w:jc w:val="center"/>
        </w:trPr>
        <w:tc>
          <w:tcPr>
            <w:tcW w:w="868"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项次</w:t>
            </w:r>
          </w:p>
        </w:tc>
        <w:tc>
          <w:tcPr>
            <w:tcW w:w="4696" w:type="dxa"/>
            <w:gridSpan w:val="4"/>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检验项目</w:t>
            </w:r>
          </w:p>
        </w:tc>
        <w:tc>
          <w:tcPr>
            <w:tcW w:w="1854"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允许偏差（</w:t>
            </w:r>
            <w:r>
              <w:rPr>
                <w:rFonts w:ascii="Times New Roman"/>
                <w:szCs w:val="21"/>
              </w:rPr>
              <w:t>mm）</w:t>
            </w:r>
          </w:p>
        </w:tc>
        <w:tc>
          <w:tcPr>
            <w:tcW w:w="1911"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检验方法</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1</w:t>
            </w:r>
          </w:p>
        </w:tc>
        <w:tc>
          <w:tcPr>
            <w:tcW w:w="796"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长度</w:t>
            </w:r>
          </w:p>
        </w:tc>
        <w:tc>
          <w:tcPr>
            <w:tcW w:w="1091"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板、梁、柱、桁架</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eastAsia="宋体" w:cs="Times New Roman"/>
                <w:szCs w:val="21"/>
              </w:rPr>
              <w:t>＜</w:t>
            </w:r>
            <w:r>
              <w:rPr>
                <w:rFonts w:ascii="Times New Roman" w:hAnsi="Times New Roman" w:eastAsia="宋体" w:cs="Times New Roman"/>
                <w:szCs w:val="21"/>
              </w:rPr>
              <w:t>12m</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5</w:t>
            </w:r>
          </w:p>
        </w:tc>
        <w:tc>
          <w:tcPr>
            <w:tcW w:w="1911" w:type="dxa"/>
            <w:vMerge w:val="restart"/>
            <w:shd w:val="clear" w:color="auto" w:fill="FFFFFF"/>
            <w:noWrap w:val="0"/>
            <w:vAlign w:val="center"/>
          </w:tcPr>
          <w:p>
            <w:pPr>
              <w:jc w:val="center"/>
              <w:rPr>
                <w:szCs w:val="21"/>
              </w:rPr>
            </w:pPr>
            <w:r>
              <w:rPr>
                <w:rFonts w:hint="eastAsia" w:eastAsia="宋体"/>
                <w:szCs w:val="21"/>
              </w:rPr>
              <w:t>用钢尺测量两端及中部，取其中偏差绝对值较大处</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continue"/>
            <w:shd w:val="clear" w:color="auto" w:fill="FFFFFF"/>
            <w:noWrap w:val="0"/>
            <w:vAlign w:val="center"/>
          </w:tcPr>
          <w:p>
            <w:pPr>
              <w:pStyle w:val="233"/>
              <w:spacing w:beforeLines="0" w:afterLines="0"/>
              <w:ind w:left="0" w:leftChars="0" w:firstLine="0" w:firstLineChars="0"/>
              <w:jc w:val="center"/>
              <w:rPr>
                <w:rFonts w:hAnsi="宋体" w:cs="宋体"/>
                <w:szCs w:val="21"/>
              </w:rPr>
            </w:pPr>
          </w:p>
        </w:tc>
        <w:tc>
          <w:tcPr>
            <w:tcW w:w="796"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1091"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kern w:val="0"/>
                <w:szCs w:val="21"/>
              </w:rPr>
              <w:t>≥</w:t>
            </w:r>
            <w:r>
              <w:rPr>
                <w:rFonts w:ascii="Times New Roman" w:hAnsi="Times New Roman" w:cs="Times New Roman"/>
                <w:kern w:val="0"/>
                <w:szCs w:val="21"/>
              </w:rPr>
              <w:t>12</w:t>
            </w:r>
            <w:r>
              <w:rPr>
                <w:rFonts w:hint="eastAsia" w:ascii="Times New Roman" w:hAnsi="Times New Roman" w:eastAsia="宋体" w:cs="Times New Roman"/>
                <w:szCs w:val="21"/>
              </w:rPr>
              <w:t>且＜</w:t>
            </w:r>
            <w:r>
              <w:rPr>
                <w:rFonts w:ascii="Times New Roman" w:hAnsi="Times New Roman" w:eastAsia="宋体" w:cs="Times New Roman"/>
                <w:szCs w:val="21"/>
              </w:rPr>
              <w:t>18m</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10</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continue"/>
            <w:shd w:val="clear" w:color="auto" w:fill="FFFFFF"/>
            <w:noWrap w:val="0"/>
            <w:vAlign w:val="center"/>
          </w:tcPr>
          <w:p>
            <w:pPr>
              <w:pStyle w:val="233"/>
              <w:spacing w:beforeLines="0" w:afterLines="0"/>
              <w:ind w:left="0" w:leftChars="0" w:firstLine="0" w:firstLineChars="0"/>
              <w:jc w:val="center"/>
              <w:rPr>
                <w:rFonts w:hAnsi="宋体" w:cs="宋体"/>
                <w:szCs w:val="21"/>
              </w:rPr>
            </w:pPr>
          </w:p>
        </w:tc>
        <w:tc>
          <w:tcPr>
            <w:tcW w:w="796"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1091"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kern w:val="0"/>
                <w:szCs w:val="21"/>
              </w:rPr>
              <w:t>≥</w:t>
            </w:r>
            <w:r>
              <w:rPr>
                <w:rFonts w:ascii="Times New Roman" w:hAnsi="Times New Roman" w:cs="Times New Roman"/>
                <w:kern w:val="0"/>
                <w:szCs w:val="21"/>
              </w:rPr>
              <w:t>18</w:t>
            </w:r>
            <w:r>
              <w:rPr>
                <w:rFonts w:hint="eastAsia" w:ascii="Times New Roman" w:hAnsi="Times New Roman" w:cs="Times New Roman"/>
                <w:kern w:val="0"/>
                <w:szCs w:val="21"/>
              </w:rPr>
              <w:t>m</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20</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continue"/>
            <w:shd w:val="clear" w:color="auto" w:fill="FFFFFF"/>
            <w:noWrap w:val="0"/>
            <w:vAlign w:val="center"/>
          </w:tcPr>
          <w:p>
            <w:pPr>
              <w:pStyle w:val="233"/>
              <w:spacing w:beforeLines="0" w:afterLines="0"/>
              <w:ind w:left="0" w:leftChars="0" w:firstLine="0" w:firstLineChars="0"/>
              <w:jc w:val="center"/>
              <w:rPr>
                <w:rFonts w:hAnsi="宋体" w:cs="宋体"/>
                <w:szCs w:val="21"/>
              </w:rPr>
            </w:pPr>
          </w:p>
        </w:tc>
        <w:tc>
          <w:tcPr>
            <w:tcW w:w="796"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3900" w:type="dxa"/>
            <w:gridSpan w:val="3"/>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墙</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4</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2</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宽度、高（厚）度</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板、梁、柱、桁架截面尺寸</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5</w:t>
            </w:r>
          </w:p>
        </w:tc>
        <w:tc>
          <w:tcPr>
            <w:tcW w:w="1911"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cs="Times New Roman"/>
                <w:szCs w:val="21"/>
              </w:rPr>
              <w:t>用钢尺测量两端及中部，取其中偏差绝对值较大处</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墙的高度、厚度</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±3</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3</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表面平整度</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板内表面、梁、柱、墙内表面</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4</w:t>
            </w:r>
          </w:p>
        </w:tc>
        <w:tc>
          <w:tcPr>
            <w:tcW w:w="1911"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用2m靠尺和塞尺量测最大值处</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板外表面、墙外表面</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3</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4</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侧向弯曲</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板、梁、柱</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L/750且</w:t>
            </w:r>
            <w:r>
              <w:rPr>
                <w:rFonts w:hint="eastAsia" w:ascii="Times New Roman" w:hAnsi="Times New Roman" w:cs="Times New Roman"/>
                <w:szCs w:val="21"/>
                <w:lang w:val="en-US" w:eastAsia="zh-CN"/>
              </w:rPr>
              <w:t>≤</w:t>
            </w:r>
            <w:r>
              <w:rPr>
                <w:rFonts w:ascii="Times New Roman" w:hAnsi="Times New Roman" w:cs="Times New Roman"/>
                <w:szCs w:val="21"/>
              </w:rPr>
              <w:t>20</w:t>
            </w:r>
          </w:p>
        </w:tc>
        <w:tc>
          <w:tcPr>
            <w:tcW w:w="1911"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拉线，钢尺量测侧向弯曲最大处</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墙、桁架</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L/1000且</w:t>
            </w:r>
            <w:r>
              <w:rPr>
                <w:rFonts w:hint="eastAsia" w:ascii="Times New Roman" w:hAnsi="Times New Roman" w:cs="Times New Roman"/>
                <w:szCs w:val="21"/>
                <w:lang w:val="en-US" w:eastAsia="zh-CN"/>
              </w:rPr>
              <w:t>≤</w:t>
            </w:r>
            <w:r>
              <w:rPr>
                <w:rFonts w:ascii="Times New Roman" w:hAnsi="Times New Roman" w:cs="Times New Roman"/>
                <w:szCs w:val="21"/>
              </w:rPr>
              <w:t>20</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5</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翘曲</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板</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L/750</w:t>
            </w:r>
          </w:p>
        </w:tc>
        <w:tc>
          <w:tcPr>
            <w:tcW w:w="1911" w:type="dxa"/>
            <w:vMerge w:val="restart"/>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对角拉线测量交点间距离值的两倍</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widowControl w:val="0"/>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墙、门窗口</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L/1000</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6</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对角线差</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板</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6</w:t>
            </w:r>
          </w:p>
        </w:tc>
        <w:tc>
          <w:tcPr>
            <w:tcW w:w="1911"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用尺量测板面的两个对角线，计算其差值</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widowControl w:val="0"/>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墙、门窗口</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5</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7</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挠度变形</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板、梁、桁架设计起拱</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10</w:t>
            </w:r>
          </w:p>
        </w:tc>
        <w:tc>
          <w:tcPr>
            <w:tcW w:w="1911" w:type="dxa"/>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拉线，钢尺量测最大弯曲处</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continue"/>
            <w:shd w:val="clear" w:color="auto" w:fill="FFFFFF"/>
            <w:noWrap w:val="0"/>
            <w:vAlign w:val="center"/>
          </w:tcPr>
          <w:p>
            <w:pPr>
              <w:pStyle w:val="233"/>
              <w:widowControl w:val="0"/>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板、梁、桁架下垂</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0</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8</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预埋孔</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中心线位置</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5</w:t>
            </w:r>
          </w:p>
        </w:tc>
        <w:tc>
          <w:tcPr>
            <w:tcW w:w="1911" w:type="dxa"/>
            <w:vMerge w:val="restart"/>
            <w:shd w:val="clear" w:color="auto" w:fill="FFFFFF"/>
            <w:noWrap w:val="0"/>
            <w:vAlign w:val="center"/>
          </w:tcPr>
          <w:p>
            <w:pPr>
              <w:pStyle w:val="233"/>
              <w:ind w:firstLine="0" w:firstLineChars="0"/>
              <w:jc w:val="center"/>
              <w:rPr>
                <w:rFonts w:ascii="Times New Roman"/>
                <w:szCs w:val="21"/>
              </w:rPr>
            </w:pPr>
            <w:r>
              <w:rPr>
                <w:rFonts w:hint="eastAsia" w:ascii="Times New Roman"/>
                <w:szCs w:val="21"/>
              </w:rPr>
              <w:t>钢尺量测</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continue"/>
            <w:shd w:val="clear" w:color="auto" w:fill="FFFFFF"/>
            <w:noWrap w:val="0"/>
            <w:vAlign w:val="center"/>
          </w:tcPr>
          <w:p>
            <w:pPr>
              <w:pStyle w:val="233"/>
              <w:widowControl w:val="0"/>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孔尺寸</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5</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9</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预留洞</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中心线位置</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5</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widowControl w:val="0"/>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default" w:ascii="Times New Roman" w:hAnsi="Times New Roman" w:cs="Times New Roman"/>
                <w:szCs w:val="21"/>
                <w:lang w:val="en-US"/>
              </w:rPr>
              <w:t>洞口</w:t>
            </w:r>
            <w:r>
              <w:rPr>
                <w:rFonts w:hint="eastAsia" w:ascii="Times New Roman" w:hAnsi="Times New Roman" w:cs="Times New Roman"/>
                <w:szCs w:val="21"/>
              </w:rPr>
              <w:t>尺寸、深度</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±5</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restart"/>
            <w:shd w:val="clear" w:color="auto" w:fill="FFFFFF"/>
            <w:noWrap w:val="0"/>
            <w:vAlign w:val="center"/>
          </w:tcPr>
          <w:p>
            <w:pPr>
              <w:pStyle w:val="233"/>
              <w:spacing w:beforeLines="0" w:afterLines="0"/>
              <w:ind w:left="0" w:leftChars="0" w:firstLine="0" w:firstLineChars="0"/>
              <w:jc w:val="center"/>
              <w:rPr>
                <w:rFonts w:hAnsi="宋体" w:cs="宋体"/>
                <w:szCs w:val="21"/>
              </w:rPr>
            </w:pPr>
            <w:r>
              <w:rPr>
                <w:rFonts w:hint="eastAsia" w:ascii="宋体" w:hAnsi="宋体" w:cs="宋体"/>
                <w:szCs w:val="21"/>
              </w:rPr>
              <w:t>10</w:t>
            </w:r>
          </w:p>
        </w:tc>
        <w:tc>
          <w:tcPr>
            <w:tcW w:w="1887" w:type="dxa"/>
            <w:gridSpan w:val="2"/>
            <w:vMerge w:val="restart"/>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门窗洞</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中心线位置偏移</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5</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widowControl w:val="0"/>
              <w:spacing w:beforeLines="0" w:afterLines="0"/>
              <w:ind w:left="0" w:leftChars="0"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p>
        </w:tc>
        <w:tc>
          <w:tcPr>
            <w:tcW w:w="2809" w:type="dxa"/>
            <w:gridSpan w:val="2"/>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宽度、高度</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3</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restart"/>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11</w:t>
            </w:r>
          </w:p>
        </w:tc>
        <w:tc>
          <w:tcPr>
            <w:tcW w:w="1887" w:type="dxa"/>
            <w:gridSpan w:val="2"/>
            <w:vMerge w:val="restart"/>
            <w:shd w:val="clear" w:color="auto" w:fill="FFFFFF"/>
            <w:noWrap w:val="0"/>
            <w:vAlign w:val="center"/>
          </w:tcPr>
          <w:p>
            <w:pPr>
              <w:pStyle w:val="233"/>
              <w:ind w:firstLine="0" w:firstLineChars="0"/>
              <w:jc w:val="center"/>
              <w:rPr>
                <w:rFonts w:ascii="Times New Roman"/>
                <w:szCs w:val="21"/>
              </w:rPr>
            </w:pPr>
            <w:r>
              <w:rPr>
                <w:rFonts w:hint="eastAsia" w:ascii="Times New Roman"/>
                <w:szCs w:val="21"/>
              </w:rPr>
              <w:t>预埋件</w:t>
            </w:r>
          </w:p>
        </w:tc>
        <w:tc>
          <w:tcPr>
            <w:tcW w:w="2809" w:type="dxa"/>
            <w:gridSpan w:val="2"/>
            <w:shd w:val="clear" w:color="auto" w:fill="FFFFFF"/>
            <w:noWrap w:val="0"/>
            <w:vAlign w:val="center"/>
          </w:tcPr>
          <w:p>
            <w:pPr>
              <w:pStyle w:val="233"/>
              <w:ind w:firstLine="0" w:firstLineChars="0"/>
              <w:jc w:val="center"/>
              <w:rPr>
                <w:rFonts w:ascii="Times New Roman"/>
                <w:szCs w:val="21"/>
              </w:rPr>
            </w:pPr>
            <w:r>
              <w:rPr>
                <w:rFonts w:hint="eastAsia" w:ascii="Times New Roman"/>
                <w:szCs w:val="21"/>
              </w:rPr>
              <w:t>预埋件锚板中心线位置</w:t>
            </w:r>
          </w:p>
        </w:tc>
        <w:tc>
          <w:tcPr>
            <w:tcW w:w="1854" w:type="dxa"/>
            <w:shd w:val="clear" w:color="auto" w:fill="FFFFFF"/>
            <w:noWrap w:val="0"/>
            <w:vAlign w:val="center"/>
          </w:tcPr>
          <w:p>
            <w:pPr>
              <w:pStyle w:val="233"/>
              <w:ind w:firstLine="0" w:firstLineChars="0"/>
              <w:jc w:val="center"/>
              <w:rPr>
                <w:rFonts w:ascii="Times New Roman"/>
                <w:szCs w:val="21"/>
              </w:rPr>
            </w:pPr>
            <w:r>
              <w:rPr>
                <w:rFonts w:ascii="Times New Roman"/>
                <w:szCs w:val="21"/>
              </w:rPr>
              <w:t>5</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ind w:firstLine="0" w:firstLineChars="0"/>
              <w:jc w:val="center"/>
              <w:rPr>
                <w:rFonts w:ascii="Times New Roman"/>
                <w:szCs w:val="21"/>
              </w:rPr>
            </w:pPr>
          </w:p>
        </w:tc>
        <w:tc>
          <w:tcPr>
            <w:tcW w:w="2809" w:type="dxa"/>
            <w:gridSpan w:val="2"/>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预埋件锚板与混凝土面平面高差</w:t>
            </w:r>
          </w:p>
        </w:tc>
        <w:tc>
          <w:tcPr>
            <w:tcW w:w="1854" w:type="dxa"/>
            <w:shd w:val="clear" w:color="auto" w:fill="FFFFFF"/>
            <w:noWrap w:val="0"/>
            <w:vAlign w:val="center"/>
          </w:tcPr>
          <w:p>
            <w:pPr>
              <w:pStyle w:val="233"/>
              <w:widowControl w:val="0"/>
              <w:ind w:firstLine="0" w:firstLineChars="0"/>
              <w:jc w:val="center"/>
              <w:rPr>
                <w:rFonts w:ascii="Times New Roman"/>
                <w:szCs w:val="21"/>
              </w:rPr>
            </w:pPr>
            <w:r>
              <w:rPr>
                <w:rFonts w:ascii="Times New Roman"/>
                <w:szCs w:val="21"/>
              </w:rPr>
              <w:t>0</w:t>
            </w:r>
            <w:r>
              <w:rPr>
                <w:rFonts w:hint="eastAsia" w:ascii="Times New Roman"/>
                <w:szCs w:val="21"/>
              </w:rPr>
              <w:t>，－</w:t>
            </w:r>
            <w:r>
              <w:rPr>
                <w:rFonts w:ascii="Times New Roman"/>
                <w:szCs w:val="21"/>
              </w:rPr>
              <w:t>5</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ind w:firstLine="0" w:firstLineChars="0"/>
              <w:jc w:val="center"/>
              <w:rPr>
                <w:rFonts w:ascii="Times New Roman"/>
                <w:szCs w:val="21"/>
              </w:rPr>
            </w:pPr>
          </w:p>
        </w:tc>
        <w:tc>
          <w:tcPr>
            <w:tcW w:w="2809" w:type="dxa"/>
            <w:gridSpan w:val="2"/>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预埋螺栓中心线位置</w:t>
            </w:r>
          </w:p>
        </w:tc>
        <w:tc>
          <w:tcPr>
            <w:tcW w:w="1854" w:type="dxa"/>
            <w:shd w:val="clear" w:color="auto" w:fill="FFFFFF"/>
            <w:noWrap w:val="0"/>
            <w:vAlign w:val="center"/>
          </w:tcPr>
          <w:p>
            <w:pPr>
              <w:pStyle w:val="233"/>
              <w:widowControl w:val="0"/>
              <w:ind w:firstLine="0" w:firstLineChars="0"/>
              <w:jc w:val="center"/>
              <w:rPr>
                <w:rFonts w:ascii="Times New Roman"/>
                <w:szCs w:val="21"/>
              </w:rPr>
            </w:pPr>
            <w:r>
              <w:rPr>
                <w:rFonts w:ascii="Times New Roman"/>
                <w:szCs w:val="21"/>
              </w:rPr>
              <w:t>2</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ind w:firstLine="0" w:firstLineChars="0"/>
              <w:jc w:val="center"/>
              <w:rPr>
                <w:rFonts w:ascii="Times New Roman"/>
                <w:szCs w:val="21"/>
              </w:rPr>
            </w:pPr>
          </w:p>
        </w:tc>
        <w:tc>
          <w:tcPr>
            <w:tcW w:w="2809" w:type="dxa"/>
            <w:gridSpan w:val="2"/>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预埋螺栓外露长度</w:t>
            </w:r>
          </w:p>
        </w:tc>
        <w:tc>
          <w:tcPr>
            <w:tcW w:w="1854" w:type="dxa"/>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w:t>
            </w:r>
            <w:r>
              <w:rPr>
                <w:rFonts w:ascii="Times New Roman"/>
                <w:szCs w:val="21"/>
              </w:rPr>
              <w:t>10</w:t>
            </w:r>
            <w:r>
              <w:rPr>
                <w:rFonts w:hint="eastAsia" w:ascii="Times New Roman"/>
                <w:szCs w:val="21"/>
              </w:rPr>
              <w:t>，－</w:t>
            </w:r>
            <w:r>
              <w:rPr>
                <w:rFonts w:ascii="Times New Roman"/>
                <w:szCs w:val="21"/>
              </w:rPr>
              <w:t>5</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ind w:firstLine="0" w:firstLineChars="0"/>
              <w:jc w:val="center"/>
              <w:rPr>
                <w:rFonts w:ascii="Times New Roman"/>
                <w:szCs w:val="21"/>
              </w:rPr>
            </w:pPr>
          </w:p>
        </w:tc>
        <w:tc>
          <w:tcPr>
            <w:tcW w:w="2809" w:type="dxa"/>
            <w:gridSpan w:val="2"/>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预埋套筒、螺母中心线位置</w:t>
            </w:r>
          </w:p>
        </w:tc>
        <w:tc>
          <w:tcPr>
            <w:tcW w:w="1854" w:type="dxa"/>
            <w:shd w:val="clear" w:color="auto" w:fill="FFFFFF"/>
            <w:noWrap w:val="0"/>
            <w:vAlign w:val="center"/>
          </w:tcPr>
          <w:p>
            <w:pPr>
              <w:pStyle w:val="233"/>
              <w:widowControl w:val="0"/>
              <w:ind w:firstLine="0" w:firstLineChars="0"/>
              <w:jc w:val="center"/>
              <w:rPr>
                <w:rFonts w:ascii="Times New Roman"/>
                <w:szCs w:val="21"/>
              </w:rPr>
            </w:pPr>
            <w:r>
              <w:rPr>
                <w:rFonts w:ascii="Times New Roman"/>
                <w:szCs w:val="21"/>
              </w:rPr>
              <w:t>2</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68"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ind w:firstLine="0" w:firstLineChars="0"/>
              <w:jc w:val="center"/>
              <w:rPr>
                <w:rFonts w:ascii="Times New Roman"/>
                <w:szCs w:val="21"/>
              </w:rPr>
            </w:pPr>
          </w:p>
        </w:tc>
        <w:tc>
          <w:tcPr>
            <w:tcW w:w="2809" w:type="dxa"/>
            <w:gridSpan w:val="2"/>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预埋套筒、螺母与混凝土面平面高差</w:t>
            </w:r>
          </w:p>
        </w:tc>
        <w:tc>
          <w:tcPr>
            <w:tcW w:w="1854" w:type="dxa"/>
            <w:shd w:val="clear" w:color="auto" w:fill="FFFFFF"/>
            <w:noWrap w:val="0"/>
            <w:vAlign w:val="center"/>
          </w:tcPr>
          <w:p>
            <w:pPr>
              <w:pStyle w:val="233"/>
              <w:widowControl w:val="0"/>
              <w:ind w:firstLine="0" w:firstLineChars="0"/>
              <w:jc w:val="center"/>
              <w:rPr>
                <w:rFonts w:ascii="Times New Roman"/>
                <w:szCs w:val="21"/>
              </w:rPr>
            </w:pPr>
            <w:r>
              <w:rPr>
                <w:rFonts w:ascii="Times New Roman"/>
                <w:szCs w:val="21"/>
              </w:rPr>
              <w:t>0</w:t>
            </w:r>
            <w:r>
              <w:rPr>
                <w:rFonts w:hint="eastAsia" w:ascii="Times New Roman"/>
                <w:szCs w:val="21"/>
              </w:rPr>
              <w:t>，－</w:t>
            </w:r>
            <w:r>
              <w:rPr>
                <w:rFonts w:ascii="Times New Roman"/>
                <w:szCs w:val="21"/>
              </w:rPr>
              <w:t>5</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868"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ind w:firstLine="0" w:firstLineChars="0"/>
              <w:jc w:val="center"/>
              <w:rPr>
                <w:rFonts w:ascii="Times New Roman"/>
                <w:szCs w:val="21"/>
              </w:rPr>
            </w:pPr>
          </w:p>
        </w:tc>
        <w:tc>
          <w:tcPr>
            <w:tcW w:w="2809" w:type="dxa"/>
            <w:gridSpan w:val="2"/>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线管、电盒、木砖、吊环与构件表面的中心线位置偏差</w:t>
            </w:r>
          </w:p>
        </w:tc>
        <w:tc>
          <w:tcPr>
            <w:tcW w:w="1854" w:type="dxa"/>
            <w:shd w:val="clear" w:color="auto" w:fill="FFFFFF"/>
            <w:noWrap w:val="0"/>
            <w:vAlign w:val="center"/>
          </w:tcPr>
          <w:p>
            <w:pPr>
              <w:pStyle w:val="233"/>
              <w:widowControl w:val="0"/>
              <w:ind w:firstLine="0" w:firstLineChars="0"/>
              <w:jc w:val="center"/>
              <w:rPr>
                <w:rFonts w:ascii="Times New Roman"/>
                <w:szCs w:val="21"/>
              </w:rPr>
            </w:pPr>
            <w:r>
              <w:rPr>
                <w:rFonts w:ascii="Times New Roman"/>
                <w:szCs w:val="21"/>
              </w:rPr>
              <w:t>10</w:t>
            </w:r>
          </w:p>
        </w:tc>
        <w:tc>
          <w:tcPr>
            <w:tcW w:w="1911" w:type="dxa"/>
            <w:vMerge w:val="restart"/>
            <w:shd w:val="clear" w:color="auto" w:fill="FFFFFF"/>
            <w:noWrap w:val="0"/>
            <w:vAlign w:val="center"/>
          </w:tcPr>
          <w:p>
            <w:pPr>
              <w:pStyle w:val="233"/>
              <w:widowControl w:val="0"/>
              <w:ind w:firstLine="0" w:firstLineChars="0"/>
              <w:jc w:val="center"/>
              <w:rPr>
                <w:rFonts w:ascii="Times New Roman"/>
                <w:szCs w:val="21"/>
              </w:rPr>
            </w:pPr>
            <w:r>
              <w:rPr>
                <w:rFonts w:hint="eastAsia" w:ascii="Times New Roman"/>
                <w:szCs w:val="21"/>
              </w:rPr>
              <w:t>钢尺量测</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restart"/>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12</w:t>
            </w:r>
          </w:p>
        </w:tc>
        <w:tc>
          <w:tcPr>
            <w:tcW w:w="1887" w:type="dxa"/>
            <w:gridSpan w:val="2"/>
            <w:vMerge w:val="restart"/>
            <w:shd w:val="clear" w:color="auto" w:fill="FFFFFF"/>
            <w:noWrap w:val="0"/>
            <w:vAlign w:val="center"/>
          </w:tcPr>
          <w:p>
            <w:pPr>
              <w:pStyle w:val="233"/>
              <w:ind w:firstLine="0" w:firstLineChars="0"/>
              <w:jc w:val="center"/>
              <w:rPr>
                <w:rFonts w:ascii="Times New Roman"/>
                <w:szCs w:val="21"/>
              </w:rPr>
            </w:pPr>
            <w:r>
              <w:rPr>
                <w:rFonts w:hint="eastAsia" w:ascii="Times New Roman"/>
                <w:szCs w:val="21"/>
              </w:rPr>
              <w:t>预留钢筋</w:t>
            </w:r>
          </w:p>
        </w:tc>
        <w:tc>
          <w:tcPr>
            <w:tcW w:w="1404" w:type="dxa"/>
            <w:vMerge w:val="restart"/>
            <w:shd w:val="clear" w:color="auto" w:fill="FFFFFF"/>
            <w:noWrap w:val="0"/>
            <w:vAlign w:val="center"/>
          </w:tcPr>
          <w:p>
            <w:pPr>
              <w:pStyle w:val="233"/>
              <w:widowControl w:val="0"/>
              <w:spacing w:beforeLines="0" w:afterLines="0"/>
              <w:ind w:left="0" w:leftChars="0" w:firstLine="0" w:firstLineChars="0"/>
              <w:jc w:val="center"/>
              <w:rPr>
                <w:rFonts w:ascii="Times New Roman"/>
                <w:color w:val="FF0000"/>
                <w:szCs w:val="21"/>
              </w:rPr>
            </w:pPr>
            <w:r>
              <w:rPr>
                <w:rFonts w:hint="eastAsia" w:ascii="Times New Roman" w:hAnsi="Times New Roman" w:cs="Times New Roman"/>
                <w:szCs w:val="21"/>
              </w:rPr>
              <w:t>节点连接预留钢筋</w:t>
            </w:r>
          </w:p>
        </w:tc>
        <w:tc>
          <w:tcPr>
            <w:tcW w:w="1405"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中心线位置</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2</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ind w:firstLine="0" w:firstLineChars="0"/>
              <w:jc w:val="center"/>
              <w:rPr>
                <w:rFonts w:ascii="Times New Roman"/>
                <w:szCs w:val="21"/>
              </w:rPr>
            </w:pPr>
          </w:p>
        </w:tc>
        <w:tc>
          <w:tcPr>
            <w:tcW w:w="1404"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color w:val="FF0000"/>
                <w:szCs w:val="21"/>
              </w:rPr>
            </w:pPr>
          </w:p>
        </w:tc>
        <w:tc>
          <w:tcPr>
            <w:tcW w:w="1405"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外露长度</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0，+</w:t>
            </w:r>
            <w:r>
              <w:rPr>
                <w:rFonts w:hint="eastAsia" w:ascii="Times New Roman" w:hAnsi="Times New Roman" w:cs="Times New Roman"/>
                <w:szCs w:val="21"/>
                <w:lang w:val="en-US" w:eastAsia="zh-CN"/>
              </w:rPr>
              <w:t>10</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ind w:firstLine="0" w:firstLineChars="0"/>
              <w:jc w:val="center"/>
              <w:rPr>
                <w:rFonts w:ascii="Times New Roman"/>
                <w:szCs w:val="21"/>
              </w:rPr>
            </w:pPr>
          </w:p>
        </w:tc>
        <w:tc>
          <w:tcPr>
            <w:tcW w:w="1404" w:type="dxa"/>
            <w:vMerge w:val="restart"/>
            <w:shd w:val="clear" w:color="auto" w:fill="FFFFFF"/>
            <w:noWrap w:val="0"/>
            <w:vAlign w:val="center"/>
          </w:tcPr>
          <w:p>
            <w:pPr>
              <w:pStyle w:val="233"/>
              <w:widowControl w:val="0"/>
              <w:spacing w:beforeLines="0" w:afterLines="0"/>
              <w:ind w:left="0" w:leftChars="0" w:firstLine="0" w:firstLineChars="0"/>
              <w:jc w:val="center"/>
              <w:rPr>
                <w:rFonts w:ascii="Times New Roman"/>
                <w:color w:val="FF0000"/>
                <w:szCs w:val="21"/>
              </w:rPr>
            </w:pPr>
            <w:r>
              <w:rPr>
                <w:rFonts w:hint="eastAsia" w:ascii="Times New Roman" w:hAnsi="Times New Roman" w:cs="Times New Roman"/>
                <w:szCs w:val="21"/>
              </w:rPr>
              <w:t>搭接用预留钢筋</w:t>
            </w:r>
          </w:p>
        </w:tc>
        <w:tc>
          <w:tcPr>
            <w:tcW w:w="1405"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中心线位置</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3</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widowControl w:val="0"/>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widowControl w:val="0"/>
              <w:ind w:firstLine="0" w:firstLineChars="0"/>
              <w:jc w:val="center"/>
              <w:rPr>
                <w:rFonts w:ascii="Times New Roman"/>
                <w:szCs w:val="21"/>
              </w:rPr>
            </w:pPr>
          </w:p>
        </w:tc>
        <w:tc>
          <w:tcPr>
            <w:tcW w:w="1404" w:type="dxa"/>
            <w:vMerge w:val="continue"/>
            <w:shd w:val="clear" w:color="auto" w:fill="FFFFFF"/>
            <w:noWrap w:val="0"/>
            <w:vAlign w:val="center"/>
          </w:tcPr>
          <w:p>
            <w:pPr>
              <w:pStyle w:val="233"/>
              <w:widowControl w:val="0"/>
              <w:spacing w:beforeLines="0" w:afterLines="0"/>
              <w:ind w:left="0" w:leftChars="0" w:firstLine="0" w:firstLineChars="0"/>
              <w:jc w:val="center"/>
              <w:rPr>
                <w:rFonts w:ascii="Times New Roman"/>
                <w:color w:val="FF0000"/>
                <w:szCs w:val="21"/>
              </w:rPr>
            </w:pPr>
          </w:p>
        </w:tc>
        <w:tc>
          <w:tcPr>
            <w:tcW w:w="1405"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外露长度</w:t>
            </w:r>
          </w:p>
        </w:tc>
        <w:tc>
          <w:tcPr>
            <w:tcW w:w="1854" w:type="dxa"/>
            <w:shd w:val="clear" w:color="auto" w:fill="FFFFFF"/>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±5</w:t>
            </w:r>
          </w:p>
        </w:tc>
        <w:tc>
          <w:tcPr>
            <w:tcW w:w="1911" w:type="dxa"/>
            <w:vMerge w:val="continue"/>
            <w:shd w:val="clear" w:color="auto" w:fill="FFFFFF"/>
            <w:noWrap w:val="0"/>
            <w:vAlign w:val="center"/>
          </w:tcPr>
          <w:p>
            <w:pPr>
              <w:pStyle w:val="233"/>
              <w:widowControl w:val="0"/>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restart"/>
            <w:shd w:val="clear" w:color="auto" w:fill="FFFFFF"/>
            <w:noWrap w:val="0"/>
            <w:vAlign w:val="center"/>
          </w:tcPr>
          <w:p>
            <w:pPr>
              <w:pStyle w:val="233"/>
              <w:ind w:firstLine="0" w:firstLineChars="0"/>
              <w:jc w:val="center"/>
              <w:rPr>
                <w:rFonts w:hAnsi="宋体" w:cs="宋体"/>
                <w:szCs w:val="21"/>
              </w:rPr>
            </w:pPr>
            <w:r>
              <w:rPr>
                <w:rFonts w:hint="eastAsia" w:hAnsi="宋体" w:cs="宋体"/>
                <w:szCs w:val="21"/>
              </w:rPr>
              <w:t>13</w:t>
            </w:r>
          </w:p>
        </w:tc>
        <w:tc>
          <w:tcPr>
            <w:tcW w:w="1887" w:type="dxa"/>
            <w:gridSpan w:val="2"/>
            <w:vMerge w:val="restart"/>
            <w:shd w:val="clear" w:color="auto" w:fill="FFFFFF"/>
            <w:noWrap w:val="0"/>
            <w:vAlign w:val="center"/>
          </w:tcPr>
          <w:p>
            <w:pPr>
              <w:pStyle w:val="233"/>
              <w:ind w:firstLine="0" w:firstLineChars="0"/>
              <w:jc w:val="center"/>
              <w:rPr>
                <w:rFonts w:ascii="Times New Roman"/>
                <w:szCs w:val="21"/>
              </w:rPr>
            </w:pPr>
            <w:r>
              <w:rPr>
                <w:rFonts w:hint="eastAsia" w:ascii="Times New Roman"/>
                <w:szCs w:val="21"/>
              </w:rPr>
              <w:t>键槽</w:t>
            </w: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中心线位置</w:t>
            </w:r>
          </w:p>
        </w:tc>
        <w:tc>
          <w:tcPr>
            <w:tcW w:w="1854" w:type="dxa"/>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ascii="Times New Roman" w:hAnsi="Times New Roman" w:cs="Times New Roman"/>
                <w:szCs w:val="21"/>
              </w:rPr>
              <w:t>5</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ind w:firstLine="0" w:firstLineChars="0"/>
              <w:jc w:val="center"/>
              <w:rPr>
                <w:rFonts w:ascii="Times New Roman"/>
                <w:szCs w:val="21"/>
              </w:rPr>
            </w:pP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长度</w:t>
            </w:r>
          </w:p>
        </w:tc>
        <w:tc>
          <w:tcPr>
            <w:tcW w:w="1854" w:type="dxa"/>
            <w:shd w:val="clear" w:color="auto" w:fill="FFFFFF"/>
            <w:noWrap w:val="0"/>
            <w:vAlign w:val="center"/>
          </w:tcPr>
          <w:p>
            <w:pPr>
              <w:jc w:val="center"/>
              <w:rPr>
                <w:szCs w:val="21"/>
              </w:rPr>
            </w:pPr>
            <w:r>
              <w:rPr>
                <w:rFonts w:hint="eastAsia"/>
                <w:szCs w:val="21"/>
              </w:rPr>
              <w:t>±5</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ind w:firstLine="0" w:firstLineChars="0"/>
              <w:jc w:val="center"/>
              <w:rPr>
                <w:rFonts w:ascii="Times New Roman"/>
                <w:szCs w:val="21"/>
              </w:rPr>
            </w:pP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宽度</w:t>
            </w:r>
          </w:p>
        </w:tc>
        <w:tc>
          <w:tcPr>
            <w:tcW w:w="1854" w:type="dxa"/>
            <w:shd w:val="clear" w:color="auto" w:fill="FFFFFF"/>
            <w:noWrap w:val="0"/>
            <w:vAlign w:val="center"/>
          </w:tcPr>
          <w:p>
            <w:pPr>
              <w:jc w:val="center"/>
              <w:rPr>
                <w:szCs w:val="21"/>
              </w:rPr>
            </w:pPr>
            <w:r>
              <w:rPr>
                <w:rFonts w:hint="eastAsia"/>
                <w:szCs w:val="21"/>
              </w:rPr>
              <w:t>±5</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868" w:type="dxa"/>
            <w:vMerge w:val="continue"/>
            <w:shd w:val="clear" w:color="auto" w:fill="FFFFFF"/>
            <w:noWrap w:val="0"/>
            <w:vAlign w:val="center"/>
          </w:tcPr>
          <w:p>
            <w:pPr>
              <w:pStyle w:val="233"/>
              <w:ind w:firstLine="0" w:firstLineChars="0"/>
              <w:jc w:val="center"/>
              <w:rPr>
                <w:rFonts w:hAnsi="宋体" w:cs="宋体"/>
                <w:szCs w:val="21"/>
              </w:rPr>
            </w:pPr>
          </w:p>
        </w:tc>
        <w:tc>
          <w:tcPr>
            <w:tcW w:w="1887" w:type="dxa"/>
            <w:gridSpan w:val="2"/>
            <w:vMerge w:val="continue"/>
            <w:shd w:val="clear" w:color="auto" w:fill="FFFFFF"/>
            <w:noWrap w:val="0"/>
            <w:vAlign w:val="center"/>
          </w:tcPr>
          <w:p>
            <w:pPr>
              <w:pStyle w:val="233"/>
              <w:ind w:firstLine="0" w:firstLineChars="0"/>
              <w:jc w:val="center"/>
              <w:rPr>
                <w:rFonts w:ascii="Times New Roman"/>
                <w:szCs w:val="21"/>
              </w:rPr>
            </w:pPr>
          </w:p>
        </w:tc>
        <w:tc>
          <w:tcPr>
            <w:tcW w:w="2809" w:type="dxa"/>
            <w:gridSpan w:val="2"/>
            <w:shd w:val="clear" w:color="auto" w:fill="FFFFFF"/>
            <w:noWrap w:val="0"/>
            <w:vAlign w:val="center"/>
          </w:tcPr>
          <w:p>
            <w:pPr>
              <w:pStyle w:val="233"/>
              <w:spacing w:beforeLines="0" w:afterLines="0"/>
              <w:ind w:left="0" w:leftChars="0" w:firstLine="0" w:firstLineChars="0"/>
              <w:jc w:val="center"/>
              <w:rPr>
                <w:rFonts w:ascii="Times New Roman"/>
                <w:szCs w:val="21"/>
              </w:rPr>
            </w:pPr>
            <w:r>
              <w:rPr>
                <w:rFonts w:hint="eastAsia" w:ascii="Times New Roman" w:hAnsi="Times New Roman" w:cs="Times New Roman"/>
                <w:szCs w:val="21"/>
              </w:rPr>
              <w:t>深度</w:t>
            </w:r>
          </w:p>
        </w:tc>
        <w:tc>
          <w:tcPr>
            <w:tcW w:w="1854" w:type="dxa"/>
            <w:shd w:val="clear" w:color="auto" w:fill="FFFFFF"/>
            <w:noWrap w:val="0"/>
            <w:vAlign w:val="center"/>
          </w:tcPr>
          <w:p>
            <w:pPr>
              <w:jc w:val="center"/>
              <w:rPr>
                <w:szCs w:val="21"/>
              </w:rPr>
            </w:pPr>
            <w:r>
              <w:rPr>
                <w:rFonts w:hint="eastAsia"/>
                <w:szCs w:val="21"/>
              </w:rPr>
              <w:t>±5</w:t>
            </w:r>
          </w:p>
        </w:tc>
        <w:tc>
          <w:tcPr>
            <w:tcW w:w="1911" w:type="dxa"/>
            <w:vMerge w:val="continue"/>
            <w:shd w:val="clear" w:color="auto" w:fill="FFFFFF"/>
            <w:noWrap w:val="0"/>
            <w:vAlign w:val="center"/>
          </w:tcPr>
          <w:p>
            <w:pPr>
              <w:pStyle w:val="233"/>
              <w:ind w:firstLine="0" w:firstLineChars="0"/>
              <w:jc w:val="center"/>
              <w:rPr>
                <w:rFonts w:ascii="Times New Roman"/>
                <w:szCs w:val="21"/>
              </w:rPr>
            </w:pP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76" w:hRule="exact"/>
          <w:jc w:val="center"/>
        </w:trPr>
        <w:tc>
          <w:tcPr>
            <w:tcW w:w="9329" w:type="dxa"/>
            <w:gridSpan w:val="7"/>
            <w:shd w:val="clear" w:color="auto" w:fill="FFFFFF"/>
            <w:noWrap w:val="0"/>
            <w:vAlign w:val="center"/>
          </w:tcPr>
          <w:p>
            <w:pPr>
              <w:pStyle w:val="233"/>
              <w:ind w:firstLine="0" w:firstLineChars="0"/>
              <w:jc w:val="center"/>
              <w:rPr>
                <w:rFonts w:ascii="Times New Roman"/>
                <w:szCs w:val="21"/>
              </w:rPr>
            </w:pPr>
            <w:r>
              <w:rPr>
                <w:rFonts w:ascii="Times New Roman"/>
                <w:szCs w:val="21"/>
              </w:rPr>
              <w:t>L为构件长度，单位为mm</w:t>
            </w:r>
          </w:p>
        </w:tc>
      </w:tr>
    </w:tbl>
    <w:p>
      <w:pPr>
        <w:pStyle w:val="167"/>
      </w:pPr>
      <w:r>
        <w:rPr>
          <w:rFonts w:hint="eastAsia" w:ascii="宋体" w:hAnsi="宋体" w:eastAsia="宋体"/>
        </w:rPr>
        <w:t>预制叠合板的性能应符合</w:t>
      </w:r>
      <w:r>
        <w:rPr>
          <w:rFonts w:hint="eastAsia" w:ascii="宋体" w:hAnsi="宋体" w:eastAsia="宋体"/>
          <w:lang w:eastAsia="zh-CN"/>
        </w:rPr>
        <w:t>表18</w:t>
      </w:r>
      <w:r>
        <w:rPr>
          <w:rFonts w:hint="eastAsia" w:ascii="宋体" w:hAnsi="宋体" w:eastAsia="宋体"/>
        </w:rPr>
        <w:t>的规定</w:t>
      </w:r>
      <w:r>
        <w:rPr>
          <w:rFonts w:hint="eastAsia" w:hAnsi="宋体"/>
          <w:lang w:eastAsia="zh-CN"/>
        </w:rPr>
        <w:t>。</w:t>
      </w:r>
    </w:p>
    <w:p>
      <w:pPr>
        <w:pStyle w:val="242"/>
        <w:jc w:val="center"/>
        <w:rPr>
          <w:rStyle w:val="243"/>
          <w:szCs w:val="24"/>
        </w:rPr>
      </w:pPr>
      <w:bookmarkStart w:id="97" w:name="_Toc531952465"/>
      <w:r>
        <w:rPr>
          <w:rStyle w:val="243"/>
          <w:rFonts w:hint="eastAsia"/>
          <w:szCs w:val="24"/>
          <w:lang w:eastAsia="zh-CN"/>
        </w:rPr>
        <w:t>表18</w:t>
      </w:r>
      <w:r>
        <w:rPr>
          <w:rStyle w:val="243"/>
          <w:szCs w:val="24"/>
        </w:rPr>
        <w:t xml:space="preserve"> </w:t>
      </w:r>
      <w:r>
        <w:rPr>
          <w:rStyle w:val="243"/>
          <w:rFonts w:hint="eastAsia"/>
          <w:szCs w:val="24"/>
        </w:rPr>
        <w:t>预制叠合板性能</w:t>
      </w:r>
      <w:bookmarkEnd w:id="97"/>
    </w:p>
    <w:tbl>
      <w:tblPr>
        <w:tblStyle w:val="27"/>
        <w:tblW w:w="85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16"/>
        <w:gridCol w:w="3184"/>
        <w:gridCol w:w="2282"/>
        <w:gridCol w:w="23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tblHeader/>
          <w:jc w:val="center"/>
        </w:trPr>
        <w:tc>
          <w:tcPr>
            <w:tcW w:w="716"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项次</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检验项目</w:t>
            </w:r>
          </w:p>
        </w:tc>
        <w:tc>
          <w:tcPr>
            <w:tcW w:w="2282"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指  标</w:t>
            </w:r>
          </w:p>
        </w:tc>
        <w:tc>
          <w:tcPr>
            <w:tcW w:w="2383"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检验</w:t>
            </w:r>
            <w:r>
              <w:rPr>
                <w:rFonts w:ascii="Times New Roman" w:hAnsi="Times New Roman" w:cs="Times New Roman"/>
                <w:szCs w:val="21"/>
              </w:rPr>
              <w:t>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16" w:type="dxa"/>
            <w:noWrap w:val="0"/>
            <w:vAlign w:val="center"/>
          </w:tcPr>
          <w:p>
            <w:pPr>
              <w:pStyle w:val="233"/>
              <w:widowControl w:val="0"/>
              <w:spacing w:beforeLines="0" w:afterLines="0"/>
              <w:ind w:left="0" w:leftChars="0" w:firstLine="0" w:firstLineChars="0"/>
              <w:jc w:val="center"/>
              <w:rPr>
                <w:rFonts w:hAnsi="宋体" w:cs="宋体"/>
              </w:rPr>
            </w:pPr>
            <w:r>
              <w:rPr>
                <w:rFonts w:hint="eastAsia" w:ascii="宋体" w:hAnsi="宋体" w:cs="宋体"/>
              </w:rPr>
              <w:t>1</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rPr>
              <w:t>混凝土强度</w:t>
            </w:r>
            <w:r>
              <w:rPr>
                <w:rFonts w:ascii="Times New Roman" w:hAnsi="Times New Roman" w:cs="Times New Roman"/>
                <w:szCs w:val="21"/>
              </w:rPr>
              <w:t>，MPa</w:t>
            </w:r>
          </w:p>
        </w:tc>
        <w:tc>
          <w:tcPr>
            <w:tcW w:w="2282"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不应低于设计要求</w:t>
            </w:r>
          </w:p>
        </w:tc>
        <w:tc>
          <w:tcPr>
            <w:tcW w:w="2383"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GB/T 50081</w:t>
            </w:r>
            <w:r>
              <w:rPr>
                <w:rFonts w:hint="eastAsia" w:ascii="Times New Roman" w:hAnsi="Times New Roman" w:cs="Times New Roman"/>
                <w:szCs w:val="21"/>
              </w:rPr>
              <w:t>，</w:t>
            </w:r>
            <w:r>
              <w:rPr>
                <w:rFonts w:ascii="Times New Roman" w:hAnsi="Times New Roman" w:cs="Times New Roman"/>
                <w:szCs w:val="21"/>
              </w:rPr>
              <w:t>JGJ/T 378</w:t>
            </w:r>
            <w:r>
              <w:rPr>
                <w:rFonts w:hint="eastAsia" w:ascii="Times New Roman" w:hAnsi="Times New Roman" w:eastAsia="新宋体" w:cs="Times New Roman"/>
                <w:szCs w:val="21"/>
              </w:rPr>
              <w:t>、DGJ32/TJ 145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2</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钢筋保护层厚度允许偏差，mm</w:t>
            </w:r>
          </w:p>
        </w:tc>
        <w:tc>
          <w:tcPr>
            <w:tcW w:w="2282"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8</w:t>
            </w:r>
            <w:r>
              <w:rPr>
                <w:rFonts w:hint="eastAsia" w:ascii="Times New Roman" w:hAnsi="Times New Roman" w:cs="Times New Roman"/>
                <w:szCs w:val="21"/>
              </w:rPr>
              <w:t>，-</w:t>
            </w:r>
            <w:r>
              <w:rPr>
                <w:rFonts w:hint="eastAsia" w:ascii="Times New Roman" w:hAnsi="Times New Roman" w:cs="Times New Roman"/>
                <w:szCs w:val="21"/>
                <w:lang w:val="en-US" w:eastAsia="zh-CN"/>
              </w:rPr>
              <w:t>5</w:t>
            </w:r>
          </w:p>
        </w:tc>
        <w:tc>
          <w:tcPr>
            <w:tcW w:w="2383"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lang w:val="en-US" w:eastAsia="zh-CN"/>
              </w:rPr>
              <w:t>3</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lang w:val="en-US" w:eastAsia="zh-CN"/>
              </w:rPr>
              <w:t>预应力钢筋保护层厚度允许偏差，mm</w:t>
            </w:r>
          </w:p>
        </w:tc>
        <w:tc>
          <w:tcPr>
            <w:tcW w:w="2282"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5</w:t>
            </w:r>
            <w:r>
              <w:rPr>
                <w:rFonts w:hint="eastAsia" w:ascii="Times New Roman" w:hAnsi="Times New Roman" w:cs="Times New Roman"/>
                <w:szCs w:val="21"/>
              </w:rPr>
              <w:t>，-</w:t>
            </w:r>
            <w:r>
              <w:rPr>
                <w:rFonts w:hint="eastAsia" w:ascii="Times New Roman" w:hAnsi="Times New Roman" w:cs="Times New Roman"/>
                <w:szCs w:val="21"/>
                <w:lang w:val="en-US" w:eastAsia="zh-CN"/>
              </w:rPr>
              <w:t>3</w:t>
            </w:r>
          </w:p>
        </w:tc>
        <w:tc>
          <w:tcPr>
            <w:tcW w:w="2383"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lang w:val="en-US" w:eastAsia="zh-CN"/>
              </w:rPr>
              <w:t>4</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钢筋间距</w:t>
            </w:r>
            <w:r>
              <w:rPr>
                <w:rFonts w:hint="eastAsia" w:ascii="Times New Roman" w:hAnsi="Times New Roman" w:cs="Times New Roman"/>
                <w:szCs w:val="21"/>
              </w:rPr>
              <w:t>允许偏差</w:t>
            </w:r>
            <w:r>
              <w:rPr>
                <w:rFonts w:ascii="Times New Roman" w:hAnsi="Times New Roman" w:cs="Times New Roman"/>
                <w:szCs w:val="21"/>
              </w:rPr>
              <w:t>，mm</w:t>
            </w:r>
          </w:p>
        </w:tc>
        <w:tc>
          <w:tcPr>
            <w:tcW w:w="2282"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10</w:t>
            </w:r>
          </w:p>
        </w:tc>
        <w:tc>
          <w:tcPr>
            <w:tcW w:w="2383" w:type="dxa"/>
            <w:vMerge w:val="continue"/>
            <w:noWrap w:val="0"/>
            <w:vAlign w:val="center"/>
          </w:tcPr>
          <w:p>
            <w:pPr>
              <w:pStyle w:val="233"/>
              <w:widowControl w:val="0"/>
              <w:spacing w:beforeLines="0" w:afterLines="0"/>
              <w:ind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7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lang w:val="en-US" w:eastAsia="zh-CN"/>
              </w:rPr>
              <w:t>5</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钢筋直径，mm</w:t>
            </w:r>
          </w:p>
        </w:tc>
        <w:tc>
          <w:tcPr>
            <w:tcW w:w="2282"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符合设计要求</w:t>
            </w:r>
          </w:p>
        </w:tc>
        <w:tc>
          <w:tcPr>
            <w:tcW w:w="2383"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7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lang w:val="en-US" w:eastAsia="zh-CN"/>
              </w:rPr>
              <w:t>6</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主受力钢筋数量</w:t>
            </w:r>
          </w:p>
        </w:tc>
        <w:tc>
          <w:tcPr>
            <w:tcW w:w="2282"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c>
          <w:tcPr>
            <w:tcW w:w="2383"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lang w:val="en-US" w:eastAsia="zh-CN"/>
              </w:rPr>
              <w:t>7</w:t>
            </w:r>
          </w:p>
        </w:tc>
        <w:tc>
          <w:tcPr>
            <w:tcW w:w="3184"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表面粗糙度（凹凸深度），</w:t>
            </w:r>
            <w:r>
              <w:rPr>
                <w:rFonts w:ascii="Times New Roman" w:hAnsi="Times New Roman" w:cs="Times New Roman"/>
                <w:szCs w:val="21"/>
              </w:rPr>
              <w:t>mm</w:t>
            </w:r>
          </w:p>
        </w:tc>
        <w:tc>
          <w:tcPr>
            <w:tcW w:w="2282"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4</w:t>
            </w:r>
          </w:p>
        </w:tc>
        <w:tc>
          <w:tcPr>
            <w:tcW w:w="2383"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lang w:eastAsia="zh-CN"/>
              </w:rPr>
              <w:t>附录E</w:t>
            </w:r>
            <w:r>
              <w:rPr>
                <w:rFonts w:hint="eastAsia" w:ascii="Times New Roman" w:hAnsi="Times New Roman" w:cs="Times New Roman"/>
                <w:szCs w:val="21"/>
              </w:rPr>
              <w:t>、</w:t>
            </w:r>
            <w:r>
              <w:rPr>
                <w:rFonts w:hint="default" w:ascii="Times New Roman" w:hAnsi="Times New Roman" w:cs="Times New Roman"/>
                <w:szCs w:val="21"/>
                <w:lang w:val="en-US"/>
              </w:rPr>
              <w:t>DB32/T 3754</w:t>
            </w:r>
            <w:r>
              <w:rPr>
                <w:rFonts w:hint="eastAsia" w:ascii="Times New Roman" w:hAnsi="Times New Roman" w:cs="Times New Roman"/>
                <w:szCs w:val="21"/>
              </w:rPr>
              <w:t>等</w:t>
            </w:r>
          </w:p>
        </w:tc>
      </w:tr>
    </w:tbl>
    <w:p>
      <w:pPr>
        <w:pStyle w:val="167"/>
      </w:pPr>
      <w:r>
        <w:rPr>
          <w:rFonts w:hint="eastAsia" w:ascii="宋体" w:hAnsi="宋体" w:eastAsia="宋体"/>
        </w:rPr>
        <w:t>预制楼梯的性能应符合</w:t>
      </w:r>
      <w:r>
        <w:rPr>
          <w:rFonts w:hint="eastAsia" w:ascii="宋体" w:hAnsi="宋体" w:eastAsia="宋体"/>
          <w:lang w:eastAsia="zh-CN"/>
        </w:rPr>
        <w:t>表19</w:t>
      </w:r>
      <w:r>
        <w:rPr>
          <w:rFonts w:hint="eastAsia" w:ascii="宋体" w:hAnsi="宋体" w:eastAsia="宋体"/>
        </w:rPr>
        <w:t>的规定</w:t>
      </w:r>
      <w:r>
        <w:rPr>
          <w:rFonts w:hint="eastAsia" w:hAnsi="宋体"/>
          <w:lang w:eastAsia="zh-CN"/>
        </w:rPr>
        <w:t>。</w:t>
      </w:r>
    </w:p>
    <w:p>
      <w:pPr>
        <w:pStyle w:val="242"/>
        <w:jc w:val="center"/>
      </w:pPr>
      <w:bookmarkStart w:id="98" w:name="_Toc531952466"/>
      <w:r>
        <w:rPr>
          <w:rFonts w:hint="eastAsia"/>
          <w:lang w:eastAsia="zh-CN"/>
        </w:rPr>
        <w:t>表19</w:t>
      </w:r>
      <w:r>
        <w:t xml:space="preserve"> </w:t>
      </w:r>
      <w:r>
        <w:rPr>
          <w:rFonts w:hint="eastAsia"/>
        </w:rPr>
        <w:t>预制楼梯性能</w:t>
      </w:r>
      <w:bookmarkEnd w:id="98"/>
    </w:p>
    <w:tbl>
      <w:tblPr>
        <w:tblStyle w:val="27"/>
        <w:tblW w:w="904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16"/>
        <w:gridCol w:w="1666"/>
        <w:gridCol w:w="1716"/>
        <w:gridCol w:w="2367"/>
        <w:gridCol w:w="23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tblHeader/>
          <w:jc w:val="center"/>
        </w:trPr>
        <w:tc>
          <w:tcPr>
            <w:tcW w:w="916"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cs="Times New Roman"/>
                <w:szCs w:val="21"/>
              </w:rPr>
              <w:t>项次</w:t>
            </w:r>
          </w:p>
        </w:tc>
        <w:tc>
          <w:tcPr>
            <w:tcW w:w="3382" w:type="dxa"/>
            <w:gridSpan w:val="2"/>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检验项目</w:t>
            </w:r>
          </w:p>
        </w:tc>
        <w:tc>
          <w:tcPr>
            <w:tcW w:w="2367"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 xml:space="preserve">指 </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标</w:t>
            </w:r>
          </w:p>
        </w:tc>
        <w:tc>
          <w:tcPr>
            <w:tcW w:w="2383"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cs="Times New Roman"/>
                <w:szCs w:val="21"/>
              </w:rPr>
              <w:t>检验</w:t>
            </w:r>
            <w:r>
              <w:rPr>
                <w:rFonts w:ascii="Times New Roman" w:hAnsi="Times New Roman" w:cs="Times New Roman"/>
                <w:szCs w:val="21"/>
              </w:rPr>
              <w:t>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16" w:type="dxa"/>
            <w:noWrap w:val="0"/>
            <w:vAlign w:val="center"/>
          </w:tcPr>
          <w:p>
            <w:pPr>
              <w:pStyle w:val="233"/>
              <w:widowControl w:val="0"/>
              <w:spacing w:beforeLines="0" w:afterLines="0"/>
              <w:ind w:left="0" w:leftChars="0" w:firstLine="0" w:firstLineChars="0"/>
              <w:jc w:val="center"/>
              <w:rPr>
                <w:rFonts w:hAnsi="宋体" w:cs="宋体"/>
              </w:rPr>
            </w:pPr>
            <w:r>
              <w:rPr>
                <w:rFonts w:hint="eastAsia" w:ascii="宋体" w:hAnsi="宋体" w:cs="宋体"/>
              </w:rPr>
              <w:t>1</w:t>
            </w:r>
          </w:p>
        </w:tc>
        <w:tc>
          <w:tcPr>
            <w:tcW w:w="3382" w:type="dxa"/>
            <w:gridSpan w:val="2"/>
            <w:noWrap w:val="0"/>
            <w:vAlign w:val="center"/>
          </w:tcPr>
          <w:p>
            <w:pPr>
              <w:pStyle w:val="233"/>
              <w:widowControl w:val="0"/>
              <w:spacing w:beforeLines="0" w:afterLines="0"/>
              <w:ind w:left="0" w:leftChars="0" w:firstLine="0" w:firstLineChars="0"/>
              <w:jc w:val="center"/>
              <w:rPr>
                <w:rFonts w:ascii="Times New Roman"/>
                <w:szCs w:val="21"/>
              </w:rPr>
            </w:pPr>
            <w:r>
              <w:rPr>
                <w:rFonts w:hint="eastAsia"/>
              </w:rPr>
              <w:t>混凝土强度</w:t>
            </w:r>
            <w:r>
              <w:rPr>
                <w:rFonts w:ascii="Times New Roman" w:hAnsi="Times New Roman" w:cs="Times New Roman"/>
                <w:szCs w:val="21"/>
              </w:rPr>
              <w:t>，MPa</w:t>
            </w:r>
          </w:p>
        </w:tc>
        <w:tc>
          <w:tcPr>
            <w:tcW w:w="236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不应低于设计要求</w:t>
            </w:r>
          </w:p>
        </w:tc>
        <w:tc>
          <w:tcPr>
            <w:tcW w:w="2383" w:type="dxa"/>
            <w:noWrap w:val="0"/>
            <w:vAlign w:val="center"/>
          </w:tcPr>
          <w:p>
            <w:pPr>
              <w:pStyle w:val="233"/>
              <w:widowControl w:val="0"/>
              <w:spacing w:beforeLines="0" w:afterLines="0"/>
              <w:ind w:left="0" w:firstLine="0" w:firstLineChars="0"/>
              <w:jc w:val="center"/>
              <w:rPr>
                <w:rFonts w:ascii="Times New Roman" w:hAnsi="Times New Roman" w:cs="Times New Roman"/>
                <w:szCs w:val="21"/>
              </w:rPr>
            </w:pPr>
            <w:r>
              <w:rPr>
                <w:rFonts w:ascii="Times New Roman" w:hAnsi="Times New Roman" w:cs="Times New Roman"/>
                <w:szCs w:val="21"/>
              </w:rPr>
              <w:t>GB/T 50081</w:t>
            </w:r>
          </w:p>
          <w:p>
            <w:pPr>
              <w:pStyle w:val="233"/>
              <w:widowControl w:val="0"/>
              <w:spacing w:beforeLines="0" w:afterLines="0"/>
              <w:ind w:left="0" w:leftChars="0" w:firstLine="0" w:firstLineChars="0"/>
              <w:jc w:val="center"/>
              <w:rPr>
                <w:rFonts w:ascii="Times New Roman" w:eastAsia="新宋体"/>
                <w:szCs w:val="21"/>
              </w:rPr>
            </w:pPr>
            <w:r>
              <w:rPr>
                <w:rFonts w:ascii="Times New Roman" w:hAnsi="Times New Roman" w:cs="Times New Roman"/>
                <w:szCs w:val="21"/>
              </w:rPr>
              <w:t>或JGJ/T 23</w:t>
            </w:r>
            <w:r>
              <w:rPr>
                <w:rFonts w:hint="eastAsia" w:ascii="Times New Roman" w:hAnsi="Times New Roman" w:eastAsia="新宋体" w:cs="Times New Roman"/>
                <w:szCs w:val="21"/>
              </w:rPr>
              <w:t>、DGJ32/TJ 145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2</w:t>
            </w:r>
          </w:p>
        </w:tc>
        <w:tc>
          <w:tcPr>
            <w:tcW w:w="3382" w:type="dxa"/>
            <w:gridSpan w:val="2"/>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钢筋保护层厚度</w:t>
            </w:r>
            <w:r>
              <w:rPr>
                <w:rFonts w:hint="eastAsia" w:ascii="Times New Roman" w:hAnsi="Times New Roman" w:cs="Times New Roman"/>
                <w:szCs w:val="21"/>
              </w:rPr>
              <w:t>允许偏差</w:t>
            </w:r>
            <w:r>
              <w:rPr>
                <w:rFonts w:ascii="Times New Roman" w:hAnsi="Times New Roman" w:cs="Times New Roman"/>
                <w:szCs w:val="21"/>
              </w:rPr>
              <w:t>，mm</w:t>
            </w:r>
          </w:p>
        </w:tc>
        <w:tc>
          <w:tcPr>
            <w:tcW w:w="236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hint="eastAsia" w:ascii="Times New Roman" w:hAnsi="Times New Roman" w:cs="Times New Roman"/>
                <w:szCs w:val="21"/>
                <w:lang w:val="en-US" w:eastAsia="zh-CN"/>
              </w:rPr>
              <w:t>5</w:t>
            </w:r>
            <w:r>
              <w:rPr>
                <w:rFonts w:ascii="Times New Roman" w:hAnsi="Times New Roman" w:cs="Times New Roman"/>
                <w:szCs w:val="21"/>
              </w:rPr>
              <w:t>，</w:t>
            </w:r>
            <w:r>
              <w:rPr>
                <w:rFonts w:hint="eastAsia" w:ascii="Times New Roman" w:hAnsi="Times New Roman" w:cs="Times New Roman"/>
                <w:szCs w:val="21"/>
                <w:lang w:val="en-US" w:eastAsia="zh-CN"/>
              </w:rPr>
              <w:t>0</w:t>
            </w:r>
          </w:p>
        </w:tc>
        <w:tc>
          <w:tcPr>
            <w:tcW w:w="2383"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3</w:t>
            </w:r>
          </w:p>
        </w:tc>
        <w:tc>
          <w:tcPr>
            <w:tcW w:w="3382" w:type="dxa"/>
            <w:gridSpan w:val="2"/>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钢筋间距，mm</w:t>
            </w:r>
          </w:p>
        </w:tc>
        <w:tc>
          <w:tcPr>
            <w:tcW w:w="236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10</w:t>
            </w:r>
          </w:p>
        </w:tc>
        <w:tc>
          <w:tcPr>
            <w:tcW w:w="2383"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4</w:t>
            </w:r>
          </w:p>
        </w:tc>
        <w:tc>
          <w:tcPr>
            <w:tcW w:w="3382" w:type="dxa"/>
            <w:gridSpan w:val="2"/>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钢筋直径，mm</w:t>
            </w:r>
          </w:p>
        </w:tc>
        <w:tc>
          <w:tcPr>
            <w:tcW w:w="2367"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符合设计要求</w:t>
            </w:r>
          </w:p>
        </w:tc>
        <w:tc>
          <w:tcPr>
            <w:tcW w:w="2383"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5</w:t>
            </w:r>
          </w:p>
        </w:tc>
        <w:tc>
          <w:tcPr>
            <w:tcW w:w="3382" w:type="dxa"/>
            <w:gridSpan w:val="2"/>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主受力钢筋数量</w:t>
            </w:r>
          </w:p>
        </w:tc>
        <w:tc>
          <w:tcPr>
            <w:tcW w:w="2367"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c>
          <w:tcPr>
            <w:tcW w:w="2383"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0" w:hRule="exact"/>
          <w:jc w:val="center"/>
        </w:trPr>
        <w:tc>
          <w:tcPr>
            <w:tcW w:w="91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6</w:t>
            </w:r>
          </w:p>
        </w:tc>
        <w:tc>
          <w:tcPr>
            <w:tcW w:w="3382" w:type="dxa"/>
            <w:gridSpan w:val="2"/>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吊装件抗拔力，kN</w:t>
            </w:r>
          </w:p>
        </w:tc>
        <w:tc>
          <w:tcPr>
            <w:tcW w:w="236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设计值</w:t>
            </w:r>
          </w:p>
        </w:tc>
        <w:tc>
          <w:tcPr>
            <w:tcW w:w="2383"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lang w:val="en-US" w:eastAsia="zh-CN"/>
              </w:rPr>
              <w:t>DB32/T 3754</w:t>
            </w:r>
            <w:r>
              <w:rPr>
                <w:rFonts w:ascii="Times New Roman" w:hAnsi="Times New Roman" w:cs="Times New Roman"/>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16" w:type="dxa"/>
            <w:vMerge w:val="restart"/>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7</w:t>
            </w:r>
          </w:p>
        </w:tc>
        <w:tc>
          <w:tcPr>
            <w:tcW w:w="1666"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结构性能</w:t>
            </w:r>
          </w:p>
        </w:tc>
        <w:tc>
          <w:tcPr>
            <w:tcW w:w="1716"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承载力，kN</w:t>
            </w:r>
          </w:p>
        </w:tc>
        <w:tc>
          <w:tcPr>
            <w:tcW w:w="2367"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符合设计要求</w:t>
            </w:r>
          </w:p>
        </w:tc>
        <w:tc>
          <w:tcPr>
            <w:tcW w:w="2383"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GB 50204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16" w:type="dxa"/>
            <w:vMerge w:val="continue"/>
            <w:noWrap w:val="0"/>
            <w:vAlign w:val="center"/>
          </w:tcPr>
          <w:p>
            <w:pPr>
              <w:pStyle w:val="233"/>
              <w:widowControl w:val="0"/>
              <w:ind w:firstLine="0" w:firstLineChars="0"/>
              <w:jc w:val="center"/>
              <w:rPr>
                <w:rFonts w:ascii="Times New Roman" w:eastAsia="新宋体"/>
                <w:szCs w:val="21"/>
              </w:rPr>
            </w:pPr>
          </w:p>
        </w:tc>
        <w:tc>
          <w:tcPr>
            <w:tcW w:w="1666" w:type="dxa"/>
            <w:vMerge w:val="continue"/>
            <w:noWrap w:val="0"/>
            <w:vAlign w:val="center"/>
          </w:tcPr>
          <w:p>
            <w:pPr>
              <w:pStyle w:val="233"/>
              <w:widowControl w:val="0"/>
              <w:ind w:firstLine="0" w:firstLineChars="0"/>
              <w:jc w:val="center"/>
              <w:rPr>
                <w:rFonts w:ascii="Times New Roman" w:eastAsia="新宋体"/>
                <w:szCs w:val="21"/>
              </w:rPr>
            </w:pPr>
          </w:p>
        </w:tc>
        <w:tc>
          <w:tcPr>
            <w:tcW w:w="1716" w:type="dxa"/>
            <w:noWrap w:val="0"/>
            <w:vAlign w:val="center"/>
          </w:tcPr>
          <w:p>
            <w:pPr>
              <w:pStyle w:val="233"/>
              <w:widowControl w:val="0"/>
              <w:ind w:firstLine="0" w:firstLineChars="0"/>
              <w:jc w:val="center"/>
              <w:rPr>
                <w:rFonts w:ascii="Times New Roman" w:eastAsia="新宋体"/>
                <w:szCs w:val="21"/>
              </w:rPr>
            </w:pPr>
            <w:r>
              <w:rPr>
                <w:rFonts w:hint="eastAsia" w:ascii="Times New Roman" w:eastAsia="新宋体"/>
                <w:szCs w:val="21"/>
              </w:rPr>
              <w:t>挠度</w:t>
            </w:r>
          </w:p>
        </w:tc>
        <w:tc>
          <w:tcPr>
            <w:tcW w:w="2367" w:type="dxa"/>
            <w:vMerge w:val="continue"/>
            <w:noWrap w:val="0"/>
            <w:vAlign w:val="center"/>
          </w:tcPr>
          <w:p>
            <w:pPr>
              <w:pStyle w:val="233"/>
              <w:widowControl w:val="0"/>
              <w:ind w:firstLine="0" w:firstLineChars="0"/>
              <w:jc w:val="center"/>
              <w:rPr>
                <w:rFonts w:ascii="Times New Roman" w:eastAsia="新宋体"/>
                <w:szCs w:val="21"/>
              </w:rPr>
            </w:pPr>
          </w:p>
        </w:tc>
        <w:tc>
          <w:tcPr>
            <w:tcW w:w="2383" w:type="dxa"/>
            <w:vMerge w:val="continue"/>
            <w:noWrap w:val="0"/>
            <w:vAlign w:val="center"/>
          </w:tcPr>
          <w:p>
            <w:pPr>
              <w:pStyle w:val="233"/>
              <w:widowControl w:val="0"/>
              <w:ind w:firstLine="0" w:firstLineChars="0"/>
              <w:jc w:val="center"/>
              <w:rPr>
                <w:rFonts w:ascii="Times New Roman" w:eastAsia="新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5" w:hRule="exact"/>
          <w:jc w:val="center"/>
        </w:trPr>
        <w:tc>
          <w:tcPr>
            <w:tcW w:w="916" w:type="dxa"/>
            <w:vMerge w:val="continue"/>
            <w:noWrap w:val="0"/>
            <w:vAlign w:val="center"/>
          </w:tcPr>
          <w:p>
            <w:pPr>
              <w:pStyle w:val="233"/>
              <w:widowControl w:val="0"/>
              <w:ind w:firstLine="0" w:firstLineChars="0"/>
              <w:jc w:val="center"/>
              <w:rPr>
                <w:rFonts w:ascii="Times New Roman" w:eastAsia="新宋体"/>
                <w:szCs w:val="21"/>
              </w:rPr>
            </w:pPr>
          </w:p>
        </w:tc>
        <w:tc>
          <w:tcPr>
            <w:tcW w:w="1666" w:type="dxa"/>
            <w:vMerge w:val="continue"/>
            <w:noWrap w:val="0"/>
            <w:vAlign w:val="center"/>
          </w:tcPr>
          <w:p>
            <w:pPr>
              <w:pStyle w:val="233"/>
              <w:widowControl w:val="0"/>
              <w:ind w:firstLine="0" w:firstLineChars="0"/>
              <w:jc w:val="center"/>
              <w:rPr>
                <w:rFonts w:ascii="Times New Roman" w:eastAsia="新宋体"/>
                <w:szCs w:val="21"/>
              </w:rPr>
            </w:pPr>
          </w:p>
        </w:tc>
        <w:tc>
          <w:tcPr>
            <w:tcW w:w="1716" w:type="dxa"/>
            <w:noWrap w:val="0"/>
            <w:vAlign w:val="center"/>
          </w:tcPr>
          <w:p>
            <w:pPr>
              <w:pStyle w:val="233"/>
              <w:widowControl w:val="0"/>
              <w:ind w:firstLine="0" w:firstLineChars="0"/>
              <w:jc w:val="center"/>
              <w:rPr>
                <w:rFonts w:ascii="Times New Roman" w:eastAsia="新宋体"/>
                <w:szCs w:val="21"/>
              </w:rPr>
            </w:pPr>
            <w:r>
              <w:rPr>
                <w:rFonts w:hint="eastAsia" w:ascii="Times New Roman" w:eastAsia="新宋体"/>
                <w:szCs w:val="21"/>
              </w:rPr>
              <w:t>裂缝宽度</w:t>
            </w:r>
          </w:p>
        </w:tc>
        <w:tc>
          <w:tcPr>
            <w:tcW w:w="2367" w:type="dxa"/>
            <w:vMerge w:val="continue"/>
            <w:noWrap w:val="0"/>
            <w:vAlign w:val="center"/>
          </w:tcPr>
          <w:p>
            <w:pPr>
              <w:pStyle w:val="233"/>
              <w:widowControl w:val="0"/>
              <w:ind w:firstLine="0" w:firstLineChars="0"/>
              <w:jc w:val="center"/>
              <w:rPr>
                <w:rFonts w:ascii="Times New Roman" w:eastAsia="新宋体"/>
                <w:szCs w:val="21"/>
              </w:rPr>
            </w:pPr>
          </w:p>
        </w:tc>
        <w:tc>
          <w:tcPr>
            <w:tcW w:w="2383" w:type="dxa"/>
            <w:vMerge w:val="continue"/>
            <w:noWrap w:val="0"/>
            <w:vAlign w:val="center"/>
          </w:tcPr>
          <w:p>
            <w:pPr>
              <w:pStyle w:val="233"/>
              <w:widowControl w:val="0"/>
              <w:ind w:firstLine="0" w:firstLineChars="0"/>
              <w:jc w:val="center"/>
              <w:rPr>
                <w:rFonts w:ascii="Times New Roman" w:eastAsia="新宋体"/>
                <w:szCs w:val="21"/>
              </w:rPr>
            </w:pPr>
          </w:p>
        </w:tc>
      </w:tr>
    </w:tbl>
    <w:p>
      <w:pPr>
        <w:pStyle w:val="167"/>
      </w:pPr>
      <w:r>
        <w:rPr>
          <w:rFonts w:hint="eastAsia" w:ascii="宋体" w:hAnsi="宋体" w:eastAsia="宋体"/>
        </w:rPr>
        <w:t>预制叠合梁的性能应符合</w:t>
      </w:r>
      <w:r>
        <w:rPr>
          <w:rFonts w:hint="eastAsia" w:ascii="宋体" w:hAnsi="宋体" w:eastAsia="宋体"/>
          <w:lang w:eastAsia="zh-CN"/>
        </w:rPr>
        <w:t>表20</w:t>
      </w:r>
      <w:r>
        <w:rPr>
          <w:rFonts w:hint="eastAsia" w:ascii="宋体" w:hAnsi="宋体" w:eastAsia="宋体"/>
        </w:rPr>
        <w:t>的规定</w:t>
      </w:r>
      <w:r>
        <w:rPr>
          <w:rFonts w:hint="eastAsia" w:hAnsi="宋体"/>
          <w:lang w:eastAsia="zh-CN"/>
        </w:rPr>
        <w:t>。</w:t>
      </w:r>
    </w:p>
    <w:p>
      <w:pPr>
        <w:pStyle w:val="242"/>
        <w:jc w:val="center"/>
      </w:pPr>
      <w:bookmarkStart w:id="99" w:name="_Toc531952467"/>
      <w:r>
        <w:rPr>
          <w:rFonts w:hint="eastAsia"/>
          <w:lang w:eastAsia="zh-CN"/>
        </w:rPr>
        <w:t>表20</w:t>
      </w:r>
      <w:r>
        <w:rPr>
          <w:rFonts w:hint="eastAsia"/>
        </w:rPr>
        <w:t>预制叠合梁性能</w:t>
      </w:r>
      <w:bookmarkEnd w:id="99"/>
    </w:p>
    <w:tbl>
      <w:tblPr>
        <w:tblStyle w:val="27"/>
        <w:tblW w:w="911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34"/>
        <w:gridCol w:w="3451"/>
        <w:gridCol w:w="2316"/>
        <w:gridCol w:w="241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934"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项次</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检验项目</w:t>
            </w:r>
          </w:p>
        </w:tc>
        <w:tc>
          <w:tcPr>
            <w:tcW w:w="2316"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指  标</w:t>
            </w:r>
          </w:p>
        </w:tc>
        <w:tc>
          <w:tcPr>
            <w:tcW w:w="241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检验</w:t>
            </w:r>
            <w:r>
              <w:rPr>
                <w:rFonts w:ascii="Times New Roman" w:hAnsi="Times New Roman" w:cs="Times New Roman"/>
                <w:szCs w:val="21"/>
              </w:rPr>
              <w:t>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934" w:type="dxa"/>
            <w:noWrap w:val="0"/>
            <w:vAlign w:val="center"/>
          </w:tcPr>
          <w:p>
            <w:pPr>
              <w:pStyle w:val="233"/>
              <w:widowControl w:val="0"/>
              <w:spacing w:beforeLines="0" w:afterLines="0"/>
              <w:ind w:left="0" w:leftChars="0" w:firstLine="0" w:firstLineChars="0"/>
              <w:jc w:val="center"/>
              <w:rPr>
                <w:rFonts w:hAnsi="宋体" w:cs="宋体"/>
              </w:rPr>
            </w:pPr>
            <w:r>
              <w:rPr>
                <w:rFonts w:hint="eastAsia" w:ascii="宋体" w:hAnsi="宋体" w:cs="宋体"/>
              </w:rPr>
              <w:t>1</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rPr>
              <w:t>混凝土强度</w:t>
            </w:r>
            <w:r>
              <w:rPr>
                <w:rFonts w:ascii="Times New Roman" w:hAnsi="Times New Roman" w:cs="Times New Roman"/>
                <w:szCs w:val="21"/>
              </w:rPr>
              <w:t>，MPa</w:t>
            </w:r>
          </w:p>
        </w:tc>
        <w:tc>
          <w:tcPr>
            <w:tcW w:w="2316"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不应低于设计要求</w:t>
            </w:r>
          </w:p>
        </w:tc>
        <w:tc>
          <w:tcPr>
            <w:tcW w:w="2417"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ascii="Times New Roman" w:hAnsi="Times New Roman" w:cs="Times New Roman"/>
                <w:szCs w:val="21"/>
              </w:rPr>
              <w:t>GB/T 50081</w:t>
            </w:r>
            <w:r>
              <w:rPr>
                <w:rFonts w:hint="eastAsia" w:ascii="Times New Roman" w:hAnsi="Times New Roman" w:cs="Times New Roman"/>
                <w:szCs w:val="21"/>
              </w:rPr>
              <w:t>、</w:t>
            </w:r>
            <w:r>
              <w:rPr>
                <w:rFonts w:ascii="Times New Roman" w:hAnsi="Times New Roman" w:cs="Times New Roman"/>
                <w:szCs w:val="21"/>
              </w:rPr>
              <w:t>JGJ/T 23</w:t>
            </w:r>
            <w:r>
              <w:rPr>
                <w:rFonts w:hint="eastAsia" w:ascii="Times New Roman" w:hAnsi="Times New Roman" w:eastAsia="新宋体" w:cs="Times New Roman"/>
                <w:szCs w:val="21"/>
              </w:rPr>
              <w:t>、DGJ32/TJ 145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934"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2</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钢筋保护层厚度，mm</w:t>
            </w:r>
          </w:p>
        </w:tc>
        <w:tc>
          <w:tcPr>
            <w:tcW w:w="2316"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10，</w:t>
            </w:r>
            <w:r>
              <w:rPr>
                <w:rFonts w:hint="eastAsia" w:ascii="Times New Roman" w:hAnsi="Times New Roman" w:cs="Times New Roman"/>
                <w:szCs w:val="21"/>
              </w:rPr>
              <w:t>-</w:t>
            </w:r>
            <w:r>
              <w:rPr>
                <w:rFonts w:ascii="Times New Roman" w:hAnsi="Times New Roman" w:cs="Times New Roman"/>
                <w:szCs w:val="21"/>
              </w:rPr>
              <w:t>7</w:t>
            </w:r>
          </w:p>
        </w:tc>
        <w:tc>
          <w:tcPr>
            <w:tcW w:w="2417"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934"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3</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钢筋间距，mm</w:t>
            </w:r>
          </w:p>
        </w:tc>
        <w:tc>
          <w:tcPr>
            <w:tcW w:w="2316"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10</w:t>
            </w:r>
          </w:p>
        </w:tc>
        <w:tc>
          <w:tcPr>
            <w:tcW w:w="2417" w:type="dxa"/>
            <w:vMerge w:val="continue"/>
            <w:noWrap w:val="0"/>
            <w:vAlign w:val="center"/>
          </w:tcPr>
          <w:p>
            <w:pPr>
              <w:pStyle w:val="233"/>
              <w:widowControl w:val="0"/>
              <w:spacing w:beforeLines="0" w:afterLines="0"/>
              <w:ind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934"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4</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钢筋直径，mm</w:t>
            </w:r>
          </w:p>
        </w:tc>
        <w:tc>
          <w:tcPr>
            <w:tcW w:w="2316"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符合设计要求</w:t>
            </w:r>
          </w:p>
        </w:tc>
        <w:tc>
          <w:tcPr>
            <w:tcW w:w="2417" w:type="dxa"/>
            <w:vMerge w:val="restart"/>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934"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5</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主受力钢筋数量</w:t>
            </w:r>
          </w:p>
        </w:tc>
        <w:tc>
          <w:tcPr>
            <w:tcW w:w="2316"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c>
          <w:tcPr>
            <w:tcW w:w="2417" w:type="dxa"/>
            <w:vMerge w:val="continue"/>
            <w:noWrap w:val="0"/>
            <w:vAlign w:val="center"/>
          </w:tcPr>
          <w:p>
            <w:pPr>
              <w:pStyle w:val="233"/>
              <w:widowControl w:val="0"/>
              <w:spacing w:beforeLines="0" w:afterLines="0"/>
              <w:ind w:left="0" w:leftChars="0" w:firstLine="0" w:firstLineChars="0"/>
              <w:jc w:val="center"/>
              <w:rPr>
                <w:rFonts w:ascii="Times New Roman"/>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934"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6</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吊装件抗拔力，kN</w:t>
            </w:r>
          </w:p>
        </w:tc>
        <w:tc>
          <w:tcPr>
            <w:tcW w:w="2316"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设计值</w:t>
            </w:r>
          </w:p>
        </w:tc>
        <w:tc>
          <w:tcPr>
            <w:tcW w:w="241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lang w:val="en-US" w:eastAsia="zh-CN"/>
              </w:rPr>
              <w:t>DB32/T 3754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934"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7</w:t>
            </w:r>
          </w:p>
        </w:tc>
        <w:tc>
          <w:tcPr>
            <w:tcW w:w="3451"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结构性能</w:t>
            </w:r>
            <w:r>
              <w:rPr>
                <w:rFonts w:hint="eastAsia" w:ascii="Times New Roman" w:hAnsi="Times New Roman" w:cs="Times New Roman"/>
                <w:szCs w:val="21"/>
              </w:rPr>
              <w:t>（设计有明确要求时）</w:t>
            </w:r>
          </w:p>
        </w:tc>
        <w:tc>
          <w:tcPr>
            <w:tcW w:w="2316" w:type="dxa"/>
            <w:noWrap w:val="0"/>
            <w:vAlign w:val="center"/>
          </w:tcPr>
          <w:p>
            <w:pPr>
              <w:pStyle w:val="233"/>
              <w:widowControl w:val="0"/>
              <w:spacing w:beforeLines="0" w:afterLines="0"/>
              <w:ind w:left="0" w:leftChars="0" w:firstLine="0" w:firstLineChars="0"/>
              <w:jc w:val="center"/>
              <w:rPr>
                <w:rFonts w:ascii="Times New Roman"/>
                <w:szCs w:val="21"/>
              </w:rPr>
            </w:pPr>
            <w:r>
              <w:rPr>
                <w:rFonts w:ascii="Times New Roman" w:hAnsi="Times New Roman" w:cs="Times New Roman"/>
                <w:szCs w:val="21"/>
              </w:rPr>
              <w:t>符合设计要求</w:t>
            </w:r>
          </w:p>
        </w:tc>
        <w:tc>
          <w:tcPr>
            <w:tcW w:w="241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lang w:eastAsia="zh-CN"/>
              </w:rPr>
              <w:t>附录D</w:t>
            </w:r>
          </w:p>
        </w:tc>
      </w:tr>
    </w:tbl>
    <w:p>
      <w:pPr>
        <w:pStyle w:val="167"/>
      </w:pPr>
      <w:r>
        <w:rPr>
          <w:rFonts w:hint="eastAsia" w:ascii="宋体" w:hAnsi="宋体" w:eastAsia="宋体"/>
        </w:rPr>
        <w:t>预制柱的性能应符合</w:t>
      </w:r>
      <w:r>
        <w:rPr>
          <w:rFonts w:hint="eastAsia" w:ascii="宋体" w:hAnsi="宋体" w:eastAsia="宋体"/>
          <w:lang w:eastAsia="zh-CN"/>
        </w:rPr>
        <w:t>表21</w:t>
      </w:r>
      <w:r>
        <w:rPr>
          <w:rFonts w:hint="eastAsia" w:ascii="宋体" w:hAnsi="宋体" w:eastAsia="宋体"/>
        </w:rPr>
        <w:t>的规定</w:t>
      </w:r>
      <w:r>
        <w:rPr>
          <w:rFonts w:hint="eastAsia" w:hAnsi="宋体"/>
          <w:lang w:eastAsia="zh-CN"/>
        </w:rPr>
        <w:t>。</w:t>
      </w:r>
    </w:p>
    <w:p>
      <w:pPr>
        <w:pStyle w:val="242"/>
        <w:jc w:val="center"/>
      </w:pPr>
      <w:bookmarkStart w:id="100" w:name="_Toc531952468"/>
      <w:r>
        <w:rPr>
          <w:rFonts w:hint="eastAsia"/>
          <w:lang w:eastAsia="zh-CN"/>
        </w:rPr>
        <w:t>表21</w:t>
      </w:r>
      <w:r>
        <w:t xml:space="preserve"> </w:t>
      </w:r>
      <w:r>
        <w:rPr>
          <w:rFonts w:hint="eastAsia"/>
        </w:rPr>
        <w:t>预制柱性能</w:t>
      </w:r>
      <w:bookmarkEnd w:id="100"/>
    </w:p>
    <w:tbl>
      <w:tblPr>
        <w:tblStyle w:val="27"/>
        <w:tblW w:w="920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3418"/>
        <w:gridCol w:w="2217"/>
        <w:gridCol w:w="254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 w:hRule="atLeast"/>
          <w:tblHeader/>
          <w:jc w:val="center"/>
        </w:trPr>
        <w:tc>
          <w:tcPr>
            <w:tcW w:w="102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项次</w:t>
            </w:r>
          </w:p>
        </w:tc>
        <w:tc>
          <w:tcPr>
            <w:tcW w:w="3418"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检验项目</w:t>
            </w:r>
          </w:p>
        </w:tc>
        <w:tc>
          <w:tcPr>
            <w:tcW w:w="2217"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指</w:t>
            </w:r>
            <w:r>
              <w:rPr>
                <w:rFonts w:ascii="Times New Roman" w:hAnsi="Times New Roman" w:eastAsia="新宋体" w:cs="Times New Roman"/>
                <w:szCs w:val="21"/>
              </w:rPr>
              <w:t xml:space="preserve">  </w:t>
            </w:r>
            <w:r>
              <w:rPr>
                <w:rFonts w:hint="eastAsia" w:ascii="Times New Roman" w:hAnsi="Times New Roman" w:eastAsia="新宋体" w:cs="Times New Roman"/>
                <w:szCs w:val="21"/>
              </w:rPr>
              <w:t>标</w:t>
            </w:r>
          </w:p>
        </w:tc>
        <w:tc>
          <w:tcPr>
            <w:tcW w:w="2543"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cs="Times New Roman"/>
                <w:szCs w:val="21"/>
              </w:rPr>
              <w:t>检验</w:t>
            </w:r>
            <w:r>
              <w:rPr>
                <w:rFonts w:hint="eastAsia" w:ascii="Times New Roman" w:hAnsi="Times New Roman" w:eastAsia="新宋体" w:cs="Times New Roman"/>
                <w:szCs w:val="21"/>
              </w:rPr>
              <w:t>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026" w:type="dxa"/>
            <w:noWrap w:val="0"/>
            <w:vAlign w:val="center"/>
          </w:tcPr>
          <w:p>
            <w:pPr>
              <w:pStyle w:val="233"/>
              <w:widowControl w:val="0"/>
              <w:spacing w:beforeLines="0" w:afterLines="0"/>
              <w:ind w:left="0" w:leftChars="0" w:firstLine="0" w:firstLineChars="0"/>
              <w:jc w:val="center"/>
              <w:rPr>
                <w:rFonts w:hAnsi="宋体" w:cs="宋体"/>
              </w:rPr>
            </w:pPr>
            <w:r>
              <w:rPr>
                <w:rFonts w:hint="eastAsia" w:ascii="宋体" w:hAnsi="宋体" w:cs="宋体"/>
              </w:rPr>
              <w:t>1</w:t>
            </w:r>
          </w:p>
        </w:tc>
        <w:tc>
          <w:tcPr>
            <w:tcW w:w="3418"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rPr>
              <w:t>混凝土强度</w:t>
            </w:r>
            <w:r>
              <w:rPr>
                <w:rFonts w:hint="eastAsia" w:ascii="Times New Roman" w:hAnsi="Times New Roman" w:eastAsia="新宋体" w:cs="Times New Roman"/>
                <w:szCs w:val="21"/>
              </w:rPr>
              <w:t>，</w:t>
            </w:r>
            <w:r>
              <w:rPr>
                <w:rFonts w:ascii="Times New Roman" w:hAnsi="Times New Roman" w:eastAsia="新宋体" w:cs="Times New Roman"/>
                <w:szCs w:val="21"/>
              </w:rPr>
              <w:t>MPa</w:t>
            </w:r>
          </w:p>
        </w:tc>
        <w:tc>
          <w:tcPr>
            <w:tcW w:w="2217"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不应低于设计要求</w:t>
            </w:r>
          </w:p>
        </w:tc>
        <w:tc>
          <w:tcPr>
            <w:tcW w:w="2543"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ascii="Times New Roman" w:hAnsi="Times New Roman" w:eastAsia="新宋体" w:cs="Times New Roman"/>
                <w:szCs w:val="21"/>
              </w:rPr>
              <w:t>GB/T 50081</w:t>
            </w:r>
            <w:r>
              <w:rPr>
                <w:rFonts w:hint="eastAsia" w:ascii="Times New Roman" w:hAnsi="Times New Roman" w:eastAsia="新宋体" w:cs="Times New Roman"/>
                <w:szCs w:val="21"/>
              </w:rPr>
              <w:t>、</w:t>
            </w:r>
            <w:r>
              <w:rPr>
                <w:rFonts w:ascii="Times New Roman" w:hAnsi="Times New Roman" w:eastAsia="新宋体" w:cs="Times New Roman"/>
                <w:szCs w:val="21"/>
              </w:rPr>
              <w:t>JGJ/T 23</w:t>
            </w:r>
            <w:r>
              <w:rPr>
                <w:rFonts w:hint="eastAsia" w:ascii="Times New Roman" w:hAnsi="Times New Roman" w:eastAsia="新宋体" w:cs="Times New Roman"/>
                <w:szCs w:val="21"/>
              </w:rPr>
              <w:t>、DGJ32/TJ 145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02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2</w:t>
            </w:r>
          </w:p>
        </w:tc>
        <w:tc>
          <w:tcPr>
            <w:tcW w:w="3418"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钢筋保护层厚度，</w:t>
            </w:r>
            <w:r>
              <w:rPr>
                <w:rFonts w:ascii="Times New Roman" w:hAnsi="Times New Roman" w:eastAsia="新宋体" w:cs="Times New Roman"/>
                <w:szCs w:val="21"/>
              </w:rPr>
              <w:t>mm</w:t>
            </w:r>
          </w:p>
        </w:tc>
        <w:tc>
          <w:tcPr>
            <w:tcW w:w="2217" w:type="dxa"/>
            <w:noWrap w:val="0"/>
            <w:vAlign w:val="center"/>
          </w:tcPr>
          <w:p>
            <w:pPr>
              <w:pStyle w:val="233"/>
              <w:widowControl w:val="0"/>
              <w:spacing w:beforeLines="0" w:afterLines="0"/>
              <w:ind w:left="0" w:leftChars="0" w:firstLine="0" w:firstLineChars="0"/>
              <w:jc w:val="center"/>
              <w:rPr>
                <w:rFonts w:ascii="Times New Roman"/>
                <w:szCs w:val="21"/>
              </w:rPr>
            </w:pPr>
            <w:r>
              <w:rPr>
                <w:rFonts w:hint="eastAsia" w:ascii="Times New Roman" w:hAnsi="Times New Roman" w:cs="Times New Roman"/>
                <w:szCs w:val="21"/>
              </w:rPr>
              <w:t>+</w:t>
            </w:r>
            <w:r>
              <w:rPr>
                <w:rFonts w:ascii="Times New Roman" w:hAnsi="Times New Roman" w:cs="Times New Roman"/>
                <w:szCs w:val="21"/>
              </w:rPr>
              <w:t>10，</w:t>
            </w:r>
            <w:r>
              <w:rPr>
                <w:rFonts w:hint="eastAsia" w:ascii="Times New Roman" w:hAnsi="Times New Roman" w:cs="Times New Roman"/>
                <w:szCs w:val="21"/>
              </w:rPr>
              <w:t>-</w:t>
            </w:r>
            <w:r>
              <w:rPr>
                <w:rFonts w:ascii="Times New Roman" w:hAnsi="Times New Roman" w:cs="Times New Roman"/>
                <w:szCs w:val="21"/>
              </w:rPr>
              <w:t>7</w:t>
            </w:r>
          </w:p>
        </w:tc>
        <w:tc>
          <w:tcPr>
            <w:tcW w:w="2543" w:type="dxa"/>
            <w:vMerge w:val="restart"/>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ascii="Times New Roman" w:hAnsi="Times New Roman" w:eastAsia="新宋体"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02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3</w:t>
            </w:r>
          </w:p>
        </w:tc>
        <w:tc>
          <w:tcPr>
            <w:tcW w:w="3418"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钢筋间距，</w:t>
            </w:r>
            <w:r>
              <w:rPr>
                <w:rFonts w:ascii="Times New Roman" w:hAnsi="Times New Roman" w:eastAsia="新宋体" w:cs="Times New Roman"/>
                <w:szCs w:val="21"/>
              </w:rPr>
              <w:t>mm</w:t>
            </w:r>
          </w:p>
        </w:tc>
        <w:tc>
          <w:tcPr>
            <w:tcW w:w="2217"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cs="Times New Roman"/>
                <w:szCs w:val="21"/>
              </w:rPr>
              <w:t>±</w:t>
            </w:r>
            <w:r>
              <w:rPr>
                <w:rFonts w:ascii="Times New Roman" w:hAnsi="Times New Roman" w:eastAsia="新宋体" w:cs="Times New Roman"/>
                <w:szCs w:val="21"/>
              </w:rPr>
              <w:t>10</w:t>
            </w:r>
          </w:p>
        </w:tc>
        <w:tc>
          <w:tcPr>
            <w:tcW w:w="2543" w:type="dxa"/>
            <w:vMerge w:val="continue"/>
            <w:noWrap w:val="0"/>
            <w:vAlign w:val="center"/>
          </w:tcPr>
          <w:p>
            <w:pPr>
              <w:pStyle w:val="233"/>
              <w:widowControl w:val="0"/>
              <w:spacing w:beforeLines="0" w:afterLines="0"/>
              <w:ind w:left="0" w:leftChars="0" w:firstLine="0" w:firstLineChars="0"/>
              <w:jc w:val="center"/>
              <w:rPr>
                <w:rFonts w:ascii="Times New Roman" w:eastAsia="新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 w:hRule="atLeast"/>
          <w:jc w:val="center"/>
        </w:trPr>
        <w:tc>
          <w:tcPr>
            <w:tcW w:w="102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4</w:t>
            </w:r>
          </w:p>
        </w:tc>
        <w:tc>
          <w:tcPr>
            <w:tcW w:w="3418"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钢筋直径，</w:t>
            </w:r>
            <w:r>
              <w:rPr>
                <w:rFonts w:ascii="Times New Roman" w:hAnsi="Times New Roman" w:eastAsia="新宋体" w:cs="Times New Roman"/>
                <w:szCs w:val="21"/>
              </w:rPr>
              <w:t>mm</w:t>
            </w:r>
          </w:p>
        </w:tc>
        <w:tc>
          <w:tcPr>
            <w:tcW w:w="2217" w:type="dxa"/>
            <w:vMerge w:val="restart"/>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符合设计要求</w:t>
            </w:r>
          </w:p>
        </w:tc>
        <w:tc>
          <w:tcPr>
            <w:tcW w:w="2543" w:type="dxa"/>
            <w:vMerge w:val="restart"/>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ascii="Times New Roman" w:hAnsi="Times New Roman" w:eastAsia="新宋体" w:cs="Times New Roman"/>
                <w:szCs w:val="21"/>
              </w:rP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02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5</w:t>
            </w:r>
          </w:p>
        </w:tc>
        <w:tc>
          <w:tcPr>
            <w:tcW w:w="3418"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主受力钢筋数量</w:t>
            </w:r>
          </w:p>
        </w:tc>
        <w:tc>
          <w:tcPr>
            <w:tcW w:w="2217" w:type="dxa"/>
            <w:vMerge w:val="continue"/>
            <w:noWrap w:val="0"/>
            <w:vAlign w:val="center"/>
          </w:tcPr>
          <w:p>
            <w:pPr>
              <w:pStyle w:val="233"/>
              <w:widowControl w:val="0"/>
              <w:spacing w:beforeLines="0" w:afterLines="0"/>
              <w:ind w:left="0" w:leftChars="0" w:firstLine="0" w:firstLineChars="0"/>
              <w:jc w:val="center"/>
              <w:rPr>
                <w:rFonts w:ascii="Times New Roman" w:eastAsia="新宋体"/>
                <w:szCs w:val="21"/>
              </w:rPr>
            </w:pPr>
          </w:p>
        </w:tc>
        <w:tc>
          <w:tcPr>
            <w:tcW w:w="2543" w:type="dxa"/>
            <w:vMerge w:val="continue"/>
            <w:noWrap w:val="0"/>
            <w:vAlign w:val="center"/>
          </w:tcPr>
          <w:p>
            <w:pPr>
              <w:pStyle w:val="233"/>
              <w:widowControl w:val="0"/>
              <w:spacing w:beforeLines="0" w:afterLines="0"/>
              <w:ind w:left="0" w:leftChars="0" w:firstLine="0" w:firstLineChars="0"/>
              <w:jc w:val="center"/>
              <w:rPr>
                <w:rFonts w:ascii="Times New Roman" w:eastAsia="新宋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026"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6</w:t>
            </w:r>
          </w:p>
        </w:tc>
        <w:tc>
          <w:tcPr>
            <w:tcW w:w="3418"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吊装件抗拔力，</w:t>
            </w:r>
            <w:r>
              <w:rPr>
                <w:rFonts w:ascii="Times New Roman" w:hAnsi="Times New Roman" w:eastAsia="新宋体" w:cs="Times New Roman"/>
                <w:szCs w:val="21"/>
              </w:rPr>
              <w:t>kN</w:t>
            </w:r>
          </w:p>
        </w:tc>
        <w:tc>
          <w:tcPr>
            <w:tcW w:w="2217"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eastAsia="新宋体" w:cs="Times New Roman"/>
                <w:szCs w:val="21"/>
              </w:rPr>
              <w:t>≥设计值</w:t>
            </w:r>
          </w:p>
        </w:tc>
        <w:tc>
          <w:tcPr>
            <w:tcW w:w="2543" w:type="dxa"/>
            <w:noWrap w:val="0"/>
            <w:vAlign w:val="center"/>
          </w:tcPr>
          <w:p>
            <w:pPr>
              <w:pStyle w:val="233"/>
              <w:widowControl w:val="0"/>
              <w:spacing w:beforeLines="0" w:afterLines="0"/>
              <w:ind w:left="0" w:leftChars="0" w:firstLine="0" w:firstLineChars="0"/>
              <w:jc w:val="center"/>
              <w:rPr>
                <w:rFonts w:ascii="Times New Roman" w:eastAsia="新宋体"/>
                <w:szCs w:val="21"/>
              </w:rPr>
            </w:pPr>
            <w:r>
              <w:rPr>
                <w:rFonts w:hint="eastAsia" w:ascii="Times New Roman" w:hAnsi="Times New Roman" w:cs="Times New Roman"/>
                <w:szCs w:val="21"/>
                <w:lang w:val="en-US" w:eastAsia="zh-CN"/>
              </w:rPr>
              <w:t>DB32/T 3754</w:t>
            </w:r>
          </w:p>
        </w:tc>
      </w:tr>
    </w:tbl>
    <w:p>
      <w:pPr>
        <w:pStyle w:val="167"/>
      </w:pPr>
      <w:r>
        <w:rPr>
          <w:rFonts w:hint="eastAsia" w:ascii="宋体" w:hAnsi="宋体" w:eastAsia="宋体"/>
        </w:rPr>
        <w:t>预制墙板分为预制夹心保温外墙板和预制墙板，其性能应分别符合</w:t>
      </w:r>
      <w:r>
        <w:rPr>
          <w:rFonts w:hint="eastAsia" w:ascii="宋体" w:hAnsi="宋体" w:eastAsia="宋体"/>
          <w:lang w:eastAsia="zh-CN"/>
        </w:rPr>
        <w:t>表22</w:t>
      </w:r>
      <w:r>
        <w:rPr>
          <w:rFonts w:hint="eastAsia" w:ascii="宋体" w:hAnsi="宋体" w:eastAsia="宋体"/>
        </w:rPr>
        <w:t>的规定</w:t>
      </w:r>
      <w:r>
        <w:rPr>
          <w:rFonts w:hint="eastAsia" w:hAnsi="宋体"/>
          <w:lang w:eastAsia="zh-CN"/>
        </w:rPr>
        <w:t>。</w:t>
      </w:r>
    </w:p>
    <w:p>
      <w:pPr>
        <w:pStyle w:val="242"/>
        <w:jc w:val="center"/>
      </w:pPr>
      <w:bookmarkStart w:id="101" w:name="_Toc531952469"/>
      <w:r>
        <w:rPr>
          <w:rFonts w:hint="eastAsia"/>
          <w:lang w:eastAsia="zh-CN"/>
        </w:rPr>
        <w:t>表22</w:t>
      </w:r>
      <w:r>
        <w:t xml:space="preserve"> </w:t>
      </w:r>
      <w:r>
        <w:rPr>
          <w:rFonts w:hint="eastAsia"/>
        </w:rPr>
        <w:t>预制墙板性能</w:t>
      </w:r>
      <w:bookmarkEnd w:id="101"/>
    </w:p>
    <w:tbl>
      <w:tblPr>
        <w:tblStyle w:val="27"/>
        <w:tblW w:w="929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59"/>
        <w:gridCol w:w="3450"/>
        <w:gridCol w:w="2205"/>
        <w:gridCol w:w="25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tblHeader/>
          <w:jc w:val="center"/>
        </w:trPr>
        <w:tc>
          <w:tcPr>
            <w:tcW w:w="1059"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项次</w:t>
            </w:r>
          </w:p>
        </w:tc>
        <w:tc>
          <w:tcPr>
            <w:tcW w:w="3450" w:type="dxa"/>
            <w:noWrap w:val="0"/>
            <w:vAlign w:val="center"/>
          </w:tcPr>
          <w:p>
            <w:pPr>
              <w:jc w:val="center"/>
            </w:pPr>
            <w:r>
              <w:rPr>
                <w:rFonts w:hint="eastAsia"/>
              </w:rPr>
              <w:t>检验项目</w:t>
            </w:r>
          </w:p>
        </w:tc>
        <w:tc>
          <w:tcPr>
            <w:tcW w:w="2205" w:type="dxa"/>
            <w:noWrap w:val="0"/>
            <w:vAlign w:val="center"/>
          </w:tcPr>
          <w:p>
            <w:pPr>
              <w:jc w:val="center"/>
            </w:pPr>
            <w:r>
              <w:t>指  标</w:t>
            </w:r>
          </w:p>
        </w:tc>
        <w:tc>
          <w:tcPr>
            <w:tcW w:w="2585" w:type="dxa"/>
            <w:noWrap w:val="0"/>
            <w:vAlign w:val="center"/>
          </w:tcPr>
          <w:p>
            <w:pPr>
              <w:jc w:val="center"/>
            </w:pPr>
            <w: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noWrap w:val="0"/>
            <w:vAlign w:val="center"/>
          </w:tcPr>
          <w:p>
            <w:pPr>
              <w:pStyle w:val="233"/>
              <w:widowControl w:val="0"/>
              <w:spacing w:beforeLines="0" w:afterLines="0"/>
              <w:ind w:left="0" w:leftChars="0" w:firstLine="0" w:firstLineChars="0"/>
              <w:jc w:val="center"/>
              <w:rPr>
                <w:rFonts w:hAnsi="宋体" w:cs="宋体"/>
              </w:rPr>
            </w:pPr>
            <w:r>
              <w:rPr>
                <w:rFonts w:hint="eastAsia" w:ascii="宋体" w:hAnsi="宋体" w:cs="宋体"/>
              </w:rPr>
              <w:t>1</w:t>
            </w:r>
          </w:p>
        </w:tc>
        <w:tc>
          <w:tcPr>
            <w:tcW w:w="3450" w:type="dxa"/>
            <w:noWrap w:val="0"/>
            <w:vAlign w:val="center"/>
          </w:tcPr>
          <w:p>
            <w:pPr>
              <w:jc w:val="center"/>
            </w:pPr>
            <w:r>
              <w:rPr>
                <w:rFonts w:hint="eastAsia"/>
              </w:rPr>
              <w:t>混凝土强度</w:t>
            </w:r>
            <w:r>
              <w:t>，MPa</w:t>
            </w:r>
          </w:p>
        </w:tc>
        <w:tc>
          <w:tcPr>
            <w:tcW w:w="2205" w:type="dxa"/>
            <w:noWrap w:val="0"/>
            <w:vAlign w:val="center"/>
          </w:tcPr>
          <w:p>
            <w:pPr>
              <w:jc w:val="center"/>
            </w:pPr>
            <w:r>
              <w:rPr>
                <w:rFonts w:hint="eastAsia"/>
              </w:rPr>
              <w:t>不应低于设计要求</w:t>
            </w:r>
          </w:p>
        </w:tc>
        <w:tc>
          <w:tcPr>
            <w:tcW w:w="2585" w:type="dxa"/>
            <w:noWrap w:val="0"/>
            <w:vAlign w:val="center"/>
          </w:tcPr>
          <w:p>
            <w:pPr>
              <w:jc w:val="center"/>
              <w:rPr>
                <w:rFonts w:eastAsia="新宋体"/>
              </w:rPr>
            </w:pPr>
            <w:r>
              <w:t>GB/T 50081</w:t>
            </w:r>
            <w:r>
              <w:rPr>
                <w:rFonts w:hint="eastAsia"/>
              </w:rPr>
              <w:t>、</w:t>
            </w:r>
            <w:r>
              <w:t>JGJ/T 23</w:t>
            </w:r>
            <w:r>
              <w:rPr>
                <w:rFonts w:hint="eastAsia" w:eastAsia="新宋体"/>
                <w:szCs w:val="21"/>
              </w:rPr>
              <w:t>、DGJ32/TJ 145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2</w:t>
            </w:r>
          </w:p>
        </w:tc>
        <w:tc>
          <w:tcPr>
            <w:tcW w:w="3450" w:type="dxa"/>
            <w:noWrap w:val="0"/>
            <w:vAlign w:val="center"/>
          </w:tcPr>
          <w:p>
            <w:pPr>
              <w:jc w:val="center"/>
            </w:pPr>
            <w:r>
              <w:t>钢筋保护层厚度，mm</w:t>
            </w:r>
          </w:p>
        </w:tc>
        <w:tc>
          <w:tcPr>
            <w:tcW w:w="2205" w:type="dxa"/>
            <w:noWrap w:val="0"/>
            <w:vAlign w:val="center"/>
          </w:tcPr>
          <w:p>
            <w:pPr>
              <w:jc w:val="center"/>
            </w:pPr>
            <w:r>
              <w:rPr>
                <w:rFonts w:hint="eastAsia"/>
                <w:szCs w:val="21"/>
              </w:rPr>
              <w:t>+</w:t>
            </w:r>
            <w:r>
              <w:t>8，</w:t>
            </w:r>
            <w:r>
              <w:rPr>
                <w:rFonts w:hint="eastAsia"/>
                <w:szCs w:val="21"/>
              </w:rPr>
              <w:t>-</w:t>
            </w:r>
            <w:r>
              <w:t>5</w:t>
            </w:r>
          </w:p>
        </w:tc>
        <w:tc>
          <w:tcPr>
            <w:tcW w:w="2585" w:type="dxa"/>
            <w:vMerge w:val="restart"/>
            <w:noWrap w:val="0"/>
            <w:vAlign w:val="center"/>
          </w:tcPr>
          <w:p>
            <w:pPr>
              <w:jc w:val="center"/>
            </w:pPr>
            <w: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3</w:t>
            </w:r>
          </w:p>
        </w:tc>
        <w:tc>
          <w:tcPr>
            <w:tcW w:w="3450" w:type="dxa"/>
            <w:noWrap w:val="0"/>
            <w:vAlign w:val="center"/>
          </w:tcPr>
          <w:p>
            <w:pPr>
              <w:jc w:val="center"/>
            </w:pPr>
            <w:r>
              <w:t>钢筋间距，mm</w:t>
            </w:r>
          </w:p>
        </w:tc>
        <w:tc>
          <w:tcPr>
            <w:tcW w:w="2205" w:type="dxa"/>
            <w:noWrap w:val="0"/>
            <w:vAlign w:val="center"/>
          </w:tcPr>
          <w:p>
            <w:pPr>
              <w:jc w:val="center"/>
            </w:pPr>
            <w:r>
              <w:rPr>
                <w:rFonts w:hint="eastAsia"/>
                <w:szCs w:val="21"/>
              </w:rPr>
              <w:t>±</w:t>
            </w:r>
            <w:r>
              <w:t>10</w:t>
            </w:r>
          </w:p>
        </w:tc>
        <w:tc>
          <w:tcPr>
            <w:tcW w:w="2585"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4</w:t>
            </w:r>
          </w:p>
        </w:tc>
        <w:tc>
          <w:tcPr>
            <w:tcW w:w="3450" w:type="dxa"/>
            <w:noWrap w:val="0"/>
            <w:vAlign w:val="center"/>
          </w:tcPr>
          <w:p>
            <w:pPr>
              <w:jc w:val="center"/>
            </w:pPr>
            <w:r>
              <w:t>钢筋直径</w:t>
            </w:r>
            <w:r>
              <w:rPr>
                <w:rFonts w:hint="eastAsia"/>
              </w:rPr>
              <w:t>，mm</w:t>
            </w:r>
          </w:p>
        </w:tc>
        <w:tc>
          <w:tcPr>
            <w:tcW w:w="2205" w:type="dxa"/>
            <w:vMerge w:val="restart"/>
            <w:noWrap w:val="0"/>
            <w:vAlign w:val="center"/>
          </w:tcPr>
          <w:p>
            <w:pPr>
              <w:jc w:val="center"/>
            </w:pPr>
            <w:r>
              <w:t>符合设计要求</w:t>
            </w:r>
          </w:p>
        </w:tc>
        <w:tc>
          <w:tcPr>
            <w:tcW w:w="2585" w:type="dxa"/>
            <w:vMerge w:val="restart"/>
            <w:noWrap w:val="0"/>
            <w:vAlign w:val="center"/>
          </w:tcPr>
          <w:p>
            <w:pPr>
              <w:jc w:val="center"/>
            </w:pPr>
            <w: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5</w:t>
            </w:r>
          </w:p>
        </w:tc>
        <w:tc>
          <w:tcPr>
            <w:tcW w:w="3450" w:type="dxa"/>
            <w:noWrap w:val="0"/>
            <w:vAlign w:val="center"/>
          </w:tcPr>
          <w:p>
            <w:pPr>
              <w:jc w:val="center"/>
            </w:pPr>
            <w:r>
              <w:rPr>
                <w:rFonts w:hint="eastAsia"/>
              </w:rPr>
              <w:t>主受力钢筋数量</w:t>
            </w:r>
          </w:p>
        </w:tc>
        <w:tc>
          <w:tcPr>
            <w:tcW w:w="2205" w:type="dxa"/>
            <w:vMerge w:val="continue"/>
            <w:noWrap w:val="0"/>
            <w:vAlign w:val="center"/>
          </w:tcPr>
          <w:p>
            <w:pPr>
              <w:jc w:val="center"/>
            </w:pPr>
          </w:p>
        </w:tc>
        <w:tc>
          <w:tcPr>
            <w:tcW w:w="2585"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noWrap w:val="0"/>
            <w:vAlign w:val="center"/>
          </w:tcPr>
          <w:p>
            <w:pPr>
              <w:pStyle w:val="233"/>
              <w:widowControl w:val="0"/>
              <w:spacing w:beforeLines="0" w:afterLines="0"/>
              <w:ind w:left="0" w:leftChars="0" w:firstLine="0" w:firstLineChars="0"/>
              <w:jc w:val="center"/>
              <w:rPr>
                <w:rFonts w:hAnsi="宋体" w:cs="宋体"/>
                <w:szCs w:val="21"/>
              </w:rPr>
            </w:pPr>
            <w:r>
              <w:rPr>
                <w:rFonts w:hint="eastAsia" w:ascii="宋体" w:hAnsi="宋体" w:cs="宋体"/>
                <w:szCs w:val="21"/>
              </w:rPr>
              <w:t>6</w:t>
            </w:r>
          </w:p>
        </w:tc>
        <w:tc>
          <w:tcPr>
            <w:tcW w:w="3450" w:type="dxa"/>
            <w:noWrap w:val="0"/>
            <w:vAlign w:val="center"/>
          </w:tcPr>
          <w:p>
            <w:pPr>
              <w:jc w:val="center"/>
            </w:pPr>
            <w:r>
              <w:t>吊装件抗拔力，kN</w:t>
            </w:r>
          </w:p>
        </w:tc>
        <w:tc>
          <w:tcPr>
            <w:tcW w:w="2205" w:type="dxa"/>
            <w:noWrap w:val="0"/>
            <w:vAlign w:val="center"/>
          </w:tcPr>
          <w:p>
            <w:pPr>
              <w:jc w:val="center"/>
            </w:pPr>
            <w:r>
              <w:rPr>
                <w:rFonts w:hint="eastAsia" w:eastAsia="新宋体"/>
                <w:szCs w:val="21"/>
              </w:rPr>
              <w:t>≥</w:t>
            </w:r>
            <w:r>
              <w:t>设计值</w:t>
            </w:r>
          </w:p>
        </w:tc>
        <w:tc>
          <w:tcPr>
            <w:tcW w:w="2585" w:type="dxa"/>
            <w:noWrap w:val="0"/>
            <w:vAlign w:val="center"/>
          </w:tcPr>
          <w:p>
            <w:pPr>
              <w:jc w:val="center"/>
            </w:pPr>
            <w:r>
              <w:rPr>
                <w:rFonts w:hint="eastAsia" w:ascii="Times New Roman" w:hAnsi="Times New Roman" w:cs="Times New Roman"/>
                <w:szCs w:val="21"/>
                <w:lang w:val="en-US" w:eastAsia="zh-CN"/>
              </w:rPr>
              <w:t>DB32/T 3754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noWrap w:val="0"/>
            <w:vAlign w:val="center"/>
          </w:tcPr>
          <w:p>
            <w:pPr>
              <w:jc w:val="center"/>
              <w:rPr>
                <w:rFonts w:ascii="宋体" w:hAnsi="宋体" w:cs="宋体"/>
              </w:rPr>
            </w:pPr>
            <w:r>
              <w:rPr>
                <w:rFonts w:hint="eastAsia" w:ascii="宋体" w:hAnsi="宋体" w:eastAsia="宋体" w:cs="宋体"/>
              </w:rPr>
              <w:t>7</w:t>
            </w:r>
          </w:p>
        </w:tc>
        <w:tc>
          <w:tcPr>
            <w:tcW w:w="3450" w:type="dxa"/>
            <w:noWrap w:val="0"/>
            <w:vAlign w:val="center"/>
          </w:tcPr>
          <w:p>
            <w:pPr>
              <w:jc w:val="center"/>
            </w:pPr>
            <w:r>
              <w:t>热阻，(m²·K)/W</w:t>
            </w:r>
          </w:p>
        </w:tc>
        <w:tc>
          <w:tcPr>
            <w:tcW w:w="2205" w:type="dxa"/>
            <w:noWrap w:val="0"/>
            <w:vAlign w:val="center"/>
          </w:tcPr>
          <w:p>
            <w:pPr>
              <w:jc w:val="center"/>
            </w:pPr>
            <w:r>
              <w:t>符合设计要求</w:t>
            </w:r>
          </w:p>
        </w:tc>
        <w:tc>
          <w:tcPr>
            <w:tcW w:w="2585" w:type="dxa"/>
            <w:noWrap w:val="0"/>
            <w:vAlign w:val="center"/>
          </w:tcPr>
          <w:p>
            <w:pPr>
              <w:jc w:val="center"/>
            </w:pPr>
            <w:r>
              <w:t>GB/T 13475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059" w:type="dxa"/>
            <w:vMerge w:val="restart"/>
            <w:noWrap w:val="0"/>
            <w:vAlign w:val="center"/>
          </w:tcPr>
          <w:p>
            <w:pPr>
              <w:jc w:val="center"/>
              <w:rPr>
                <w:rFonts w:ascii="宋体" w:hAnsi="宋体" w:cs="宋体"/>
              </w:rPr>
            </w:pPr>
            <w:r>
              <w:rPr>
                <w:rFonts w:hint="eastAsia" w:ascii="宋体" w:hAnsi="宋体" w:eastAsia="宋体" w:cs="宋体"/>
              </w:rPr>
              <w:t>8</w:t>
            </w:r>
          </w:p>
        </w:tc>
        <w:tc>
          <w:tcPr>
            <w:tcW w:w="3450" w:type="dxa"/>
            <w:noWrap w:val="0"/>
            <w:vAlign w:val="center"/>
          </w:tcPr>
          <w:p>
            <w:pPr>
              <w:jc w:val="center"/>
            </w:pPr>
            <w:r>
              <w:t>耐火极限，h</w:t>
            </w:r>
          </w:p>
        </w:tc>
        <w:tc>
          <w:tcPr>
            <w:tcW w:w="2205" w:type="dxa"/>
            <w:noWrap w:val="0"/>
            <w:vAlign w:val="center"/>
          </w:tcPr>
          <w:p>
            <w:pPr>
              <w:jc w:val="center"/>
            </w:pPr>
            <w:r>
              <w:t>符合设计要求</w:t>
            </w:r>
          </w:p>
        </w:tc>
        <w:tc>
          <w:tcPr>
            <w:tcW w:w="2585" w:type="dxa"/>
            <w:noWrap w:val="0"/>
            <w:vAlign w:val="center"/>
          </w:tcPr>
          <w:p>
            <w:pPr>
              <w:jc w:val="center"/>
            </w:pPr>
            <w:r>
              <w:t>GB 8624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1059" w:type="dxa"/>
            <w:vMerge w:val="restart"/>
            <w:noWrap w:val="0"/>
            <w:vAlign w:val="center"/>
          </w:tcPr>
          <w:p>
            <w:pPr>
              <w:jc w:val="center"/>
              <w:rPr>
                <w:rFonts w:ascii="宋体" w:hAnsi="宋体" w:cs="宋体"/>
              </w:rPr>
            </w:pPr>
            <w:r>
              <w:rPr>
                <w:rFonts w:hint="eastAsia" w:ascii="宋体" w:hAnsi="宋体" w:eastAsia="宋体" w:cs="宋体"/>
              </w:rPr>
              <w:t>9</w:t>
            </w:r>
          </w:p>
        </w:tc>
        <w:tc>
          <w:tcPr>
            <w:tcW w:w="3450" w:type="dxa"/>
            <w:noWrap w:val="0"/>
            <w:vAlign w:val="center"/>
          </w:tcPr>
          <w:p>
            <w:pPr>
              <w:jc w:val="center"/>
            </w:pPr>
            <w:r>
              <w:t>空气声隔声测量，dB</w:t>
            </w:r>
          </w:p>
        </w:tc>
        <w:tc>
          <w:tcPr>
            <w:tcW w:w="2205" w:type="dxa"/>
            <w:noWrap w:val="0"/>
            <w:vAlign w:val="center"/>
          </w:tcPr>
          <w:p>
            <w:pPr>
              <w:jc w:val="center"/>
            </w:pPr>
            <w:r>
              <w:rPr>
                <w:rFonts w:hint="eastAsia" w:eastAsia="新宋体"/>
                <w:szCs w:val="21"/>
              </w:rPr>
              <w:t>≥</w:t>
            </w:r>
            <w:r>
              <w:t>45</w:t>
            </w:r>
          </w:p>
        </w:tc>
        <w:tc>
          <w:tcPr>
            <w:tcW w:w="2585" w:type="dxa"/>
            <w:noWrap w:val="0"/>
            <w:vAlign w:val="center"/>
          </w:tcPr>
          <w:p>
            <w:pPr>
              <w:jc w:val="center"/>
            </w:pPr>
            <w:r>
              <w:t>GB/T 19889.</w:t>
            </w:r>
            <w:r>
              <w:rPr>
                <w:rFonts w:hint="eastAsia"/>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59" w:type="dxa"/>
            <w:vMerge w:val="continue"/>
            <w:noWrap w:val="0"/>
            <w:vAlign w:val="center"/>
          </w:tcPr>
          <w:p/>
        </w:tc>
        <w:tc>
          <w:tcPr>
            <w:tcW w:w="3450" w:type="dxa"/>
            <w:noWrap w:val="0"/>
            <w:vAlign w:val="center"/>
          </w:tcPr>
          <w:p>
            <w:pPr>
              <w:jc w:val="center"/>
            </w:pPr>
            <w:r>
              <w:rPr>
                <w:rFonts w:hint="eastAsia"/>
              </w:rPr>
              <w:t>密封性能、水密性能、抗风压性能（外墙板设计有要求时）</w:t>
            </w:r>
          </w:p>
        </w:tc>
        <w:tc>
          <w:tcPr>
            <w:tcW w:w="2205" w:type="dxa"/>
            <w:noWrap w:val="0"/>
            <w:vAlign w:val="center"/>
          </w:tcPr>
          <w:p>
            <w:pPr>
              <w:jc w:val="center"/>
            </w:pPr>
            <w:r>
              <w:t>符合设计要求</w:t>
            </w:r>
          </w:p>
        </w:tc>
        <w:tc>
          <w:tcPr>
            <w:tcW w:w="2585" w:type="dxa"/>
            <w:noWrap w:val="0"/>
            <w:vAlign w:val="center"/>
          </w:tcPr>
          <w:p>
            <w:pPr>
              <w:jc w:val="center"/>
            </w:pPr>
            <w:r>
              <w:rPr>
                <w:rFonts w:hint="eastAsia"/>
              </w:rPr>
              <w:t>GB/T 15227</w:t>
            </w:r>
          </w:p>
        </w:tc>
      </w:tr>
    </w:tbl>
    <w:p>
      <w:pPr>
        <w:pStyle w:val="167"/>
      </w:pPr>
      <w:r>
        <w:rPr>
          <w:rFonts w:hint="eastAsia" w:ascii="宋体" w:hAnsi="宋体" w:eastAsia="宋体" w:cs="Times New Roman"/>
          <w:lang w:val="en-US" w:eastAsia="zh-CN"/>
        </w:rPr>
        <w:t>预制阳台板及预制空调板的性能应符合表23的规定</w:t>
      </w:r>
      <w:r>
        <w:rPr>
          <w:rFonts w:hint="eastAsia" w:hAnsi="宋体" w:cs="Times New Roman"/>
          <w:lang w:val="en-US" w:eastAsia="zh-CN"/>
        </w:rPr>
        <w:t>。</w:t>
      </w:r>
    </w:p>
    <w:p>
      <w:pPr>
        <w:spacing w:line="360" w:lineRule="auto"/>
        <w:jc w:val="center"/>
        <w:rPr>
          <w:b/>
          <w:bCs/>
          <w:sz w:val="24"/>
        </w:rPr>
      </w:pPr>
      <w:bookmarkStart w:id="102" w:name="_Toc531952472"/>
      <w:r>
        <w:rPr>
          <w:rFonts w:hint="eastAsia" w:ascii="宋体" w:hAnsi="宋体" w:eastAsia="宋体" w:cs="Times New Roman"/>
          <w:color w:val="000000"/>
          <w:kern w:val="2"/>
          <w:sz w:val="21"/>
          <w:szCs w:val="21"/>
          <w:lang w:val="en-US" w:eastAsia="zh-CN" w:bidi="ar-SA"/>
        </w:rPr>
        <w:t>表23 预制阳台板及预制空调板性能</w:t>
      </w:r>
      <w:bookmarkEnd w:id="102"/>
    </w:p>
    <w:tbl>
      <w:tblPr>
        <w:tblStyle w:val="27"/>
        <w:tblW w:w="925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3434"/>
        <w:gridCol w:w="2233"/>
        <w:gridCol w:w="253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 w:hRule="atLeast"/>
          <w:tblHeader/>
          <w:jc w:val="center"/>
        </w:trPr>
        <w:tc>
          <w:tcPr>
            <w:tcW w:w="1053" w:type="dxa"/>
            <w:noWrap w:val="0"/>
            <w:vAlign w:val="center"/>
          </w:tcPr>
          <w:p>
            <w:pPr>
              <w:jc w:val="center"/>
            </w:pPr>
            <w:r>
              <w:rPr>
                <w:rFonts w:hint="eastAsia"/>
              </w:rPr>
              <w:t>项次</w:t>
            </w:r>
          </w:p>
        </w:tc>
        <w:tc>
          <w:tcPr>
            <w:tcW w:w="3434" w:type="dxa"/>
            <w:noWrap w:val="0"/>
            <w:vAlign w:val="center"/>
          </w:tcPr>
          <w:p>
            <w:pPr>
              <w:jc w:val="center"/>
            </w:pPr>
            <w:r>
              <w:rPr>
                <w:rFonts w:hint="eastAsia"/>
              </w:rPr>
              <w:t>检验项目</w:t>
            </w:r>
          </w:p>
        </w:tc>
        <w:tc>
          <w:tcPr>
            <w:tcW w:w="2233" w:type="dxa"/>
            <w:noWrap w:val="0"/>
            <w:vAlign w:val="center"/>
          </w:tcPr>
          <w:p>
            <w:pPr>
              <w:jc w:val="center"/>
            </w:pPr>
            <w:r>
              <w:t>指  标</w:t>
            </w:r>
          </w:p>
        </w:tc>
        <w:tc>
          <w:tcPr>
            <w:tcW w:w="2536" w:type="dxa"/>
            <w:noWrap w:val="0"/>
            <w:vAlign w:val="center"/>
          </w:tcPr>
          <w:p>
            <w:pPr>
              <w:jc w:val="center"/>
            </w:pPr>
            <w:r>
              <w:t>试验方法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053" w:type="dxa"/>
            <w:noWrap w:val="0"/>
            <w:vAlign w:val="center"/>
          </w:tcPr>
          <w:p>
            <w:pPr>
              <w:pStyle w:val="233"/>
              <w:widowControl w:val="0"/>
              <w:spacing w:beforeLines="0" w:afterLines="0"/>
              <w:ind w:left="0" w:firstLine="0" w:firstLineChars="0"/>
              <w:jc w:val="center"/>
              <w:rPr>
                <w:rFonts w:ascii="宋体" w:hAnsi="宋体" w:cs="宋体"/>
              </w:rPr>
            </w:pPr>
            <w:r>
              <w:rPr>
                <w:rFonts w:hint="eastAsia" w:ascii="宋体" w:hAnsi="宋体" w:cs="宋体"/>
              </w:rPr>
              <w:t>1</w:t>
            </w:r>
          </w:p>
        </w:tc>
        <w:tc>
          <w:tcPr>
            <w:tcW w:w="3434" w:type="dxa"/>
            <w:noWrap w:val="0"/>
            <w:vAlign w:val="center"/>
          </w:tcPr>
          <w:p>
            <w:pPr>
              <w:jc w:val="center"/>
            </w:pPr>
            <w:r>
              <w:rPr>
                <w:rFonts w:hint="eastAsia"/>
              </w:rPr>
              <w:t>混凝土强度</w:t>
            </w:r>
            <w:r>
              <w:t>，MPa</w:t>
            </w:r>
          </w:p>
        </w:tc>
        <w:tc>
          <w:tcPr>
            <w:tcW w:w="2233" w:type="dxa"/>
            <w:noWrap w:val="0"/>
            <w:vAlign w:val="center"/>
          </w:tcPr>
          <w:p>
            <w:pPr>
              <w:jc w:val="center"/>
            </w:pPr>
            <w:r>
              <w:rPr>
                <w:rFonts w:hint="eastAsia"/>
              </w:rPr>
              <w:t>不应低于设计要求</w:t>
            </w:r>
          </w:p>
        </w:tc>
        <w:tc>
          <w:tcPr>
            <w:tcW w:w="2536" w:type="dxa"/>
            <w:noWrap w:val="0"/>
            <w:vAlign w:val="center"/>
          </w:tcPr>
          <w:p>
            <w:pPr>
              <w:jc w:val="center"/>
            </w:pPr>
            <w:r>
              <w:t>GB/T 50081</w:t>
            </w:r>
            <w:r>
              <w:rPr>
                <w:rFonts w:hint="eastAsia"/>
              </w:rPr>
              <w:t>、</w:t>
            </w:r>
            <w:r>
              <w:t>JGJ/T 23</w:t>
            </w:r>
            <w:r>
              <w:rPr>
                <w:rFonts w:hint="eastAsia"/>
              </w:rPr>
              <w:t>或</w:t>
            </w:r>
          </w:p>
          <w:p>
            <w:pPr>
              <w:jc w:val="center"/>
            </w:pPr>
            <w:r>
              <w:rPr>
                <w:szCs w:val="21"/>
              </w:rPr>
              <w:t>JGJ/T 378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053" w:type="dxa"/>
            <w:noWrap w:val="0"/>
            <w:vAlign w:val="center"/>
          </w:tcPr>
          <w:p>
            <w:pPr>
              <w:pStyle w:val="233"/>
              <w:widowControl w:val="0"/>
              <w:spacing w:beforeLines="0" w:afterLines="0"/>
              <w:ind w:left="0" w:firstLine="0" w:firstLineChars="0"/>
              <w:jc w:val="center"/>
              <w:rPr>
                <w:rFonts w:ascii="宋体" w:hAnsi="宋体" w:cs="宋体"/>
                <w:szCs w:val="21"/>
              </w:rPr>
            </w:pPr>
            <w:r>
              <w:rPr>
                <w:rFonts w:hint="eastAsia" w:ascii="宋体" w:hAnsi="宋体" w:cs="宋体"/>
                <w:szCs w:val="21"/>
              </w:rPr>
              <w:t>2</w:t>
            </w:r>
          </w:p>
        </w:tc>
        <w:tc>
          <w:tcPr>
            <w:tcW w:w="3434" w:type="dxa"/>
            <w:noWrap w:val="0"/>
            <w:vAlign w:val="center"/>
          </w:tcPr>
          <w:p>
            <w:pPr>
              <w:jc w:val="center"/>
            </w:pPr>
            <w:r>
              <w:t>钢筋保护层厚度，mm</w:t>
            </w:r>
          </w:p>
        </w:tc>
        <w:tc>
          <w:tcPr>
            <w:tcW w:w="2233" w:type="dxa"/>
            <w:noWrap w:val="0"/>
            <w:vAlign w:val="center"/>
          </w:tcPr>
          <w:p>
            <w:pPr>
              <w:jc w:val="center"/>
            </w:pPr>
            <w:r>
              <w:rPr>
                <w:rFonts w:hint="eastAsia"/>
                <w:szCs w:val="21"/>
              </w:rPr>
              <w:t>+</w:t>
            </w:r>
            <w:r>
              <w:t>8，</w:t>
            </w:r>
            <w:r>
              <w:rPr>
                <w:rFonts w:hint="eastAsia"/>
                <w:szCs w:val="21"/>
              </w:rPr>
              <w:t>-</w:t>
            </w:r>
            <w:r>
              <w:t>5</w:t>
            </w:r>
          </w:p>
        </w:tc>
        <w:tc>
          <w:tcPr>
            <w:tcW w:w="2536" w:type="dxa"/>
            <w:vMerge w:val="restart"/>
            <w:noWrap w:val="0"/>
            <w:vAlign w:val="center"/>
          </w:tcPr>
          <w:p>
            <w:pPr>
              <w:jc w:val="center"/>
            </w:pPr>
            <w: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053" w:type="dxa"/>
            <w:noWrap w:val="0"/>
            <w:vAlign w:val="center"/>
          </w:tcPr>
          <w:p>
            <w:pPr>
              <w:pStyle w:val="233"/>
              <w:widowControl w:val="0"/>
              <w:spacing w:beforeLines="0" w:afterLines="0"/>
              <w:ind w:left="0" w:firstLine="0" w:firstLineChars="0"/>
              <w:jc w:val="center"/>
              <w:rPr>
                <w:rFonts w:ascii="宋体" w:hAnsi="宋体" w:cs="宋体"/>
                <w:szCs w:val="21"/>
              </w:rPr>
            </w:pPr>
            <w:r>
              <w:rPr>
                <w:rFonts w:hint="eastAsia" w:ascii="宋体" w:hAnsi="宋体" w:cs="宋体"/>
                <w:szCs w:val="21"/>
              </w:rPr>
              <w:t>3</w:t>
            </w:r>
          </w:p>
        </w:tc>
        <w:tc>
          <w:tcPr>
            <w:tcW w:w="3434" w:type="dxa"/>
            <w:noWrap w:val="0"/>
            <w:vAlign w:val="center"/>
          </w:tcPr>
          <w:p>
            <w:pPr>
              <w:jc w:val="center"/>
            </w:pPr>
            <w:r>
              <w:t>钢筋间距，mm</w:t>
            </w:r>
          </w:p>
        </w:tc>
        <w:tc>
          <w:tcPr>
            <w:tcW w:w="2233" w:type="dxa"/>
            <w:noWrap w:val="0"/>
            <w:vAlign w:val="center"/>
          </w:tcPr>
          <w:p>
            <w:pPr>
              <w:jc w:val="center"/>
            </w:pPr>
            <w:r>
              <w:rPr>
                <w:rFonts w:hint="eastAsia"/>
                <w:szCs w:val="21"/>
              </w:rPr>
              <w:t>±</w:t>
            </w:r>
            <w:r>
              <w:t>10</w:t>
            </w:r>
          </w:p>
        </w:tc>
        <w:tc>
          <w:tcPr>
            <w:tcW w:w="2536"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053" w:type="dxa"/>
            <w:noWrap w:val="0"/>
            <w:vAlign w:val="center"/>
          </w:tcPr>
          <w:p>
            <w:pPr>
              <w:pStyle w:val="233"/>
              <w:widowControl w:val="0"/>
              <w:spacing w:beforeLines="0" w:afterLines="0"/>
              <w:ind w:left="0" w:firstLine="0" w:firstLineChars="0"/>
              <w:jc w:val="center"/>
              <w:rPr>
                <w:rFonts w:ascii="宋体" w:hAnsi="宋体" w:cs="宋体"/>
                <w:szCs w:val="21"/>
              </w:rPr>
            </w:pPr>
            <w:r>
              <w:rPr>
                <w:rFonts w:hint="eastAsia" w:ascii="宋体" w:hAnsi="宋体" w:cs="宋体"/>
                <w:szCs w:val="21"/>
              </w:rPr>
              <w:t>4</w:t>
            </w:r>
          </w:p>
        </w:tc>
        <w:tc>
          <w:tcPr>
            <w:tcW w:w="3434" w:type="dxa"/>
            <w:noWrap w:val="0"/>
            <w:vAlign w:val="center"/>
          </w:tcPr>
          <w:p>
            <w:pPr>
              <w:jc w:val="center"/>
            </w:pPr>
            <w:r>
              <w:t>钢筋直径</w:t>
            </w:r>
            <w:r>
              <w:rPr>
                <w:rFonts w:hint="eastAsia"/>
              </w:rPr>
              <w:t>，mm</w:t>
            </w:r>
          </w:p>
        </w:tc>
        <w:tc>
          <w:tcPr>
            <w:tcW w:w="2233" w:type="dxa"/>
            <w:vMerge w:val="restart"/>
            <w:noWrap w:val="0"/>
            <w:vAlign w:val="center"/>
          </w:tcPr>
          <w:p>
            <w:pPr>
              <w:jc w:val="center"/>
            </w:pPr>
            <w:r>
              <w:t>符合设计要求</w:t>
            </w:r>
          </w:p>
        </w:tc>
        <w:tc>
          <w:tcPr>
            <w:tcW w:w="2536" w:type="dxa"/>
            <w:vMerge w:val="restart"/>
            <w:noWrap w:val="0"/>
            <w:vAlign w:val="center"/>
          </w:tcPr>
          <w:p>
            <w:pPr>
              <w:jc w:val="center"/>
            </w:pPr>
            <w:r>
              <w:t>JGJ/T 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053" w:type="dxa"/>
            <w:noWrap w:val="0"/>
            <w:vAlign w:val="center"/>
          </w:tcPr>
          <w:p>
            <w:pPr>
              <w:pStyle w:val="233"/>
              <w:widowControl w:val="0"/>
              <w:spacing w:beforeLines="0" w:afterLines="0"/>
              <w:ind w:left="0" w:firstLine="0" w:firstLineChars="0"/>
              <w:jc w:val="center"/>
              <w:rPr>
                <w:rFonts w:ascii="宋体" w:hAnsi="宋体" w:cs="宋体"/>
                <w:szCs w:val="21"/>
              </w:rPr>
            </w:pPr>
            <w:r>
              <w:rPr>
                <w:rFonts w:hint="eastAsia" w:ascii="宋体" w:hAnsi="宋体" w:cs="宋体"/>
                <w:szCs w:val="21"/>
              </w:rPr>
              <w:t>5</w:t>
            </w:r>
          </w:p>
        </w:tc>
        <w:tc>
          <w:tcPr>
            <w:tcW w:w="3434" w:type="dxa"/>
            <w:noWrap w:val="0"/>
            <w:vAlign w:val="center"/>
          </w:tcPr>
          <w:p>
            <w:pPr>
              <w:jc w:val="center"/>
            </w:pPr>
            <w:r>
              <w:rPr>
                <w:rFonts w:hint="eastAsia"/>
              </w:rPr>
              <w:t>主受力钢筋数量</w:t>
            </w:r>
          </w:p>
        </w:tc>
        <w:tc>
          <w:tcPr>
            <w:tcW w:w="2233" w:type="dxa"/>
            <w:vMerge w:val="continue"/>
            <w:noWrap w:val="0"/>
            <w:vAlign w:val="center"/>
          </w:tcPr>
          <w:p>
            <w:pPr>
              <w:jc w:val="center"/>
            </w:pPr>
          </w:p>
        </w:tc>
        <w:tc>
          <w:tcPr>
            <w:tcW w:w="2536"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 w:hRule="atLeast"/>
          <w:jc w:val="center"/>
        </w:trPr>
        <w:tc>
          <w:tcPr>
            <w:tcW w:w="1053" w:type="dxa"/>
            <w:noWrap w:val="0"/>
            <w:vAlign w:val="center"/>
          </w:tcPr>
          <w:p>
            <w:pPr>
              <w:pStyle w:val="233"/>
              <w:widowControl w:val="0"/>
              <w:spacing w:beforeLines="0" w:afterLines="0"/>
              <w:ind w:left="0" w:firstLine="0" w:firstLineChars="0"/>
              <w:jc w:val="center"/>
              <w:rPr>
                <w:rFonts w:ascii="宋体" w:hAnsi="宋体" w:cs="宋体"/>
                <w:szCs w:val="21"/>
              </w:rPr>
            </w:pPr>
            <w:r>
              <w:rPr>
                <w:rFonts w:hint="eastAsia" w:ascii="宋体" w:hAnsi="宋体" w:cs="宋体"/>
                <w:szCs w:val="21"/>
              </w:rPr>
              <w:t>6</w:t>
            </w:r>
          </w:p>
        </w:tc>
        <w:tc>
          <w:tcPr>
            <w:tcW w:w="3434" w:type="dxa"/>
            <w:noWrap w:val="0"/>
            <w:vAlign w:val="center"/>
          </w:tcPr>
          <w:p>
            <w:pPr>
              <w:jc w:val="center"/>
            </w:pPr>
            <w:r>
              <w:t>吊装孔抗拔力，kN</w:t>
            </w:r>
          </w:p>
        </w:tc>
        <w:tc>
          <w:tcPr>
            <w:tcW w:w="2233" w:type="dxa"/>
            <w:noWrap w:val="0"/>
            <w:vAlign w:val="center"/>
          </w:tcPr>
          <w:p>
            <w:pPr>
              <w:jc w:val="center"/>
            </w:pPr>
            <w:r>
              <w:rPr>
                <w:rFonts w:hint="eastAsia" w:eastAsia="新宋体"/>
                <w:szCs w:val="21"/>
              </w:rPr>
              <w:t>≥</w:t>
            </w:r>
            <w:r>
              <w:t>设计值</w:t>
            </w:r>
          </w:p>
        </w:tc>
        <w:tc>
          <w:tcPr>
            <w:tcW w:w="2536" w:type="dxa"/>
            <w:noWrap w:val="0"/>
            <w:vAlign w:val="center"/>
          </w:tcPr>
          <w:p>
            <w:pPr>
              <w:jc w:val="center"/>
            </w:pPr>
            <w:r>
              <w:rPr>
                <w:rFonts w:hint="eastAsia" w:ascii="Times New Roman" w:hAnsi="Times New Roman" w:cs="Times New Roman"/>
                <w:szCs w:val="21"/>
                <w:lang w:val="en-US" w:eastAsia="zh-CN"/>
              </w:rPr>
              <w:t>DB32/T 3754</w:t>
            </w:r>
          </w:p>
        </w:tc>
      </w:tr>
    </w:tbl>
    <w:p>
      <w:pPr>
        <w:pStyle w:val="107"/>
        <w:spacing w:before="156" w:after="156"/>
        <w:rPr>
          <w:rFonts w:hint="eastAsia"/>
          <w:lang w:val="en-US" w:eastAsia="zh-CN"/>
        </w:rPr>
      </w:pPr>
      <w:r>
        <w:rPr>
          <w:rFonts w:hint="eastAsia"/>
          <w:lang w:val="en-US" w:eastAsia="zh-CN"/>
        </w:rPr>
        <w:t>检验规则</w:t>
      </w:r>
    </w:p>
    <w:p>
      <w:pPr>
        <w:pStyle w:val="167"/>
        <w:rPr>
          <w:rFonts w:hint="eastAsia"/>
          <w:lang w:val="en-US" w:eastAsia="zh-CN"/>
        </w:rPr>
      </w:pPr>
      <w:r>
        <w:rPr>
          <w:rFonts w:hint="eastAsia" w:ascii="宋体" w:hAnsi="宋体" w:eastAsia="宋体"/>
        </w:rPr>
        <w:t>检验分类</w:t>
      </w:r>
      <w:r>
        <w:rPr>
          <w:rFonts w:hint="eastAsia" w:hAnsi="宋体" w:cs="Times New Roman"/>
          <w:lang w:val="en-US" w:eastAsia="zh-CN"/>
        </w:rPr>
        <w:t>。</w:t>
      </w:r>
    </w:p>
    <w:p>
      <w:pPr>
        <w:pStyle w:val="167"/>
        <w:numPr>
          <w:ilvl w:val="3"/>
          <w:numId w:val="0"/>
        </w:numPr>
        <w:ind w:firstLine="420" w:firstLineChars="200"/>
        <w:rPr>
          <w:rFonts w:hint="eastAsia"/>
          <w:shd w:val="clear" w:color="auto" w:fill="FFFFFF"/>
          <w:lang w:eastAsia="zh-CN"/>
        </w:rPr>
      </w:pPr>
      <w:r>
        <w:rPr>
          <w:rFonts w:hint="eastAsia"/>
          <w:shd w:val="clear" w:color="auto" w:fill="FFFFFF"/>
        </w:rPr>
        <w:t>产品的检验分为出厂检验和型式检验</w:t>
      </w:r>
      <w:r>
        <w:rPr>
          <w:rFonts w:hint="eastAsia"/>
          <w:shd w:val="clear" w:color="auto" w:fill="FFFFFF"/>
          <w:lang w:eastAsia="zh-CN"/>
        </w:rPr>
        <w:t>。</w:t>
      </w:r>
    </w:p>
    <w:p>
      <w:pPr>
        <w:pStyle w:val="167"/>
        <w:rPr>
          <w:rFonts w:hint="eastAsia"/>
          <w:lang w:val="en-US" w:eastAsia="zh-CN"/>
        </w:rPr>
      </w:pPr>
      <w:r>
        <w:rPr>
          <w:rFonts w:hint="eastAsia" w:ascii="宋体" w:hAnsi="宋体" w:eastAsia="宋体"/>
        </w:rPr>
        <w:t>出厂</w:t>
      </w:r>
      <w:r>
        <w:rPr>
          <w:rFonts w:hint="eastAsia" w:hAnsi="宋体"/>
          <w:lang w:val="en-US" w:eastAsia="zh-CN"/>
        </w:rPr>
        <w:t>检验</w:t>
      </w:r>
    </w:p>
    <w:p>
      <w:pPr>
        <w:pStyle w:val="167"/>
        <w:numPr>
          <w:ilvl w:val="3"/>
          <w:numId w:val="0"/>
        </w:numPr>
        <w:ind w:leftChars="0" w:firstLine="420" w:firstLineChars="200"/>
        <w:rPr>
          <w:rFonts w:hint="eastAsia" w:eastAsia="宋体"/>
          <w:lang w:val="en-US" w:eastAsia="zh-CN"/>
        </w:rPr>
      </w:pPr>
      <w:r>
        <w:rPr>
          <w:rFonts w:hint="eastAsia"/>
          <w:shd w:val="clear" w:color="auto" w:fill="FFFFFF"/>
        </w:rPr>
        <w:t>出厂检验项目包括外观质量、尺寸偏差、混凝土抗压强度、钢筋保护层厚度</w:t>
      </w:r>
      <w:r>
        <w:rPr>
          <w:rFonts w:hint="eastAsia"/>
          <w:shd w:val="clear" w:color="auto" w:fill="FFFFFF"/>
          <w:lang w:eastAsia="zh-CN"/>
        </w:rPr>
        <w:t>。</w:t>
      </w:r>
    </w:p>
    <w:p>
      <w:pPr>
        <w:pStyle w:val="167"/>
        <w:rPr>
          <w:rFonts w:hint="eastAsia"/>
          <w:lang w:val="en-US" w:eastAsia="zh-CN"/>
        </w:rPr>
      </w:pPr>
      <w:r>
        <w:rPr>
          <w:rFonts w:hint="eastAsia" w:ascii="宋体" w:hAnsi="宋体" w:eastAsia="宋体"/>
        </w:rPr>
        <w:t>型式</w:t>
      </w:r>
      <w:r>
        <w:rPr>
          <w:rFonts w:hint="eastAsia" w:hAnsi="宋体"/>
          <w:lang w:val="en-US" w:eastAsia="zh-CN"/>
        </w:rPr>
        <w:t>检验</w:t>
      </w:r>
    </w:p>
    <w:p>
      <w:pPr>
        <w:pStyle w:val="167"/>
        <w:numPr>
          <w:ilvl w:val="3"/>
          <w:numId w:val="0"/>
        </w:numPr>
        <w:ind w:leftChars="0" w:firstLine="420" w:firstLineChars="200"/>
        <w:rPr>
          <w:rFonts w:hint="eastAsia" w:eastAsia="宋体"/>
          <w:lang w:val="en-US" w:eastAsia="zh-CN"/>
        </w:rPr>
      </w:pPr>
      <w:r>
        <w:rPr>
          <w:rFonts w:hint="eastAsia" w:hAnsi="宋体"/>
        </w:rPr>
        <w:t>型式</w:t>
      </w:r>
      <w:r>
        <w:rPr>
          <w:rFonts w:hint="eastAsia"/>
          <w:shd w:val="clear" w:color="auto" w:fill="FFFFFF"/>
        </w:rPr>
        <w:t>检验项目为8.2中规定的项目</w:t>
      </w:r>
      <w:r>
        <w:rPr>
          <w:rFonts w:hint="eastAsia"/>
          <w:shd w:val="clear" w:color="auto" w:fill="FFFFFF"/>
          <w:lang w:eastAsia="zh-CN"/>
        </w:rPr>
        <w:t>。</w:t>
      </w:r>
    </w:p>
    <w:p>
      <w:pPr>
        <w:pStyle w:val="167"/>
        <w:rPr>
          <w:rFonts w:hint="eastAsia"/>
          <w:lang w:val="en-US" w:eastAsia="zh-CN"/>
        </w:rPr>
      </w:pPr>
      <w:r>
        <w:rPr>
          <w:rFonts w:hint="eastAsia" w:ascii="宋体" w:hAnsi="宋体" w:eastAsia="宋体"/>
        </w:rPr>
        <w:t>组批</w:t>
      </w:r>
      <w:r>
        <w:rPr>
          <w:rFonts w:hint="eastAsia" w:hAnsi="宋体"/>
          <w:lang w:val="en-US" w:eastAsia="zh-CN"/>
        </w:rPr>
        <w:t>与抽样</w:t>
      </w:r>
    </w:p>
    <w:p>
      <w:pPr>
        <w:pStyle w:val="233"/>
        <w:ind w:left="850" w:leftChars="203" w:hanging="424" w:firstLineChars="0"/>
        <w:rPr>
          <w:shd w:val="clear" w:color="auto" w:fill="FFFFFF"/>
        </w:rPr>
      </w:pPr>
      <w:r>
        <w:rPr>
          <w:rFonts w:hint="eastAsia"/>
          <w:shd w:val="clear" w:color="auto" w:fill="FFFFFF"/>
        </w:rPr>
        <w:t>组批</w:t>
      </w:r>
    </w:p>
    <w:p>
      <w:pPr>
        <w:pStyle w:val="167"/>
        <w:numPr>
          <w:ilvl w:val="3"/>
          <w:numId w:val="0"/>
        </w:numPr>
        <w:ind w:leftChars="0" w:firstLine="420" w:firstLineChars="200"/>
        <w:rPr>
          <w:rFonts w:hint="eastAsia"/>
          <w:shd w:val="clear" w:color="auto" w:fill="FFFFFF"/>
          <w:lang w:eastAsia="zh-CN"/>
        </w:rPr>
      </w:pPr>
      <w:r>
        <w:rPr>
          <w:rFonts w:hint="eastAsia"/>
          <w:shd w:val="clear" w:color="auto" w:fill="FFFFFF"/>
        </w:rPr>
        <w:t>以相同原材料、相同配合比、相同生产工艺和相同结构形式连续生产的产品为一批，一批的最大数量为</w:t>
      </w:r>
      <w:r>
        <w:rPr>
          <w:shd w:val="clear" w:color="auto" w:fill="FFFFFF"/>
        </w:rPr>
        <w:t>1000</w:t>
      </w:r>
      <w:r>
        <w:rPr>
          <w:rFonts w:hint="eastAsia"/>
          <w:shd w:val="clear" w:color="auto" w:fill="FFFFFF"/>
        </w:rPr>
        <w:t>件</w:t>
      </w:r>
      <w:r>
        <w:rPr>
          <w:rFonts w:hint="eastAsia"/>
          <w:shd w:val="clear" w:color="auto" w:fill="FFFFFF"/>
          <w:lang w:eastAsia="zh-CN"/>
        </w:rPr>
        <w:t>。</w:t>
      </w:r>
    </w:p>
    <w:p>
      <w:pPr>
        <w:pStyle w:val="233"/>
        <w:ind w:left="850" w:leftChars="203" w:hanging="424" w:firstLineChars="0"/>
        <w:rPr>
          <w:shd w:val="clear" w:color="auto" w:fill="FFFFFF"/>
        </w:rPr>
      </w:pPr>
      <w:r>
        <w:rPr>
          <w:rFonts w:hint="eastAsia"/>
          <w:shd w:val="clear" w:color="auto" w:fill="FFFFFF"/>
        </w:rPr>
        <w:t>抽样</w:t>
      </w:r>
    </w:p>
    <w:p>
      <w:pPr>
        <w:pStyle w:val="167"/>
        <w:numPr>
          <w:ilvl w:val="3"/>
          <w:numId w:val="0"/>
        </w:numPr>
        <w:ind w:leftChars="0" w:firstLine="420" w:firstLineChars="200"/>
        <w:rPr>
          <w:rFonts w:hint="eastAsia"/>
          <w:shd w:val="clear" w:color="auto" w:fill="FFFFFF"/>
        </w:rPr>
      </w:pPr>
      <w:r>
        <w:rPr>
          <w:rFonts w:hint="eastAsia"/>
          <w:shd w:val="clear" w:color="auto" w:fill="FFFFFF"/>
        </w:rPr>
        <w:t>出厂检验抽样</w:t>
      </w:r>
    </w:p>
    <w:p>
      <w:pPr>
        <w:pStyle w:val="176"/>
        <w:numPr>
          <w:ilvl w:val="0"/>
          <w:numId w:val="46"/>
        </w:numPr>
      </w:pPr>
      <w:r>
        <w:rPr>
          <w:rFonts w:hint="eastAsia"/>
          <w:shd w:val="clear" w:color="auto" w:fill="FFFFFF"/>
        </w:rPr>
        <w:t>外观为逐件检验</w:t>
      </w:r>
      <w:r>
        <w:rPr>
          <w:rFonts w:hint="eastAsia"/>
          <w:shd w:val="clear" w:color="auto" w:fill="FFFFFF"/>
          <w:lang w:eastAsia="zh-CN"/>
        </w:rPr>
        <w:t>；</w:t>
      </w:r>
    </w:p>
    <w:p>
      <w:pPr>
        <w:pStyle w:val="176"/>
        <w:numPr>
          <w:ilvl w:val="0"/>
          <w:numId w:val="46"/>
        </w:numPr>
      </w:pPr>
      <w:r>
        <w:rPr>
          <w:rFonts w:hint="eastAsia"/>
          <w:shd w:val="clear" w:color="auto" w:fill="FFFFFF"/>
        </w:rPr>
        <w:t>尺寸偏差每批随机抽查10%，且不少于5件</w:t>
      </w:r>
      <w:r>
        <w:rPr>
          <w:rFonts w:hint="eastAsia"/>
          <w:shd w:val="clear" w:color="auto" w:fill="FFFFFF"/>
          <w:lang w:eastAsia="zh-CN"/>
        </w:rPr>
        <w:t>；</w:t>
      </w:r>
    </w:p>
    <w:p>
      <w:pPr>
        <w:pStyle w:val="176"/>
        <w:numPr>
          <w:ilvl w:val="0"/>
          <w:numId w:val="46"/>
        </w:numPr>
      </w:pPr>
      <w:r>
        <w:rPr>
          <w:rFonts w:hint="eastAsia"/>
          <w:shd w:val="clear" w:color="auto" w:fill="FFFFFF"/>
        </w:rPr>
        <w:t>钢筋保护层厚度检验不少于5件</w:t>
      </w:r>
      <w:r>
        <w:rPr>
          <w:rFonts w:hint="eastAsia"/>
          <w:shd w:val="clear" w:color="auto" w:fill="FFFFFF"/>
          <w:lang w:eastAsia="zh-CN"/>
        </w:rPr>
        <w:t>；</w:t>
      </w:r>
    </w:p>
    <w:p>
      <w:pPr>
        <w:pStyle w:val="176"/>
        <w:numPr>
          <w:ilvl w:val="0"/>
          <w:numId w:val="46"/>
        </w:numPr>
      </w:pPr>
      <w:r>
        <w:rPr>
          <w:rFonts w:hint="eastAsia"/>
          <w:shd w:val="clear" w:color="auto" w:fill="FFFFFF"/>
        </w:rPr>
        <w:t>混凝土强度不少于5件</w:t>
      </w:r>
      <w:r>
        <w:rPr>
          <w:rFonts w:hint="eastAsia"/>
          <w:shd w:val="clear" w:color="auto" w:fill="FFFFFF"/>
          <w:lang w:eastAsia="zh-CN"/>
        </w:rPr>
        <w:t>。</w:t>
      </w:r>
    </w:p>
    <w:p>
      <w:pPr>
        <w:pStyle w:val="233"/>
        <w:ind w:left="850" w:leftChars="203" w:hanging="424" w:firstLineChars="0"/>
        <w:rPr>
          <w:shd w:val="clear" w:color="auto" w:fill="FFFFFF"/>
        </w:rPr>
      </w:pPr>
      <w:r>
        <w:rPr>
          <w:rFonts w:hint="eastAsia"/>
          <w:shd w:val="clear" w:color="auto" w:fill="FFFFFF"/>
        </w:rPr>
        <w:t>型式检验抽样</w:t>
      </w:r>
    </w:p>
    <w:p>
      <w:pPr>
        <w:pStyle w:val="233"/>
        <w:ind w:left="850" w:leftChars="203" w:hanging="424" w:firstLineChars="0"/>
        <w:rPr>
          <w:rFonts w:hint="eastAsia"/>
          <w:shd w:val="clear" w:color="auto" w:fill="FFFFFF"/>
        </w:rPr>
      </w:pPr>
      <w:r>
        <w:rPr>
          <w:rFonts w:hint="eastAsia"/>
          <w:shd w:val="clear" w:color="auto" w:fill="FFFFFF"/>
        </w:rPr>
        <w:t>型式检验的样本应从出厂检验合格的产品中随机抽取，</w:t>
      </w:r>
      <w:r>
        <w:rPr>
          <w:shd w:val="clear" w:color="auto" w:fill="FFFFFF"/>
        </w:rPr>
        <w:t>具体见</w:t>
      </w:r>
      <w:r>
        <w:rPr>
          <w:rFonts w:hint="eastAsia"/>
          <w:shd w:val="clear" w:color="auto" w:fill="FFFFFF"/>
          <w:lang w:eastAsia="zh-CN"/>
        </w:rPr>
        <w:t>表2</w:t>
      </w:r>
      <w:r>
        <w:rPr>
          <w:rFonts w:hint="eastAsia"/>
          <w:shd w:val="clear" w:color="auto" w:fill="FFFFFF"/>
          <w:lang w:val="en-US" w:eastAsia="zh-CN"/>
        </w:rPr>
        <w:t>4</w:t>
      </w:r>
      <w:r>
        <w:rPr>
          <w:rFonts w:hint="eastAsia"/>
          <w:shd w:val="clear" w:color="auto" w:fill="FFFFFF"/>
        </w:rPr>
        <w:t>。</w:t>
      </w:r>
    </w:p>
    <w:p>
      <w:pPr>
        <w:pStyle w:val="242"/>
        <w:jc w:val="center"/>
      </w:pPr>
      <w:r>
        <w:rPr>
          <w:rFonts w:hint="eastAsia"/>
          <w:lang w:eastAsia="zh-CN"/>
        </w:rPr>
        <w:t>表2</w:t>
      </w:r>
      <w:r>
        <w:rPr>
          <w:rFonts w:hint="eastAsia"/>
          <w:lang w:val="en-US" w:eastAsia="zh-CN"/>
        </w:rPr>
        <w:t>4</w:t>
      </w:r>
      <w:r>
        <w:rPr>
          <w:rFonts w:hint="eastAsia"/>
        </w:rPr>
        <w:t xml:space="preserve"> 型式检验样品数量</w:t>
      </w:r>
    </w:p>
    <w:tbl>
      <w:tblPr>
        <w:tblStyle w:val="27"/>
        <w:tblW w:w="64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7"/>
        <w:gridCol w:w="3450"/>
        <w:gridCol w:w="21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tblHeader/>
          <w:jc w:val="center"/>
        </w:trPr>
        <w:tc>
          <w:tcPr>
            <w:tcW w:w="897" w:type="dxa"/>
            <w:noWrap w:val="0"/>
            <w:vAlign w:val="center"/>
          </w:tcPr>
          <w:p>
            <w:pPr>
              <w:jc w:val="center"/>
            </w:pPr>
            <w:r>
              <w:rPr>
                <w:rFonts w:hint="eastAsia"/>
              </w:rPr>
              <w:t>项次</w:t>
            </w:r>
          </w:p>
        </w:tc>
        <w:tc>
          <w:tcPr>
            <w:tcW w:w="3450" w:type="dxa"/>
            <w:noWrap w:val="0"/>
            <w:vAlign w:val="center"/>
          </w:tcPr>
          <w:p>
            <w:pPr>
              <w:jc w:val="center"/>
            </w:pPr>
            <w:r>
              <w:rPr>
                <w:rFonts w:hint="eastAsia"/>
              </w:rPr>
              <w:t>检验项目</w:t>
            </w:r>
          </w:p>
        </w:tc>
        <w:tc>
          <w:tcPr>
            <w:tcW w:w="2127" w:type="dxa"/>
            <w:noWrap w:val="0"/>
            <w:vAlign w:val="center"/>
          </w:tcPr>
          <w:p>
            <w:pPr>
              <w:jc w:val="center"/>
            </w:pPr>
            <w:r>
              <w:rPr>
                <w:rFonts w:hint="eastAsia"/>
              </w:rPr>
              <w:t>样品</w:t>
            </w:r>
            <w: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1</w:t>
            </w:r>
          </w:p>
        </w:tc>
        <w:tc>
          <w:tcPr>
            <w:tcW w:w="3450" w:type="dxa"/>
            <w:noWrap w:val="0"/>
            <w:vAlign w:val="center"/>
          </w:tcPr>
          <w:p>
            <w:pPr>
              <w:jc w:val="center"/>
            </w:pPr>
            <w:r>
              <w:rPr>
                <w:rFonts w:hint="eastAsia"/>
              </w:rPr>
              <w:t>外观质量</w:t>
            </w:r>
          </w:p>
        </w:tc>
        <w:tc>
          <w:tcPr>
            <w:tcW w:w="2127" w:type="dxa"/>
            <w:noWrap w:val="0"/>
            <w:vAlign w:val="center"/>
          </w:tcPr>
          <w:p>
            <w:pPr>
              <w:jc w:val="center"/>
            </w:pPr>
            <w:r>
              <w:rPr>
                <w:rFonts w:hint="eastAsia"/>
              </w:rPr>
              <w:t>全数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2</w:t>
            </w:r>
          </w:p>
        </w:tc>
        <w:tc>
          <w:tcPr>
            <w:tcW w:w="3450" w:type="dxa"/>
            <w:noWrap w:val="0"/>
            <w:vAlign w:val="center"/>
          </w:tcPr>
          <w:p>
            <w:pPr>
              <w:jc w:val="center"/>
            </w:pPr>
            <w:r>
              <w:rPr>
                <w:rFonts w:hint="eastAsia"/>
              </w:rPr>
              <w:t>尺寸偏差</w:t>
            </w:r>
          </w:p>
        </w:tc>
        <w:tc>
          <w:tcPr>
            <w:tcW w:w="2127" w:type="dxa"/>
            <w:noWrap w:val="0"/>
            <w:vAlign w:val="center"/>
          </w:tcPr>
          <w:p>
            <w:pPr>
              <w:jc w:val="center"/>
            </w:pPr>
            <w:r>
              <w:rPr>
                <w:rFonts w:hint="eastAsia" w:ascii="Times New Roman" w:hAnsi="Times New Roman" w:cs="Times New Roman"/>
                <w:sz w:val="21"/>
                <w:szCs w:val="24"/>
              </w:rPr>
              <w:t>随机抽查10%且</w:t>
            </w:r>
            <w:r>
              <w:rPr>
                <w:rFonts w:hint="eastAsia"/>
              </w:rPr>
              <w:t>不少于5件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3</w:t>
            </w:r>
          </w:p>
        </w:tc>
        <w:tc>
          <w:tcPr>
            <w:tcW w:w="3450" w:type="dxa"/>
            <w:noWrap w:val="0"/>
            <w:vAlign w:val="center"/>
          </w:tcPr>
          <w:p>
            <w:pPr>
              <w:jc w:val="center"/>
            </w:pPr>
            <w:r>
              <w:t>混凝土强度</w:t>
            </w:r>
          </w:p>
        </w:tc>
        <w:tc>
          <w:tcPr>
            <w:tcW w:w="2127" w:type="dxa"/>
            <w:vMerge w:val="restart"/>
            <w:noWrap w:val="0"/>
            <w:vAlign w:val="center"/>
          </w:tcPr>
          <w:p>
            <w:pPr>
              <w:jc w:val="center"/>
            </w:pPr>
            <w:r>
              <w:rPr>
                <w:rFonts w:hint="eastAsia"/>
              </w:rPr>
              <w:t>不少于5件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4</w:t>
            </w:r>
          </w:p>
        </w:tc>
        <w:tc>
          <w:tcPr>
            <w:tcW w:w="3450" w:type="dxa"/>
            <w:noWrap w:val="0"/>
            <w:vAlign w:val="center"/>
          </w:tcPr>
          <w:p>
            <w:pPr>
              <w:jc w:val="center"/>
            </w:pPr>
            <w:r>
              <w:t>钢筋保护层厚度</w:t>
            </w:r>
          </w:p>
        </w:tc>
        <w:tc>
          <w:tcPr>
            <w:tcW w:w="2127"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5</w:t>
            </w:r>
          </w:p>
        </w:tc>
        <w:tc>
          <w:tcPr>
            <w:tcW w:w="3450" w:type="dxa"/>
            <w:noWrap w:val="0"/>
            <w:vAlign w:val="center"/>
          </w:tcPr>
          <w:p>
            <w:pPr>
              <w:jc w:val="center"/>
            </w:pPr>
            <w:r>
              <w:t>钢筋间距</w:t>
            </w:r>
          </w:p>
        </w:tc>
        <w:tc>
          <w:tcPr>
            <w:tcW w:w="2127"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6</w:t>
            </w:r>
          </w:p>
        </w:tc>
        <w:tc>
          <w:tcPr>
            <w:tcW w:w="3450" w:type="dxa"/>
            <w:noWrap w:val="0"/>
            <w:vAlign w:val="center"/>
          </w:tcPr>
          <w:p>
            <w:pPr>
              <w:jc w:val="center"/>
            </w:pPr>
            <w:r>
              <w:t>钢筋直径</w:t>
            </w:r>
          </w:p>
        </w:tc>
        <w:tc>
          <w:tcPr>
            <w:tcW w:w="2127"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7</w:t>
            </w:r>
          </w:p>
        </w:tc>
        <w:tc>
          <w:tcPr>
            <w:tcW w:w="3450" w:type="dxa"/>
            <w:noWrap w:val="0"/>
            <w:vAlign w:val="center"/>
          </w:tcPr>
          <w:p>
            <w:pPr>
              <w:jc w:val="center"/>
            </w:pPr>
            <w:r>
              <w:rPr>
                <w:rFonts w:hint="eastAsia"/>
              </w:rPr>
              <w:t>主受力钢筋数量</w:t>
            </w:r>
          </w:p>
        </w:tc>
        <w:tc>
          <w:tcPr>
            <w:tcW w:w="2127"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8</w:t>
            </w:r>
          </w:p>
        </w:tc>
        <w:tc>
          <w:tcPr>
            <w:tcW w:w="3450" w:type="dxa"/>
            <w:noWrap w:val="0"/>
            <w:vAlign w:val="center"/>
          </w:tcPr>
          <w:p>
            <w:pPr>
              <w:jc w:val="center"/>
            </w:pPr>
            <w:r>
              <w:t>叠合板表面粗糙度</w:t>
            </w:r>
          </w:p>
        </w:tc>
        <w:tc>
          <w:tcPr>
            <w:tcW w:w="2127" w:type="dxa"/>
            <w:vMerge w:val="restart"/>
            <w:noWrap w:val="0"/>
            <w:vAlign w:val="center"/>
          </w:tcPr>
          <w:p>
            <w:pPr>
              <w:jc w:val="center"/>
            </w:pPr>
            <w:r>
              <w:rPr>
                <w:rFonts w:hint="eastAsia"/>
              </w:rPr>
              <w:t>不少于3件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9</w:t>
            </w:r>
          </w:p>
        </w:tc>
        <w:tc>
          <w:tcPr>
            <w:tcW w:w="3450" w:type="dxa"/>
            <w:noWrap w:val="0"/>
            <w:vAlign w:val="center"/>
          </w:tcPr>
          <w:p>
            <w:pPr>
              <w:jc w:val="center"/>
            </w:pPr>
            <w:r>
              <w:t>吊装件抗拔力</w:t>
            </w:r>
          </w:p>
        </w:tc>
        <w:tc>
          <w:tcPr>
            <w:tcW w:w="2127" w:type="dxa"/>
            <w:vMerge w:val="continue"/>
            <w:noWrap w:val="0"/>
            <w:vAlign w:val="center"/>
          </w:tcPr>
          <w:p>
            <w:pPr>
              <w:jc w:val="cente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10</w:t>
            </w:r>
          </w:p>
        </w:tc>
        <w:tc>
          <w:tcPr>
            <w:tcW w:w="3450" w:type="dxa"/>
            <w:noWrap w:val="0"/>
            <w:vAlign w:val="center"/>
          </w:tcPr>
          <w:p>
            <w:pPr>
              <w:jc w:val="center"/>
            </w:pPr>
            <w:r>
              <w:t>结构性能</w:t>
            </w:r>
          </w:p>
        </w:tc>
        <w:tc>
          <w:tcPr>
            <w:tcW w:w="2127" w:type="dxa"/>
            <w:noWrap w:val="0"/>
            <w:vAlign w:val="center"/>
          </w:tcPr>
          <w:p>
            <w:pPr>
              <w:jc w:val="center"/>
            </w:pPr>
            <w:r>
              <w:rPr>
                <w:rFonts w:hint="eastAsia"/>
              </w:rPr>
              <w:t>1件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11</w:t>
            </w:r>
          </w:p>
        </w:tc>
        <w:tc>
          <w:tcPr>
            <w:tcW w:w="3450" w:type="dxa"/>
            <w:noWrap w:val="0"/>
            <w:vAlign w:val="center"/>
          </w:tcPr>
          <w:p>
            <w:pPr>
              <w:jc w:val="center"/>
            </w:pPr>
            <w:r>
              <w:t>耐火极限</w:t>
            </w:r>
          </w:p>
        </w:tc>
        <w:tc>
          <w:tcPr>
            <w:tcW w:w="2127" w:type="dxa"/>
            <w:noWrap w:val="0"/>
            <w:vAlign w:val="center"/>
          </w:tcPr>
          <w:p>
            <w:pPr>
              <w:jc w:val="center"/>
            </w:pPr>
            <w:r>
              <w:rPr>
                <w:rFonts w:hint="eastAsia"/>
              </w:rPr>
              <w:t>1件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12</w:t>
            </w:r>
          </w:p>
        </w:tc>
        <w:tc>
          <w:tcPr>
            <w:tcW w:w="3450" w:type="dxa"/>
            <w:noWrap w:val="0"/>
            <w:vAlign w:val="center"/>
          </w:tcPr>
          <w:p>
            <w:pPr>
              <w:jc w:val="center"/>
            </w:pPr>
            <w:r>
              <w:t>空气声隔声测量</w:t>
            </w:r>
          </w:p>
        </w:tc>
        <w:tc>
          <w:tcPr>
            <w:tcW w:w="2127" w:type="dxa"/>
            <w:noWrap w:val="0"/>
            <w:vAlign w:val="center"/>
          </w:tcPr>
          <w:p>
            <w:pPr>
              <w:jc w:val="center"/>
            </w:pPr>
            <w:r>
              <w:rPr>
                <w:rFonts w:hint="eastAsia"/>
              </w:rPr>
              <w:t>1件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13</w:t>
            </w:r>
          </w:p>
        </w:tc>
        <w:tc>
          <w:tcPr>
            <w:tcW w:w="3450" w:type="dxa"/>
            <w:noWrap w:val="0"/>
            <w:vAlign w:val="center"/>
          </w:tcPr>
          <w:p>
            <w:pPr>
              <w:jc w:val="center"/>
            </w:pPr>
            <w:r>
              <w:t>热阻</w:t>
            </w:r>
          </w:p>
        </w:tc>
        <w:tc>
          <w:tcPr>
            <w:tcW w:w="2127" w:type="dxa"/>
            <w:noWrap w:val="0"/>
            <w:vAlign w:val="center"/>
          </w:tcPr>
          <w:p>
            <w:pPr>
              <w:jc w:val="center"/>
            </w:pPr>
            <w:r>
              <w:rPr>
                <w:rFonts w:hint="eastAsia"/>
              </w:rPr>
              <w:t>1件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97" w:type="dxa"/>
            <w:noWrap w:val="0"/>
            <w:vAlign w:val="center"/>
          </w:tcPr>
          <w:p>
            <w:pPr>
              <w:jc w:val="center"/>
            </w:pPr>
            <w:r>
              <w:rPr>
                <w:rFonts w:hint="eastAsia"/>
              </w:rPr>
              <w:t>14</w:t>
            </w:r>
          </w:p>
        </w:tc>
        <w:tc>
          <w:tcPr>
            <w:tcW w:w="3450" w:type="dxa"/>
            <w:noWrap w:val="0"/>
            <w:vAlign w:val="center"/>
          </w:tcPr>
          <w:p>
            <w:pPr>
              <w:jc w:val="center"/>
            </w:pPr>
            <w:r>
              <w:rPr>
                <w:rFonts w:hint="eastAsia"/>
              </w:rPr>
              <w:t>密封性能、水密性能、抗风压性能</w:t>
            </w:r>
          </w:p>
        </w:tc>
        <w:tc>
          <w:tcPr>
            <w:tcW w:w="2127" w:type="dxa"/>
            <w:noWrap w:val="0"/>
            <w:vAlign w:val="center"/>
          </w:tcPr>
          <w:p>
            <w:pPr>
              <w:jc w:val="center"/>
            </w:pPr>
            <w:r>
              <w:rPr>
                <w:rFonts w:hint="eastAsia"/>
              </w:rPr>
              <w:t>1组十字缝构件</w:t>
            </w:r>
          </w:p>
        </w:tc>
      </w:tr>
    </w:tbl>
    <w:p>
      <w:pPr>
        <w:pStyle w:val="233"/>
        <w:ind w:left="850" w:leftChars="203" w:hanging="424" w:firstLineChars="0"/>
      </w:pPr>
      <w:r>
        <w:rPr>
          <w:rFonts w:hint="eastAsia" w:ascii="Times New Roman"/>
          <w:szCs w:val="24"/>
        </w:rPr>
        <w:t>注：当构件型式检验项目包含结构性能检测时，宜从设计荷载最大、受力最不利或生产数量最多的预制构件中抽取。</w:t>
      </w:r>
    </w:p>
    <w:p>
      <w:pPr>
        <w:pStyle w:val="167"/>
        <w:rPr>
          <w:rFonts w:hint="eastAsia"/>
          <w:lang w:val="en-US" w:eastAsia="zh-CN"/>
        </w:rPr>
      </w:pPr>
      <w:r>
        <w:rPr>
          <w:rFonts w:hint="eastAsia"/>
          <w:lang w:val="en-US" w:eastAsia="zh-CN"/>
        </w:rPr>
        <w:t>判定</w:t>
      </w:r>
    </w:p>
    <w:p>
      <w:pPr>
        <w:pStyle w:val="167"/>
        <w:numPr>
          <w:ilvl w:val="3"/>
          <w:numId w:val="0"/>
        </w:numPr>
        <w:ind w:leftChars="0" w:firstLine="420" w:firstLineChars="200"/>
        <w:rPr>
          <w:rFonts w:hint="eastAsia"/>
          <w:lang w:val="en-US" w:eastAsia="zh-CN"/>
        </w:rPr>
      </w:pPr>
      <w:r>
        <w:rPr>
          <w:rFonts w:hint="eastAsia"/>
          <w:shd w:val="clear" w:color="auto" w:fill="FFFFFF"/>
        </w:rPr>
        <w:t>出厂检验</w:t>
      </w:r>
    </w:p>
    <w:p>
      <w:pPr>
        <w:pStyle w:val="176"/>
        <w:numPr>
          <w:ilvl w:val="0"/>
          <w:numId w:val="47"/>
        </w:numPr>
      </w:pPr>
      <w:r>
        <w:rPr>
          <w:rFonts w:hint="eastAsia"/>
          <w:shd w:val="clear" w:color="auto" w:fill="FFFFFF"/>
        </w:rPr>
        <w:t>外观质量不应有严重缺陷</w:t>
      </w:r>
      <w:r>
        <w:rPr>
          <w:rFonts w:hint="eastAsia"/>
          <w:shd w:val="clear" w:color="auto" w:fill="FFFFFF"/>
          <w:lang w:eastAsia="zh-CN"/>
        </w:rPr>
        <w:t>；</w:t>
      </w:r>
    </w:p>
    <w:p>
      <w:pPr>
        <w:pStyle w:val="176"/>
        <w:numPr>
          <w:ilvl w:val="0"/>
          <w:numId w:val="47"/>
        </w:numPr>
      </w:pPr>
      <w:r>
        <w:rPr>
          <w:rFonts w:hint="eastAsia"/>
          <w:shd w:val="clear" w:color="auto" w:fill="FFFFFF"/>
        </w:rPr>
        <w:t>尺寸偏差应从外观检验合格的样品中，按</w:t>
      </w:r>
      <w:r>
        <w:rPr>
          <w:rFonts w:hint="eastAsia"/>
          <w:shd w:val="clear" w:color="auto" w:fill="FFFFFF"/>
          <w:lang w:val="en-US" w:eastAsia="zh-CN"/>
        </w:rPr>
        <w:t>8</w:t>
      </w:r>
      <w:r>
        <w:rPr>
          <w:rFonts w:hint="eastAsia"/>
          <w:shd w:val="clear" w:color="auto" w:fill="FFFFFF"/>
        </w:rPr>
        <w:t>.3.4条的规定随机抽取样品进行检验。全部项目符合表</w:t>
      </w:r>
      <w:r>
        <w:rPr>
          <w:rFonts w:hint="eastAsia"/>
          <w:shd w:val="clear" w:color="auto" w:fill="FFFFFF"/>
          <w:lang w:val="en-US" w:eastAsia="zh-CN"/>
        </w:rPr>
        <w:t>16</w:t>
      </w:r>
      <w:r>
        <w:rPr>
          <w:rFonts w:hint="eastAsia"/>
          <w:shd w:val="clear" w:color="auto" w:fill="FFFFFF"/>
        </w:rPr>
        <w:t>或</w:t>
      </w:r>
      <w:r>
        <w:rPr>
          <w:rFonts w:hint="eastAsia"/>
          <w:shd w:val="clear" w:color="auto" w:fill="FFFFFF"/>
          <w:lang w:val="en-US" w:eastAsia="zh-CN"/>
        </w:rPr>
        <w:t>17</w:t>
      </w:r>
      <w:r>
        <w:rPr>
          <w:rFonts w:hint="eastAsia"/>
          <w:shd w:val="clear" w:color="auto" w:fill="FFFFFF"/>
        </w:rPr>
        <w:t>中要求时，则判定该件样品的尺寸偏差合格，否则判定为不合格。样品合格率达到80%及以上且不合格项偏差不大于允许偏差的1.5倍，则判定该批次合格；否则应加倍抽样复检，复检合格率低于80%或不合格项偏差大于允许偏差的1.5倍，则判定该批产品不合格</w:t>
      </w:r>
      <w:r>
        <w:rPr>
          <w:rFonts w:hint="eastAsia"/>
          <w:shd w:val="clear" w:color="auto" w:fill="FFFFFF"/>
          <w:lang w:eastAsia="zh-CN"/>
        </w:rPr>
        <w:t>；</w:t>
      </w:r>
    </w:p>
    <w:p>
      <w:pPr>
        <w:pStyle w:val="176"/>
        <w:numPr>
          <w:ilvl w:val="0"/>
          <w:numId w:val="47"/>
        </w:numPr>
      </w:pPr>
      <w:r>
        <w:rPr>
          <w:rFonts w:hint="eastAsia"/>
          <w:shd w:val="clear" w:color="auto" w:fill="FFFFFF"/>
        </w:rPr>
        <w:t>钢筋保护层厚度应从外观检验合格的样品中，随机抽取5件进行检验，指标应符合表</w:t>
      </w:r>
      <w:r>
        <w:rPr>
          <w:rFonts w:hint="eastAsia"/>
          <w:shd w:val="clear" w:color="auto" w:fill="FFFFFF"/>
          <w:lang w:val="en-US" w:eastAsia="zh-CN"/>
        </w:rPr>
        <w:t>18</w:t>
      </w:r>
      <w:r>
        <w:rPr>
          <w:rFonts w:hint="eastAsia"/>
          <w:shd w:val="clear" w:color="auto" w:fill="FFFFFF"/>
        </w:rPr>
        <w:t>～</w:t>
      </w:r>
      <w:r>
        <w:rPr>
          <w:rFonts w:hint="eastAsia"/>
          <w:shd w:val="clear" w:color="auto" w:fill="FFFFFF"/>
          <w:lang w:val="en-US" w:eastAsia="zh-CN"/>
        </w:rPr>
        <w:t>24</w:t>
      </w:r>
      <w:r>
        <w:rPr>
          <w:rFonts w:hint="eastAsia"/>
          <w:shd w:val="clear" w:color="auto" w:fill="FFFFFF"/>
        </w:rPr>
        <w:t>中相应要求。合格点率达到90%及以上且不合格点偏差不大于允许偏差的1.5倍，则判定该批样品保护层厚度合格；否则应加倍抽样复检，复检合格率低于90%或不合格点偏差大于允许偏差的1.5倍，则判定该批产品不合格</w:t>
      </w:r>
      <w:r>
        <w:rPr>
          <w:rFonts w:hint="eastAsia"/>
          <w:shd w:val="clear" w:color="auto" w:fill="FFFFFF"/>
          <w:lang w:eastAsia="zh-CN"/>
        </w:rPr>
        <w:t>；</w:t>
      </w:r>
    </w:p>
    <w:p>
      <w:pPr>
        <w:pStyle w:val="176"/>
        <w:numPr>
          <w:ilvl w:val="0"/>
          <w:numId w:val="47"/>
        </w:numPr>
        <w:rPr>
          <w:rFonts w:hint="eastAsia"/>
          <w:lang w:val="en-US" w:eastAsia="zh-CN"/>
        </w:rPr>
      </w:pPr>
      <w:r>
        <w:rPr>
          <w:rFonts w:hint="eastAsia"/>
          <w:shd w:val="clear" w:color="auto" w:fill="FFFFFF"/>
        </w:rPr>
        <w:t>混凝土强度应从外观检验合格的样品中，随机抽取不少于5件进行检验，检验项目符合表</w:t>
      </w:r>
      <w:r>
        <w:rPr>
          <w:rFonts w:hint="eastAsia"/>
          <w:shd w:val="clear" w:color="auto" w:fill="FFFFFF"/>
          <w:lang w:val="en-US" w:eastAsia="zh-CN"/>
        </w:rPr>
        <w:t>18</w:t>
      </w:r>
      <w:r>
        <w:rPr>
          <w:rFonts w:hint="eastAsia"/>
          <w:shd w:val="clear" w:color="auto" w:fill="FFFFFF"/>
        </w:rPr>
        <w:t>～</w:t>
      </w:r>
      <w:r>
        <w:rPr>
          <w:rFonts w:hint="eastAsia"/>
          <w:shd w:val="clear" w:color="auto" w:fill="FFFFFF"/>
          <w:lang w:val="en-US" w:eastAsia="zh-CN"/>
        </w:rPr>
        <w:t>24</w:t>
      </w:r>
      <w:r>
        <w:rPr>
          <w:rFonts w:hint="eastAsia"/>
          <w:shd w:val="clear" w:color="auto" w:fill="FFFFFF"/>
        </w:rPr>
        <w:t>中相应要求时，则判定该批产品的混凝土强度合格；否则判定该批产品不合格</w:t>
      </w:r>
      <w:r>
        <w:rPr>
          <w:rFonts w:hint="eastAsia"/>
          <w:shd w:val="clear" w:color="auto" w:fill="FFFFFF"/>
          <w:lang w:eastAsia="zh-CN"/>
        </w:rPr>
        <w:t>。</w:t>
      </w:r>
    </w:p>
    <w:p>
      <w:pPr>
        <w:pStyle w:val="176"/>
        <w:numPr>
          <w:ilvl w:val="0"/>
          <w:numId w:val="0"/>
        </w:numPr>
        <w:ind w:left="425" w:leftChars="0"/>
        <w:rPr>
          <w:rFonts w:hint="eastAsia"/>
          <w:lang w:val="en-US" w:eastAsia="zh-CN"/>
        </w:rPr>
      </w:pPr>
      <w:r>
        <w:rPr>
          <w:rFonts w:hint="eastAsia"/>
          <w:shd w:val="clear" w:color="auto" w:fill="FFFFFF"/>
          <w:lang w:val="en-US" w:eastAsia="zh-CN"/>
        </w:rPr>
        <w:t>型式检验</w:t>
      </w:r>
    </w:p>
    <w:p>
      <w:pPr>
        <w:pStyle w:val="176"/>
        <w:numPr>
          <w:ilvl w:val="0"/>
          <w:numId w:val="48"/>
        </w:numPr>
      </w:pPr>
      <w:r>
        <w:rPr>
          <w:rFonts w:hint="eastAsia"/>
          <w:shd w:val="clear" w:color="auto" w:fill="FFFFFF"/>
        </w:rPr>
        <w:t>外观质量、尺寸偏差、钢筋保护层厚度的判定同出厂检验</w:t>
      </w:r>
      <w:r>
        <w:rPr>
          <w:rFonts w:hint="eastAsia"/>
          <w:shd w:val="clear" w:color="auto" w:fill="FFFFFF"/>
          <w:lang w:eastAsia="zh-CN"/>
        </w:rPr>
        <w:t>；</w:t>
      </w:r>
    </w:p>
    <w:p>
      <w:pPr>
        <w:pStyle w:val="176"/>
        <w:numPr>
          <w:ilvl w:val="0"/>
          <w:numId w:val="48"/>
        </w:numPr>
      </w:pPr>
      <w:r>
        <w:rPr>
          <w:rFonts w:hint="eastAsia"/>
          <w:shd w:val="clear" w:color="auto" w:fill="FFFFFF"/>
        </w:rPr>
        <w:t>其余项目按照表</w:t>
      </w:r>
      <w:r>
        <w:rPr>
          <w:rFonts w:hint="eastAsia"/>
          <w:shd w:val="clear" w:color="auto" w:fill="FFFFFF"/>
          <w:lang w:val="en-US" w:eastAsia="zh-CN"/>
        </w:rPr>
        <w:t>24</w:t>
      </w:r>
      <w:r>
        <w:rPr>
          <w:rFonts w:hint="eastAsia"/>
          <w:shd w:val="clear" w:color="auto" w:fill="FFFFFF"/>
        </w:rPr>
        <w:t>的要求随机抽样进行检验，所有检验项目符合要求时，则判定批量合格；否则应再加倍复检，复检结果所有检验项目符合要求时，则判定批量合格，若有1项不合格，则判定该批量产品不合格</w:t>
      </w:r>
      <w:r>
        <w:rPr>
          <w:rFonts w:hint="eastAsia"/>
          <w:shd w:val="clear" w:color="auto" w:fill="FFFFFF"/>
          <w:lang w:eastAsia="zh-CN"/>
        </w:rPr>
        <w:t>。</w:t>
      </w:r>
    </w:p>
    <w:bookmarkEnd w:id="69"/>
    <w:p>
      <w:pPr>
        <w:pStyle w:val="106"/>
        <w:spacing w:before="312" w:after="312"/>
      </w:pPr>
      <w:r>
        <w:rPr>
          <w:rFonts w:hint="eastAsia"/>
          <w:lang w:val="en-US" w:eastAsia="zh-CN"/>
        </w:rPr>
        <w:t>堆放、运输与成品保护</w:t>
      </w:r>
    </w:p>
    <w:p>
      <w:pPr>
        <w:pStyle w:val="107"/>
        <w:spacing w:before="156" w:after="156"/>
      </w:pPr>
      <w:bookmarkStart w:id="103" w:name="_Toc63589326"/>
      <w:r>
        <w:rPr>
          <w:rFonts w:hint="eastAsia" w:ascii="宋体" w:hAnsi="宋体" w:eastAsia="宋体"/>
          <w:shd w:val="clear" w:color="auto" w:fill="FFFFFF"/>
        </w:rPr>
        <w:t>预制构件的堆放场地宜为混凝土硬化地面或经人工处理的自然地坪，满足平整度和地基承载力要求，并应有排水措施</w:t>
      </w:r>
      <w:r>
        <w:rPr>
          <w:rFonts w:hint="eastAsia" w:ascii="宋体" w:hAnsi="宋体" w:eastAsia="宋体"/>
          <w:shd w:val="clear" w:color="auto" w:fill="FFFFFF"/>
          <w:lang w:eastAsia="zh-CN"/>
        </w:rPr>
        <w:t>。</w:t>
      </w:r>
    </w:p>
    <w:p>
      <w:pPr>
        <w:pStyle w:val="107"/>
        <w:spacing w:before="156" w:after="156"/>
      </w:pPr>
      <w:bookmarkStart w:id="104" w:name="_Toc63589327"/>
      <w:r>
        <w:rPr>
          <w:rFonts w:hint="eastAsia" w:ascii="宋体" w:hAnsi="宋体" w:eastAsia="宋体"/>
          <w:shd w:val="clear" w:color="auto" w:fill="FFFFFF"/>
        </w:rPr>
        <w:t>预</w:t>
      </w:r>
      <w:bookmarkEnd w:id="104"/>
      <w:r>
        <w:rPr>
          <w:rFonts w:hint="eastAsia" w:ascii="宋体" w:hAnsi="宋体" w:eastAsia="宋体"/>
          <w:shd w:val="clear" w:color="auto" w:fill="FFFFFF"/>
        </w:rPr>
        <w:t>制构件应经检验合格并有合格标识方可入库，构件宜按型号、生产日期分别存放</w:t>
      </w:r>
      <w:r>
        <w:rPr>
          <w:rFonts w:hint="eastAsia" w:ascii="宋体" w:hAnsi="宋体" w:eastAsia="宋体"/>
          <w:shd w:val="clear" w:color="auto" w:fill="FFFFFF"/>
          <w:lang w:eastAsia="zh-CN"/>
        </w:rPr>
        <w:t>。</w:t>
      </w:r>
    </w:p>
    <w:p>
      <w:pPr>
        <w:pStyle w:val="107"/>
        <w:spacing w:before="156" w:after="156"/>
      </w:pPr>
      <w:r>
        <w:rPr>
          <w:rFonts w:hint="eastAsia" w:ascii="宋体" w:hAnsi="宋体" w:eastAsia="宋体"/>
          <w:shd w:val="clear" w:color="auto" w:fill="FFFFFF"/>
        </w:rPr>
        <w:t>预制构件的堆放应符合下列规定</w:t>
      </w:r>
      <w:r>
        <w:rPr>
          <w:rFonts w:hint="eastAsia" w:ascii="宋体" w:hAnsi="宋体" w:eastAsia="宋体"/>
          <w:shd w:val="clear" w:color="auto" w:fill="FFFFFF"/>
          <w:lang w:eastAsia="zh-CN"/>
        </w:rPr>
        <w:t>：</w:t>
      </w:r>
    </w:p>
    <w:p>
      <w:pPr>
        <w:pStyle w:val="176"/>
        <w:numPr>
          <w:ilvl w:val="0"/>
          <w:numId w:val="49"/>
        </w:numPr>
      </w:pPr>
      <w:r>
        <w:rPr>
          <w:rFonts w:hint="eastAsia"/>
          <w:shd w:val="clear" w:color="auto" w:fill="FFFFFF"/>
        </w:rPr>
        <w:t>预制构件堆放过程中支点位置应合理设置</w:t>
      </w:r>
      <w:r>
        <w:rPr>
          <w:rFonts w:hint="eastAsia"/>
          <w:shd w:val="clear" w:color="auto" w:fill="FFFFFF"/>
          <w:lang w:eastAsia="zh-CN"/>
        </w:rPr>
        <w:t>；</w:t>
      </w:r>
    </w:p>
    <w:p>
      <w:pPr>
        <w:pStyle w:val="176"/>
        <w:numPr>
          <w:ilvl w:val="0"/>
          <w:numId w:val="49"/>
        </w:numPr>
      </w:pPr>
      <w:r>
        <w:rPr>
          <w:rFonts w:hint="eastAsia"/>
          <w:shd w:val="clear" w:color="auto" w:fill="FFFFFF"/>
        </w:rPr>
        <w:t>多层堆放时上下垫木的位置应对齐且应便于操作</w:t>
      </w:r>
      <w:r>
        <w:rPr>
          <w:rFonts w:hint="eastAsia"/>
          <w:shd w:val="clear" w:color="auto" w:fill="FFFFFF"/>
          <w:lang w:eastAsia="zh-CN"/>
        </w:rPr>
        <w:t>；</w:t>
      </w:r>
    </w:p>
    <w:p>
      <w:pPr>
        <w:pStyle w:val="176"/>
        <w:numPr>
          <w:ilvl w:val="0"/>
          <w:numId w:val="49"/>
        </w:numPr>
      </w:pPr>
      <w:r>
        <w:rPr>
          <w:rFonts w:hint="eastAsia"/>
          <w:shd w:val="clear" w:color="auto" w:fill="FFFFFF"/>
        </w:rPr>
        <w:t>竖向堆放时应置于码放架上，并应保证存放安全</w:t>
      </w:r>
      <w:r>
        <w:rPr>
          <w:rFonts w:hint="eastAsia"/>
          <w:shd w:val="clear" w:color="auto" w:fill="FFFFFF"/>
          <w:lang w:eastAsia="zh-CN"/>
        </w:rPr>
        <w:t>；</w:t>
      </w:r>
    </w:p>
    <w:p>
      <w:pPr>
        <w:pStyle w:val="176"/>
        <w:numPr>
          <w:ilvl w:val="0"/>
          <w:numId w:val="49"/>
        </w:numPr>
      </w:pPr>
      <w:r>
        <w:rPr>
          <w:rFonts w:hint="eastAsia"/>
          <w:shd w:val="clear" w:color="auto" w:fill="FFFFFF"/>
        </w:rPr>
        <w:t>预制柱、梁等细长构件宜平放且用两条垫木支撑</w:t>
      </w:r>
      <w:r>
        <w:rPr>
          <w:rFonts w:hint="eastAsia"/>
          <w:shd w:val="clear" w:color="auto" w:fill="FFFFFF"/>
          <w:lang w:eastAsia="zh-CN"/>
        </w:rPr>
        <w:t>；</w:t>
      </w:r>
    </w:p>
    <w:p>
      <w:pPr>
        <w:pStyle w:val="176"/>
        <w:numPr>
          <w:ilvl w:val="0"/>
          <w:numId w:val="49"/>
        </w:numPr>
      </w:pPr>
      <w:r>
        <w:rPr>
          <w:rFonts w:hint="eastAsia"/>
          <w:shd w:val="clear" w:color="auto" w:fill="FFFFFF"/>
        </w:rPr>
        <w:t>预制楼板、阳台板、叠合板和看台板等宜平放，叠放存储不宜超过6层</w:t>
      </w:r>
      <w:r>
        <w:rPr>
          <w:rFonts w:hint="eastAsia"/>
          <w:shd w:val="clear" w:color="auto" w:fill="FFFFFF"/>
          <w:lang w:eastAsia="zh-CN"/>
        </w:rPr>
        <w:t>；</w:t>
      </w:r>
    </w:p>
    <w:p>
      <w:pPr>
        <w:pStyle w:val="176"/>
        <w:numPr>
          <w:ilvl w:val="0"/>
          <w:numId w:val="49"/>
        </w:numPr>
      </w:pPr>
      <w:r>
        <w:rPr>
          <w:rFonts w:hint="eastAsia"/>
          <w:shd w:val="clear" w:color="auto" w:fill="FFFFFF"/>
        </w:rPr>
        <w:t>预制内、外墙板宜采用专用支架直立堆放，支架应有足够的强度和刚度，并应支垫稳固</w:t>
      </w:r>
      <w:r>
        <w:rPr>
          <w:rFonts w:hint="eastAsia"/>
          <w:shd w:val="clear" w:color="auto" w:fill="FFFFFF"/>
          <w:lang w:eastAsia="zh-CN"/>
        </w:rPr>
        <w:t>。</w:t>
      </w:r>
    </w:p>
    <w:p>
      <w:pPr>
        <w:pStyle w:val="107"/>
        <w:spacing w:before="156" w:after="156"/>
      </w:pPr>
      <w:r>
        <w:rPr>
          <w:rFonts w:hint="eastAsia" w:ascii="宋体" w:hAnsi="宋体" w:eastAsia="宋体"/>
          <w:shd w:val="clear" w:color="auto" w:fill="FFFFFF"/>
        </w:rPr>
        <w:t>预制构件的运输和存放过程中应做好成品保护，并应符合下列规定</w:t>
      </w:r>
      <w:r>
        <w:rPr>
          <w:rFonts w:hint="eastAsia" w:ascii="宋体" w:hAnsi="宋体" w:eastAsia="宋体"/>
          <w:shd w:val="clear" w:color="auto" w:fill="FFFFFF"/>
          <w:lang w:eastAsia="zh-CN"/>
        </w:rPr>
        <w:t>：</w:t>
      </w:r>
    </w:p>
    <w:p>
      <w:pPr>
        <w:pStyle w:val="176"/>
        <w:numPr>
          <w:ilvl w:val="0"/>
          <w:numId w:val="50"/>
        </w:numPr>
      </w:pPr>
      <w:r>
        <w:rPr>
          <w:rFonts w:hint="eastAsia"/>
          <w:shd w:val="clear" w:color="auto" w:fill="FFFFFF"/>
        </w:rPr>
        <w:t>运输时应根据情况设置固定措施，避免在装、卸车时发生倾覆</w:t>
      </w:r>
      <w:r>
        <w:rPr>
          <w:rFonts w:hint="eastAsia"/>
          <w:shd w:val="clear" w:color="auto" w:fill="FFFFFF"/>
          <w:lang w:eastAsia="zh-CN"/>
        </w:rPr>
        <w:t>；</w:t>
      </w:r>
    </w:p>
    <w:p>
      <w:pPr>
        <w:pStyle w:val="176"/>
        <w:numPr>
          <w:ilvl w:val="0"/>
          <w:numId w:val="50"/>
        </w:numPr>
      </w:pPr>
      <w:r>
        <w:rPr>
          <w:rFonts w:hint="eastAsia"/>
          <w:shd w:val="clear" w:color="auto" w:fill="FFFFFF"/>
        </w:rPr>
        <w:t>预制构件与刚性搁置点之间应设置柔性垫片</w:t>
      </w:r>
      <w:r>
        <w:rPr>
          <w:rFonts w:hint="eastAsia"/>
          <w:shd w:val="clear" w:color="auto" w:fill="FFFFFF"/>
          <w:lang w:eastAsia="zh-CN"/>
        </w:rPr>
        <w:t>；</w:t>
      </w:r>
    </w:p>
    <w:p>
      <w:pPr>
        <w:pStyle w:val="176"/>
        <w:numPr>
          <w:ilvl w:val="0"/>
          <w:numId w:val="50"/>
        </w:numPr>
      </w:pPr>
      <w:r>
        <w:rPr>
          <w:rFonts w:hint="eastAsia"/>
          <w:shd w:val="clear" w:color="auto" w:fill="FFFFFF"/>
        </w:rPr>
        <w:t>垫木、垫块表面宜用塑料薄膜包裹以避免污染预制构件</w:t>
      </w:r>
      <w:r>
        <w:rPr>
          <w:rFonts w:hint="eastAsia"/>
          <w:shd w:val="clear" w:color="auto" w:fill="FFFFFF"/>
          <w:lang w:eastAsia="zh-CN"/>
        </w:rPr>
        <w:t>；</w:t>
      </w:r>
    </w:p>
    <w:p>
      <w:pPr>
        <w:pStyle w:val="176"/>
        <w:numPr>
          <w:ilvl w:val="0"/>
          <w:numId w:val="50"/>
        </w:numPr>
      </w:pPr>
      <w:r>
        <w:rPr>
          <w:rFonts w:hint="eastAsia"/>
          <w:shd w:val="clear" w:color="auto" w:fill="FFFFFF"/>
        </w:rPr>
        <w:t>外墙门框、窗框和带外装饰材料的表面宜采用塑料贴膜或其他防护措施</w:t>
      </w:r>
      <w:r>
        <w:rPr>
          <w:rFonts w:hint="eastAsia"/>
          <w:shd w:val="clear" w:color="auto" w:fill="FFFFFF"/>
          <w:lang w:eastAsia="zh-CN"/>
        </w:rPr>
        <w:t>；</w:t>
      </w:r>
    </w:p>
    <w:p>
      <w:pPr>
        <w:pStyle w:val="176"/>
        <w:numPr>
          <w:ilvl w:val="0"/>
          <w:numId w:val="50"/>
        </w:numPr>
      </w:pPr>
      <w:r>
        <w:rPr>
          <w:rFonts w:hint="eastAsia"/>
          <w:shd w:val="clear" w:color="auto" w:fill="FFFFFF"/>
        </w:rPr>
        <w:t>预埋孔洞应采取防止堵塞的临时封堵措施</w:t>
      </w:r>
      <w:r>
        <w:rPr>
          <w:rFonts w:hint="eastAsia"/>
          <w:shd w:val="clear" w:color="auto" w:fill="FFFFFF"/>
          <w:lang w:eastAsia="zh-CN"/>
        </w:rPr>
        <w:t>；</w:t>
      </w:r>
    </w:p>
    <w:p>
      <w:pPr>
        <w:pStyle w:val="176"/>
        <w:numPr>
          <w:ilvl w:val="0"/>
          <w:numId w:val="50"/>
        </w:numPr>
      </w:pPr>
      <w:r>
        <w:rPr>
          <w:rFonts w:hint="eastAsia"/>
          <w:shd w:val="clear" w:color="auto" w:fill="FFFFFF"/>
        </w:rPr>
        <w:t>对预制构件易腐蚀或生锈的部位或部件应采取保护措施</w:t>
      </w:r>
      <w:r>
        <w:rPr>
          <w:rFonts w:hint="eastAsia"/>
          <w:shd w:val="clear" w:color="auto" w:fill="FFFFFF"/>
          <w:lang w:eastAsia="zh-CN"/>
        </w:rPr>
        <w:t>；</w:t>
      </w:r>
    </w:p>
    <w:p>
      <w:pPr>
        <w:pStyle w:val="176"/>
        <w:numPr>
          <w:ilvl w:val="0"/>
          <w:numId w:val="50"/>
        </w:numPr>
      </w:pPr>
      <w:r>
        <w:rPr>
          <w:rFonts w:hint="eastAsia"/>
          <w:shd w:val="clear" w:color="auto" w:fill="FFFFFF"/>
        </w:rPr>
        <w:t>对保温板和外露筋应采取保护措施，防止开裂或弯曲</w:t>
      </w:r>
      <w:r>
        <w:rPr>
          <w:rFonts w:hint="eastAsia"/>
          <w:shd w:val="clear" w:color="auto" w:fill="FFFFFF"/>
          <w:lang w:eastAsia="zh-CN"/>
        </w:rPr>
        <w:t>。</w:t>
      </w:r>
    </w:p>
    <w:p>
      <w:pPr>
        <w:pStyle w:val="107"/>
        <w:spacing w:before="156" w:after="156"/>
      </w:pPr>
      <w:bookmarkStart w:id="105" w:name="_Toc63589330"/>
      <w:r>
        <w:rPr>
          <w:rFonts w:hint="eastAsia" w:ascii="宋体" w:hAnsi="宋体" w:eastAsia="宋体"/>
          <w:shd w:val="clear" w:color="auto" w:fill="FFFFFF"/>
        </w:rPr>
        <w:t>预</w:t>
      </w:r>
      <w:bookmarkEnd w:id="105"/>
      <w:r>
        <w:rPr>
          <w:rFonts w:hint="eastAsia" w:ascii="宋体" w:hAnsi="宋体" w:eastAsia="宋体"/>
          <w:shd w:val="clear" w:color="auto" w:fill="FFFFFF"/>
        </w:rPr>
        <w:t>制构件出厂时混凝土强度实测值不宜低于设计强度的75%</w:t>
      </w:r>
      <w:r>
        <w:rPr>
          <w:rFonts w:hint="eastAsia" w:ascii="宋体" w:hAnsi="宋体" w:eastAsia="宋体"/>
          <w:shd w:val="clear" w:color="auto" w:fill="FFFFFF"/>
          <w:lang w:eastAsia="zh-CN"/>
        </w:rPr>
        <w:t>。</w:t>
      </w:r>
    </w:p>
    <w:bookmarkEnd w:id="103"/>
    <w:p>
      <w:pPr>
        <w:pStyle w:val="106"/>
        <w:spacing w:before="312" w:after="312"/>
      </w:pPr>
      <w:r>
        <w:rPr>
          <w:rFonts w:hint="eastAsia"/>
          <w:lang w:val="en-US" w:eastAsia="zh-CN"/>
        </w:rPr>
        <w:t>档案资料</w:t>
      </w:r>
    </w:p>
    <w:p>
      <w:pPr>
        <w:pStyle w:val="107"/>
        <w:spacing w:before="156" w:after="156"/>
      </w:pPr>
      <w:bookmarkStart w:id="106" w:name="_Toc63589332"/>
      <w:r>
        <w:rPr>
          <w:rFonts w:hint="eastAsia" w:ascii="宋体" w:hAnsi="宋体" w:eastAsia="宋体"/>
          <w:shd w:val="clear" w:color="auto" w:fill="FFFFFF"/>
        </w:rPr>
        <w:t>预制构件质量资料应按工程项目分类进行归档，按照工程技术资料要求的保存期限保存</w:t>
      </w:r>
      <w:r>
        <w:rPr>
          <w:rFonts w:hint="eastAsia" w:ascii="宋体" w:hAnsi="宋体" w:eastAsia="宋体"/>
          <w:shd w:val="clear" w:color="auto" w:fill="FFFFFF"/>
          <w:lang w:eastAsia="zh-CN"/>
        </w:rPr>
        <w:t>。</w:t>
      </w:r>
    </w:p>
    <w:p>
      <w:pPr>
        <w:pStyle w:val="107"/>
        <w:spacing w:before="156" w:after="156"/>
      </w:pPr>
      <w:bookmarkStart w:id="107" w:name="_Toc63589333"/>
      <w:r>
        <w:rPr>
          <w:rFonts w:hint="eastAsia" w:ascii="宋体" w:hAnsi="宋体" w:eastAsia="宋体"/>
          <w:shd w:val="clear" w:color="auto" w:fill="FFFFFF"/>
        </w:rPr>
        <w:t>设</w:t>
      </w:r>
      <w:bookmarkEnd w:id="107"/>
      <w:r>
        <w:rPr>
          <w:rFonts w:hint="eastAsia" w:ascii="宋体" w:hAnsi="宋体" w:eastAsia="宋体"/>
          <w:shd w:val="clear" w:color="auto" w:fill="FFFFFF"/>
        </w:rPr>
        <w:t>计资料应包括预制混凝土构件加工图、设计文件、设计洽商、变更或交底文件，应符合以下要求</w:t>
      </w:r>
      <w:r>
        <w:rPr>
          <w:rFonts w:hint="eastAsia" w:ascii="宋体" w:hAnsi="宋体" w:eastAsia="宋体"/>
          <w:shd w:val="clear" w:color="auto" w:fill="FFFFFF"/>
          <w:lang w:eastAsia="zh-CN"/>
        </w:rPr>
        <w:t>：</w:t>
      </w:r>
    </w:p>
    <w:p>
      <w:pPr>
        <w:pStyle w:val="176"/>
        <w:numPr>
          <w:ilvl w:val="0"/>
          <w:numId w:val="51"/>
        </w:numPr>
      </w:pPr>
      <w:r>
        <w:rPr>
          <w:rFonts w:hint="eastAsia"/>
          <w:shd w:val="clear" w:color="auto" w:fill="FFFFFF"/>
        </w:rPr>
        <w:t>构件加工图、设计文件应内容齐全，并经施工图设计单位审核认可</w:t>
      </w:r>
      <w:r>
        <w:rPr>
          <w:rFonts w:hint="eastAsia"/>
          <w:shd w:val="clear" w:color="auto" w:fill="FFFFFF"/>
          <w:lang w:eastAsia="zh-CN"/>
        </w:rPr>
        <w:t>；</w:t>
      </w:r>
    </w:p>
    <w:p>
      <w:pPr>
        <w:pStyle w:val="176"/>
        <w:numPr>
          <w:ilvl w:val="0"/>
          <w:numId w:val="51"/>
        </w:numPr>
      </w:pPr>
      <w:r>
        <w:rPr>
          <w:rFonts w:hint="eastAsia"/>
          <w:shd w:val="clear" w:color="auto" w:fill="FFFFFF"/>
        </w:rPr>
        <w:t>设计洽商及变更文件内容明确，有相关责任人员审核批准的时间和人员签名</w:t>
      </w:r>
      <w:r>
        <w:rPr>
          <w:rFonts w:hint="eastAsia"/>
          <w:shd w:val="clear" w:color="auto" w:fill="FFFFFF"/>
          <w:lang w:eastAsia="zh-CN"/>
        </w:rPr>
        <w:t>；</w:t>
      </w:r>
    </w:p>
    <w:p>
      <w:pPr>
        <w:pStyle w:val="176"/>
        <w:numPr>
          <w:ilvl w:val="0"/>
          <w:numId w:val="51"/>
        </w:numPr>
      </w:pPr>
      <w:r>
        <w:rPr>
          <w:rFonts w:hint="eastAsia"/>
          <w:shd w:val="clear" w:color="auto" w:fill="FFFFFF"/>
        </w:rPr>
        <w:t>设计交底文件应有交底的相关内容，并有交底双方人员的签字</w:t>
      </w:r>
      <w:r>
        <w:rPr>
          <w:rFonts w:hint="eastAsia"/>
          <w:shd w:val="clear" w:color="auto" w:fill="FFFFFF"/>
          <w:lang w:eastAsia="zh-CN"/>
        </w:rPr>
        <w:t>。</w:t>
      </w:r>
    </w:p>
    <w:p>
      <w:pPr>
        <w:pStyle w:val="107"/>
        <w:spacing w:before="156" w:after="156"/>
      </w:pPr>
      <w:bookmarkStart w:id="108" w:name="_Toc63589334"/>
      <w:r>
        <w:rPr>
          <w:rFonts w:hint="eastAsia" w:ascii="宋体" w:hAnsi="宋体" w:eastAsia="宋体"/>
          <w:shd w:val="clear" w:color="auto" w:fill="FFFFFF"/>
        </w:rPr>
        <w:t>生</w:t>
      </w:r>
      <w:bookmarkEnd w:id="108"/>
      <w:r>
        <w:rPr>
          <w:rFonts w:hint="eastAsia" w:ascii="宋体" w:hAnsi="宋体" w:eastAsia="宋体"/>
          <w:shd w:val="clear" w:color="auto" w:fill="FFFFFF"/>
        </w:rPr>
        <w:t>产管理资料应包括生产方案和质量计划等文件。生产方案和质量计划的制定和审核批准程序应符合要求</w:t>
      </w:r>
      <w:r>
        <w:rPr>
          <w:rFonts w:hint="eastAsia" w:ascii="宋体" w:hAnsi="宋体" w:eastAsia="宋体"/>
          <w:shd w:val="clear" w:color="auto" w:fill="FFFFFF"/>
          <w:lang w:eastAsia="zh-CN"/>
        </w:rPr>
        <w:t>。</w:t>
      </w:r>
    </w:p>
    <w:p>
      <w:pPr>
        <w:pStyle w:val="107"/>
        <w:spacing w:before="156" w:after="156"/>
      </w:pPr>
      <w:bookmarkStart w:id="109" w:name="_Toc63589335"/>
      <w:r>
        <w:rPr>
          <w:rFonts w:hint="eastAsia" w:ascii="宋体" w:hAnsi="宋体" w:eastAsia="宋体"/>
          <w:shd w:val="clear" w:color="auto" w:fill="FFFFFF"/>
        </w:rPr>
        <w:t>原</w:t>
      </w:r>
      <w:bookmarkEnd w:id="109"/>
      <w:r>
        <w:rPr>
          <w:rFonts w:hint="eastAsia" w:ascii="宋体" w:hAnsi="宋体" w:eastAsia="宋体"/>
          <w:shd w:val="clear" w:color="auto" w:fill="FFFFFF"/>
        </w:rPr>
        <w:t>材料的质量资料包括原材料质量证明文件、复试试验记录和试验报告，并应符合以下要求</w:t>
      </w:r>
      <w:r>
        <w:rPr>
          <w:rFonts w:hint="eastAsia" w:ascii="宋体" w:hAnsi="宋体" w:eastAsia="宋体"/>
          <w:shd w:val="clear" w:color="auto" w:fill="FFFFFF"/>
          <w:lang w:eastAsia="zh-CN"/>
        </w:rPr>
        <w:t>：</w:t>
      </w:r>
    </w:p>
    <w:p>
      <w:pPr>
        <w:pStyle w:val="176"/>
        <w:numPr>
          <w:ilvl w:val="0"/>
          <w:numId w:val="52"/>
        </w:numPr>
      </w:pPr>
      <w:r>
        <w:rPr>
          <w:rFonts w:hint="eastAsia"/>
          <w:shd w:val="clear" w:color="auto" w:fill="FFFFFF"/>
        </w:rPr>
        <w:t>原材料质量证明文件应为原件，如果是复印件或抄件的应加盖原件存放单位公章</w:t>
      </w:r>
      <w:r>
        <w:rPr>
          <w:rFonts w:hint="eastAsia"/>
          <w:shd w:val="clear" w:color="auto" w:fill="FFFFFF"/>
          <w:lang w:eastAsia="zh-CN"/>
        </w:rPr>
        <w:t>；</w:t>
      </w:r>
    </w:p>
    <w:p>
      <w:pPr>
        <w:pStyle w:val="176"/>
        <w:numPr>
          <w:ilvl w:val="0"/>
          <w:numId w:val="52"/>
        </w:numPr>
      </w:pPr>
      <w:r>
        <w:rPr>
          <w:rFonts w:hint="eastAsia"/>
          <w:shd w:val="clear" w:color="auto" w:fill="FFFFFF"/>
        </w:rPr>
        <w:t>复试试验记录和试验报告的复试批量应符合相关规范的规定，复试试验报告应与质量证明文件一一对应</w:t>
      </w:r>
      <w:r>
        <w:rPr>
          <w:rFonts w:hint="eastAsia"/>
          <w:shd w:val="clear" w:color="auto" w:fill="FFFFFF"/>
          <w:lang w:eastAsia="zh-CN"/>
        </w:rPr>
        <w:t>。</w:t>
      </w:r>
    </w:p>
    <w:p>
      <w:pPr>
        <w:pStyle w:val="107"/>
        <w:spacing w:before="156" w:after="156"/>
      </w:pPr>
      <w:bookmarkStart w:id="110" w:name="_Toc63589336"/>
      <w:r>
        <w:rPr>
          <w:rFonts w:hint="eastAsia" w:ascii="宋体" w:hAnsi="宋体" w:eastAsia="宋体"/>
          <w:shd w:val="clear" w:color="auto" w:fill="FFFFFF"/>
        </w:rPr>
        <w:t>预</w:t>
      </w:r>
      <w:bookmarkEnd w:id="110"/>
      <w:r>
        <w:rPr>
          <w:rFonts w:hint="eastAsia" w:ascii="宋体" w:hAnsi="宋体" w:eastAsia="宋体"/>
          <w:shd w:val="clear" w:color="auto" w:fill="FFFFFF"/>
        </w:rPr>
        <w:t>制构件生产质量资料应包括附录F中的相关资料，且相关报告和记录符合本标准和国家、行业相关标准的要求。生产质量资料应进行核查，并作为预制构件合格文件的附件</w:t>
      </w:r>
      <w:r>
        <w:rPr>
          <w:rFonts w:hint="eastAsia" w:ascii="宋体" w:hAnsi="宋体" w:eastAsia="宋体"/>
          <w:shd w:val="clear" w:color="auto" w:fill="FFFFFF"/>
          <w:lang w:eastAsia="zh-CN"/>
        </w:rPr>
        <w:t>。</w:t>
      </w:r>
    </w:p>
    <w:p>
      <w:pPr>
        <w:pStyle w:val="107"/>
        <w:spacing w:before="156" w:after="156"/>
      </w:pPr>
      <w:bookmarkStart w:id="111" w:name="_Toc63589337"/>
      <w:r>
        <w:rPr>
          <w:rFonts w:hint="eastAsia" w:ascii="宋体" w:hAnsi="宋体" w:eastAsia="宋体"/>
          <w:shd w:val="clear" w:color="auto" w:fill="FFFFFF"/>
        </w:rPr>
        <w:t>预</w:t>
      </w:r>
      <w:bookmarkEnd w:id="111"/>
      <w:r>
        <w:rPr>
          <w:rFonts w:hint="eastAsia" w:ascii="宋体" w:hAnsi="宋体" w:eastAsia="宋体"/>
          <w:shd w:val="clear" w:color="auto" w:fill="FFFFFF"/>
        </w:rPr>
        <w:t>制构件交付的产品质量证明文件至少应包括以下内容</w:t>
      </w:r>
      <w:r>
        <w:rPr>
          <w:rFonts w:hint="eastAsia" w:ascii="宋体" w:hAnsi="宋体" w:eastAsia="宋体"/>
          <w:shd w:val="clear" w:color="auto" w:fill="FFFFFF"/>
          <w:lang w:eastAsia="zh-CN"/>
        </w:rPr>
        <w:t>：</w:t>
      </w:r>
    </w:p>
    <w:p>
      <w:pPr>
        <w:pStyle w:val="176"/>
        <w:numPr>
          <w:ilvl w:val="0"/>
          <w:numId w:val="53"/>
        </w:numPr>
      </w:pPr>
      <w:r>
        <w:rPr>
          <w:rFonts w:hint="eastAsia"/>
          <w:shd w:val="clear" w:color="auto" w:fill="FFFFFF"/>
        </w:rPr>
        <w:t>出厂合格证</w:t>
      </w:r>
      <w:r>
        <w:rPr>
          <w:rFonts w:hint="eastAsia"/>
          <w:shd w:val="clear" w:color="auto" w:fill="FFFFFF"/>
          <w:lang w:eastAsia="zh-CN"/>
        </w:rPr>
        <w:t>；</w:t>
      </w:r>
    </w:p>
    <w:p>
      <w:pPr>
        <w:pStyle w:val="176"/>
        <w:numPr>
          <w:ilvl w:val="0"/>
          <w:numId w:val="53"/>
        </w:numPr>
      </w:pPr>
      <w:r>
        <w:rPr>
          <w:rFonts w:hint="eastAsia"/>
          <w:shd w:val="clear" w:color="auto" w:fill="FFFFFF"/>
        </w:rPr>
        <w:t>混凝土强度检验报告</w:t>
      </w:r>
      <w:r>
        <w:rPr>
          <w:rFonts w:hint="eastAsia"/>
          <w:shd w:val="clear" w:color="auto" w:fill="FFFFFF"/>
          <w:lang w:eastAsia="zh-CN"/>
        </w:rPr>
        <w:t>；</w:t>
      </w:r>
    </w:p>
    <w:p>
      <w:pPr>
        <w:pStyle w:val="176"/>
        <w:numPr>
          <w:ilvl w:val="0"/>
          <w:numId w:val="53"/>
        </w:numPr>
      </w:pPr>
      <w:r>
        <w:rPr>
          <w:rFonts w:hint="eastAsia"/>
          <w:shd w:val="clear" w:color="auto" w:fill="FFFFFF"/>
        </w:rPr>
        <w:t>钢筋套筒等其他类型的钢筋连接件的检验报告</w:t>
      </w:r>
      <w:r>
        <w:rPr>
          <w:rFonts w:hint="eastAsia"/>
          <w:shd w:val="clear" w:color="auto" w:fill="FFFFFF"/>
          <w:lang w:eastAsia="zh-CN"/>
        </w:rPr>
        <w:t>；</w:t>
      </w:r>
    </w:p>
    <w:p>
      <w:pPr>
        <w:pStyle w:val="176"/>
        <w:numPr>
          <w:ilvl w:val="0"/>
          <w:numId w:val="53"/>
        </w:numPr>
      </w:pPr>
      <w:r>
        <w:rPr>
          <w:rFonts w:hint="eastAsia"/>
          <w:shd w:val="clear" w:color="auto" w:fill="FFFFFF"/>
        </w:rPr>
        <w:t>生产质量资料核查记录，可参考附录F</w:t>
      </w:r>
      <w:r>
        <w:rPr>
          <w:rFonts w:hint="eastAsia"/>
          <w:shd w:val="clear" w:color="auto" w:fill="FFFFFF"/>
          <w:lang w:eastAsia="zh-CN"/>
        </w:rPr>
        <w:t>。</w:t>
      </w:r>
    </w:p>
    <w:p>
      <w:r>
        <w:rPr>
          <w:rFonts w:hint="eastAsia"/>
          <w:shd w:val="clear" w:color="auto" w:fill="FFFFFF"/>
          <w:lang w:eastAsia="zh-CN"/>
        </w:rPr>
        <w:br w:type="page"/>
      </w:r>
    </w:p>
    <w:p>
      <w:pPr>
        <w:pStyle w:val="176"/>
        <w:numPr>
          <w:ilvl w:val="0"/>
          <w:numId w:val="0"/>
        </w:numPr>
        <w:ind w:left="425" w:leftChars="0"/>
      </w:pPr>
    </w:p>
    <w:bookmarkEnd w:id="25"/>
    <w:bookmarkEnd w:id="106"/>
    <w:p>
      <w:pPr>
        <w:pStyle w:val="200"/>
      </w:pPr>
      <w:bookmarkStart w:id="112" w:name="BookMark5"/>
    </w:p>
    <w:p>
      <w:pPr>
        <w:pStyle w:val="201"/>
      </w:pPr>
    </w:p>
    <w:p>
      <w:pPr>
        <w:pStyle w:val="244"/>
      </w:pPr>
      <w:r>
        <w:br w:type="textWrapping"/>
      </w:r>
      <w:bookmarkStart w:id="113" w:name="_Toc521971241"/>
      <w:bookmarkStart w:id="114" w:name="_Toc535967222"/>
      <w:bookmarkStart w:id="115" w:name="_Toc519857232"/>
      <w:bookmarkStart w:id="116" w:name="_Toc534905063"/>
      <w:bookmarkStart w:id="117" w:name="_Toc522541950"/>
      <w:bookmarkStart w:id="118" w:name="_Toc528765666"/>
      <w:bookmarkStart w:id="119" w:name="_Toc519857264"/>
      <w:bookmarkStart w:id="120" w:name="_Toc535967532"/>
      <w:bookmarkStart w:id="121" w:name="_Toc32084824"/>
      <w:bookmarkStart w:id="122" w:name="_Toc526716956"/>
      <w:bookmarkStart w:id="123" w:name="_Toc522620160"/>
      <w:bookmarkStart w:id="124" w:name="_Toc63589338"/>
      <w:r>
        <w:rPr>
          <w:rFonts w:hint="eastAsia"/>
        </w:rPr>
        <w:t>（规范性附录）</w:t>
      </w:r>
      <w:r>
        <w:br w:type="textWrapping"/>
      </w:r>
      <w:bookmarkEnd w:id="113"/>
      <w:bookmarkEnd w:id="114"/>
      <w:bookmarkEnd w:id="115"/>
      <w:bookmarkEnd w:id="116"/>
      <w:bookmarkEnd w:id="117"/>
      <w:bookmarkEnd w:id="118"/>
      <w:bookmarkEnd w:id="119"/>
      <w:bookmarkEnd w:id="120"/>
      <w:bookmarkEnd w:id="121"/>
      <w:bookmarkEnd w:id="122"/>
      <w:bookmarkEnd w:id="123"/>
      <w:r>
        <w:rPr>
          <w:rFonts w:hint="eastAsia"/>
        </w:rPr>
        <w:t>原材料进场复检清单</w:t>
      </w:r>
      <w:bookmarkEnd w:id="124"/>
    </w:p>
    <w:p>
      <w:pPr>
        <w:pStyle w:val="79"/>
        <w:spacing w:before="156" w:after="156"/>
      </w:pPr>
      <w:r>
        <w:rPr>
          <w:rFonts w:hint="eastAsia"/>
          <w:lang w:val="en-US" w:eastAsia="zh-CN"/>
        </w:rPr>
        <w:t>原</w:t>
      </w:r>
      <w:r>
        <w:rPr>
          <w:rFonts w:hint="eastAsia"/>
        </w:rPr>
        <w:t>材料进场复检清单</w:t>
      </w:r>
    </w:p>
    <w:tbl>
      <w:tblPr>
        <w:tblStyle w:val="27"/>
        <w:tblpPr w:leftFromText="180" w:rightFromText="180" w:vertAnchor="text" w:horzAnchor="page" w:tblpX="1547" w:tblpY="1116"/>
        <w:tblOverlap w:val="never"/>
        <w:tblW w:w="9331" w:type="dxa"/>
        <w:tblInd w:w="0" w:type="dxa"/>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Layout w:type="fixed"/>
        <w:tblCellMar>
          <w:top w:w="0" w:type="dxa"/>
          <w:left w:w="108" w:type="dxa"/>
          <w:bottom w:w="0" w:type="dxa"/>
          <w:right w:w="108" w:type="dxa"/>
        </w:tblCellMar>
      </w:tblPr>
      <w:tblGrid>
        <w:gridCol w:w="645"/>
        <w:gridCol w:w="660"/>
        <w:gridCol w:w="3675"/>
        <w:gridCol w:w="3616"/>
        <w:gridCol w:w="735"/>
      </w:tblGrid>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339" w:hRule="atLeast"/>
          <w:tblHeader/>
        </w:trPr>
        <w:tc>
          <w:tcPr>
            <w:tcW w:w="645" w:type="dxa"/>
            <w:noWrap w:val="0"/>
            <w:vAlign w:val="center"/>
          </w:tcPr>
          <w:p>
            <w:pPr>
              <w:jc w:val="center"/>
              <w:rPr>
                <w:szCs w:val="21"/>
              </w:rPr>
            </w:pPr>
            <w:r>
              <w:rPr>
                <w:rFonts w:hint="eastAsia"/>
                <w:szCs w:val="21"/>
              </w:rPr>
              <w:t>序号</w:t>
            </w:r>
          </w:p>
        </w:tc>
        <w:tc>
          <w:tcPr>
            <w:tcW w:w="660" w:type="dxa"/>
            <w:noWrap w:val="0"/>
            <w:vAlign w:val="center"/>
          </w:tcPr>
          <w:p>
            <w:pPr>
              <w:jc w:val="center"/>
              <w:rPr>
                <w:szCs w:val="21"/>
              </w:rPr>
            </w:pPr>
            <w:r>
              <w:rPr>
                <w:rFonts w:hint="eastAsia"/>
                <w:szCs w:val="21"/>
              </w:rPr>
              <w:t>名称</w:t>
            </w:r>
          </w:p>
        </w:tc>
        <w:tc>
          <w:tcPr>
            <w:tcW w:w="3675" w:type="dxa"/>
            <w:noWrap w:val="0"/>
            <w:vAlign w:val="center"/>
          </w:tcPr>
          <w:p>
            <w:pPr>
              <w:jc w:val="center"/>
              <w:rPr>
                <w:szCs w:val="21"/>
              </w:rPr>
            </w:pPr>
            <w:r>
              <w:rPr>
                <w:rFonts w:hint="eastAsia"/>
                <w:szCs w:val="21"/>
              </w:rPr>
              <w:t>主要内容</w:t>
            </w:r>
          </w:p>
        </w:tc>
        <w:tc>
          <w:tcPr>
            <w:tcW w:w="3616" w:type="dxa"/>
            <w:tcBorders>
              <w:right w:val="single" w:color="auto" w:sz="4" w:space="0"/>
            </w:tcBorders>
            <w:noWrap w:val="0"/>
            <w:vAlign w:val="center"/>
          </w:tcPr>
          <w:p>
            <w:pPr>
              <w:jc w:val="center"/>
              <w:rPr>
                <w:szCs w:val="21"/>
              </w:rPr>
            </w:pPr>
            <w:r>
              <w:rPr>
                <w:rFonts w:hint="eastAsia"/>
                <w:szCs w:val="21"/>
              </w:rPr>
              <w:t>检验批次</w:t>
            </w:r>
          </w:p>
        </w:tc>
        <w:tc>
          <w:tcPr>
            <w:tcW w:w="735" w:type="dxa"/>
            <w:tcBorders>
              <w:left w:val="single" w:color="auto" w:sz="4" w:space="0"/>
            </w:tcBorders>
            <w:noWrap w:val="0"/>
            <w:vAlign w:val="center"/>
          </w:tcPr>
          <w:p>
            <w:pPr>
              <w:jc w:val="center"/>
              <w:rPr>
                <w:szCs w:val="21"/>
              </w:rPr>
            </w:pPr>
            <w:r>
              <w:rPr>
                <w:szCs w:val="21"/>
              </w:rPr>
              <w:t>条款号</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rPr>
          <w:trHeight w:val="2920" w:hRule="atLeast"/>
        </w:trPr>
        <w:tc>
          <w:tcPr>
            <w:tcW w:w="645" w:type="dxa"/>
            <w:noWrap w:val="0"/>
            <w:vAlign w:val="center"/>
          </w:tcPr>
          <w:p>
            <w:pPr>
              <w:jc w:val="center"/>
              <w:rPr>
                <w:szCs w:val="21"/>
              </w:rPr>
            </w:pPr>
            <w:r>
              <w:rPr>
                <w:rFonts w:hint="eastAsia"/>
                <w:szCs w:val="21"/>
              </w:rPr>
              <w:t>1</w:t>
            </w:r>
          </w:p>
        </w:tc>
        <w:tc>
          <w:tcPr>
            <w:tcW w:w="660" w:type="dxa"/>
            <w:noWrap w:val="0"/>
            <w:vAlign w:val="center"/>
          </w:tcPr>
          <w:p>
            <w:pPr>
              <w:jc w:val="center"/>
              <w:rPr>
                <w:szCs w:val="21"/>
              </w:rPr>
            </w:pPr>
            <w:r>
              <w:rPr>
                <w:rFonts w:hint="eastAsia"/>
                <w:szCs w:val="21"/>
              </w:rPr>
              <w:t>混凝土用原材料</w:t>
            </w:r>
          </w:p>
        </w:tc>
        <w:tc>
          <w:tcPr>
            <w:tcW w:w="3675" w:type="dxa"/>
            <w:noWrap w:val="0"/>
            <w:vAlign w:val="center"/>
          </w:tcPr>
          <w:p>
            <w:pPr>
              <w:spacing w:before="120" w:beforeLines="50"/>
              <w:rPr>
                <w:szCs w:val="21"/>
              </w:rPr>
            </w:pPr>
            <w:r>
              <w:rPr>
                <w:szCs w:val="21"/>
              </w:rPr>
              <w:t xml:space="preserve">1 </w:t>
            </w:r>
            <w:r>
              <w:rPr>
                <w:rFonts w:hint="eastAsia"/>
                <w:szCs w:val="21"/>
              </w:rPr>
              <w:t>水泥：安定性、凝结时间和强度；</w:t>
            </w:r>
          </w:p>
          <w:p>
            <w:pPr>
              <w:rPr>
                <w:szCs w:val="21"/>
              </w:rPr>
            </w:pPr>
            <w:r>
              <w:rPr>
                <w:szCs w:val="21"/>
              </w:rPr>
              <w:t xml:space="preserve">2 </w:t>
            </w:r>
            <w:r>
              <w:rPr>
                <w:rFonts w:hint="eastAsia"/>
                <w:szCs w:val="21"/>
              </w:rPr>
              <w:t>细骨料：颗粒级配、细度模数、氯离子含量、</w:t>
            </w:r>
            <w:r>
              <w:rPr>
                <w:rFonts w:hint="eastAsia"/>
                <w:szCs w:val="21"/>
                <w:lang w:val="en-US" w:eastAsia="zh-CN"/>
              </w:rPr>
              <w:t>贝壳含量</w:t>
            </w:r>
            <w:r>
              <w:rPr>
                <w:rFonts w:hint="eastAsia"/>
                <w:szCs w:val="21"/>
                <w:lang w:eastAsia="zh-CN"/>
              </w:rPr>
              <w:t>、</w:t>
            </w:r>
            <w:r>
              <w:rPr>
                <w:rFonts w:hint="eastAsia"/>
                <w:szCs w:val="21"/>
              </w:rPr>
              <w:t>含泥量</w:t>
            </w:r>
            <w:r>
              <w:rPr>
                <w:rFonts w:hint="eastAsia"/>
                <w:szCs w:val="21"/>
                <w:lang w:eastAsia="zh-CN"/>
              </w:rPr>
              <w:t>（</w:t>
            </w:r>
            <w:r>
              <w:rPr>
                <w:rFonts w:hint="eastAsia"/>
                <w:szCs w:val="21"/>
                <w:lang w:val="en-US" w:eastAsia="zh-CN"/>
              </w:rPr>
              <w:t>石粉含量</w:t>
            </w:r>
            <w:r>
              <w:rPr>
                <w:rFonts w:hint="eastAsia"/>
                <w:szCs w:val="21"/>
                <w:lang w:eastAsia="zh-CN"/>
              </w:rPr>
              <w:t>）</w:t>
            </w:r>
            <w:r>
              <w:rPr>
                <w:rFonts w:hint="eastAsia"/>
                <w:szCs w:val="21"/>
              </w:rPr>
              <w:t>和泥块含量；</w:t>
            </w:r>
            <w:r>
              <w:rPr>
                <w:szCs w:val="21"/>
              </w:rPr>
              <w:t xml:space="preserve"> </w:t>
            </w:r>
          </w:p>
          <w:p>
            <w:pPr>
              <w:ind w:firstLine="210" w:firstLineChars="100"/>
              <w:rPr>
                <w:szCs w:val="21"/>
              </w:rPr>
            </w:pPr>
            <w:r>
              <w:rPr>
                <w:rFonts w:hint="eastAsia"/>
                <w:szCs w:val="21"/>
              </w:rPr>
              <w:t>粗骨料：颗粒级配、含泥量、泥块含量和针片状颗粒含量；</w:t>
            </w:r>
          </w:p>
          <w:p>
            <w:pPr>
              <w:rPr>
                <w:szCs w:val="21"/>
              </w:rPr>
            </w:pPr>
            <w:r>
              <w:rPr>
                <w:szCs w:val="21"/>
              </w:rPr>
              <w:t xml:space="preserve">3 </w:t>
            </w:r>
            <w:r>
              <w:rPr>
                <w:rFonts w:hint="eastAsia"/>
                <w:szCs w:val="21"/>
              </w:rPr>
              <w:t>轻粗骨料：颗粒级配、堆积密度、粒形系数、筒压强度</w:t>
            </w:r>
            <w:r>
              <w:rPr>
                <w:rFonts w:hint="eastAsia"/>
                <w:szCs w:val="21"/>
                <w:lang w:val="en-US" w:eastAsia="zh-CN"/>
              </w:rPr>
              <w:t>和</w:t>
            </w:r>
            <w:r>
              <w:rPr>
                <w:rFonts w:hint="eastAsia"/>
                <w:szCs w:val="21"/>
              </w:rPr>
              <w:t>吸水率；</w:t>
            </w:r>
          </w:p>
          <w:p>
            <w:pPr>
              <w:rPr>
                <w:rFonts w:hint="eastAsia"/>
                <w:szCs w:val="21"/>
                <w:lang w:eastAsia="zh-CN"/>
              </w:rPr>
            </w:pPr>
            <w:r>
              <w:rPr>
                <w:szCs w:val="21"/>
              </w:rPr>
              <w:t xml:space="preserve">4 </w:t>
            </w:r>
            <w:r>
              <w:rPr>
                <w:rFonts w:hint="eastAsia"/>
                <w:szCs w:val="21"/>
                <w:lang w:val="en-US" w:eastAsia="zh-CN"/>
              </w:rPr>
              <w:t>粉煤灰</w:t>
            </w:r>
            <w:r>
              <w:rPr>
                <w:rFonts w:hint="eastAsia"/>
                <w:szCs w:val="21"/>
              </w:rPr>
              <w:t>：细度、需水量比</w:t>
            </w:r>
            <w:r>
              <w:rPr>
                <w:rFonts w:hint="eastAsia"/>
                <w:szCs w:val="21"/>
                <w:lang w:eastAsia="zh-CN"/>
              </w:rPr>
              <w:t>、</w:t>
            </w:r>
            <w:r>
              <w:rPr>
                <w:rFonts w:hint="eastAsia"/>
                <w:szCs w:val="21"/>
              </w:rPr>
              <w:t>烧失量</w:t>
            </w:r>
            <w:r>
              <w:rPr>
                <w:rFonts w:hint="eastAsia"/>
                <w:szCs w:val="21"/>
                <w:lang w:val="en-US" w:eastAsia="zh-CN"/>
              </w:rPr>
              <w:t>和强度</w:t>
            </w:r>
            <w:r>
              <w:rPr>
                <w:rFonts w:hint="eastAsia"/>
                <w:szCs w:val="21"/>
              </w:rPr>
              <w:t>活性指数</w:t>
            </w:r>
            <w:r>
              <w:rPr>
                <w:rFonts w:hint="eastAsia"/>
                <w:szCs w:val="21"/>
                <w:lang w:eastAsia="zh-CN"/>
              </w:rPr>
              <w:t>；</w:t>
            </w:r>
          </w:p>
          <w:p>
            <w:pPr>
              <w:rPr>
                <w:szCs w:val="21"/>
              </w:rPr>
            </w:pPr>
            <w:r>
              <w:rPr>
                <w:rFonts w:hint="eastAsia"/>
                <w:szCs w:val="21"/>
                <w:lang w:val="en-US" w:eastAsia="zh-CN"/>
              </w:rPr>
              <w:t xml:space="preserve">5 </w:t>
            </w:r>
            <w:r>
              <w:rPr>
                <w:rFonts w:hint="eastAsia"/>
                <w:szCs w:val="21"/>
              </w:rPr>
              <w:t>粒化高炉矿渣粉</w:t>
            </w:r>
            <w:r>
              <w:rPr>
                <w:rFonts w:hint="eastAsia"/>
                <w:szCs w:val="21"/>
                <w:lang w:eastAsia="zh-CN"/>
              </w:rPr>
              <w:t>：</w:t>
            </w:r>
            <w:r>
              <w:rPr>
                <w:rFonts w:hint="eastAsia"/>
                <w:szCs w:val="21"/>
              </w:rPr>
              <w:t>细度</w:t>
            </w:r>
            <w:r>
              <w:rPr>
                <w:rFonts w:hint="eastAsia"/>
                <w:szCs w:val="21"/>
                <w:lang w:eastAsia="zh-CN"/>
              </w:rPr>
              <w:t>、</w:t>
            </w:r>
            <w:r>
              <w:rPr>
                <w:rFonts w:hint="eastAsia"/>
                <w:szCs w:val="21"/>
              </w:rPr>
              <w:t>比表面积</w:t>
            </w:r>
            <w:r>
              <w:rPr>
                <w:rFonts w:hint="eastAsia"/>
                <w:szCs w:val="21"/>
                <w:lang w:eastAsia="zh-CN"/>
              </w:rPr>
              <w:t>、</w:t>
            </w:r>
            <w:r>
              <w:rPr>
                <w:rFonts w:hint="eastAsia"/>
                <w:szCs w:val="21"/>
              </w:rPr>
              <w:t>流动度比</w:t>
            </w:r>
            <w:r>
              <w:rPr>
                <w:rFonts w:hint="eastAsia"/>
                <w:szCs w:val="21"/>
                <w:lang w:eastAsia="zh-CN"/>
              </w:rPr>
              <w:t>、</w:t>
            </w:r>
            <w:r>
              <w:rPr>
                <w:rFonts w:hint="eastAsia"/>
                <w:szCs w:val="21"/>
              </w:rPr>
              <w:t>烧失量</w:t>
            </w:r>
            <w:r>
              <w:rPr>
                <w:rFonts w:hint="eastAsia"/>
                <w:szCs w:val="21"/>
                <w:lang w:val="en-US" w:eastAsia="zh-CN"/>
              </w:rPr>
              <w:t>和</w:t>
            </w:r>
            <w:r>
              <w:rPr>
                <w:rFonts w:hint="eastAsia"/>
                <w:szCs w:val="21"/>
              </w:rPr>
              <w:t>活性指数</w:t>
            </w:r>
            <w:r>
              <w:rPr>
                <w:rFonts w:hint="eastAsia"/>
                <w:szCs w:val="21"/>
                <w:lang w:eastAsia="zh-CN"/>
              </w:rPr>
              <w:t>。</w:t>
            </w:r>
          </w:p>
        </w:tc>
        <w:tc>
          <w:tcPr>
            <w:tcW w:w="3616" w:type="dxa"/>
            <w:tcBorders>
              <w:right w:val="single" w:color="auto" w:sz="4" w:space="0"/>
            </w:tcBorders>
            <w:noWrap w:val="0"/>
            <w:vAlign w:val="center"/>
          </w:tcPr>
          <w:p>
            <w:pPr>
              <w:rPr>
                <w:szCs w:val="21"/>
              </w:rPr>
            </w:pPr>
            <w:r>
              <w:rPr>
                <w:szCs w:val="21"/>
              </w:rPr>
              <w:t xml:space="preserve">1 </w:t>
            </w:r>
            <w:r>
              <w:rPr>
                <w:rFonts w:hint="eastAsia"/>
                <w:szCs w:val="21"/>
              </w:rPr>
              <w:t>同一厂家、同一品种且同一强度等级的散装水泥不超过</w:t>
            </w:r>
            <w:r>
              <w:rPr>
                <w:szCs w:val="21"/>
              </w:rPr>
              <w:t>500t</w:t>
            </w:r>
            <w:r>
              <w:rPr>
                <w:rFonts w:hint="eastAsia"/>
                <w:szCs w:val="21"/>
              </w:rPr>
              <w:t>为一批；</w:t>
            </w:r>
          </w:p>
          <w:p>
            <w:pPr>
              <w:rPr>
                <w:szCs w:val="21"/>
              </w:rPr>
            </w:pPr>
            <w:r>
              <w:rPr>
                <w:szCs w:val="21"/>
              </w:rPr>
              <w:t xml:space="preserve">2 </w:t>
            </w:r>
            <w:r>
              <w:rPr>
                <w:rFonts w:hint="eastAsia"/>
                <w:szCs w:val="21"/>
              </w:rPr>
              <w:t>同一厂家（产地）且同一规格的细、粗骨料不超过</w:t>
            </w:r>
            <w:r>
              <w:rPr>
                <w:szCs w:val="21"/>
              </w:rPr>
              <w:t>400m</w:t>
            </w:r>
            <w:r>
              <w:rPr>
                <w:szCs w:val="21"/>
                <w:vertAlign w:val="superscript"/>
              </w:rPr>
              <w:t>3</w:t>
            </w:r>
            <w:r>
              <w:rPr>
                <w:rFonts w:hint="eastAsia"/>
                <w:szCs w:val="21"/>
              </w:rPr>
              <w:t>或</w:t>
            </w:r>
            <w:r>
              <w:rPr>
                <w:szCs w:val="21"/>
              </w:rPr>
              <w:t>600t</w:t>
            </w:r>
            <w:r>
              <w:rPr>
                <w:rFonts w:hint="eastAsia"/>
                <w:szCs w:val="21"/>
              </w:rPr>
              <w:t>为一批；</w:t>
            </w:r>
            <w:r>
              <w:rPr>
                <w:szCs w:val="21"/>
              </w:rPr>
              <w:t xml:space="preserve"> </w:t>
            </w:r>
          </w:p>
          <w:p>
            <w:pPr>
              <w:rPr>
                <w:szCs w:val="21"/>
              </w:rPr>
            </w:pPr>
            <w:r>
              <w:rPr>
                <w:szCs w:val="21"/>
              </w:rPr>
              <w:t>3</w:t>
            </w:r>
            <w:r>
              <w:rPr>
                <w:rFonts w:hint="eastAsia"/>
                <w:szCs w:val="21"/>
              </w:rPr>
              <w:t>同一类别、同一规格且同密度等级的轻粗骨料不超过</w:t>
            </w:r>
            <w:r>
              <w:rPr>
                <w:szCs w:val="21"/>
              </w:rPr>
              <w:t>200m</w:t>
            </w:r>
            <w:r>
              <w:rPr>
                <w:szCs w:val="21"/>
                <w:vertAlign w:val="superscript"/>
              </w:rPr>
              <w:t>3</w:t>
            </w:r>
            <w:r>
              <w:rPr>
                <w:rFonts w:hint="eastAsia"/>
                <w:szCs w:val="21"/>
              </w:rPr>
              <w:t>为一批；</w:t>
            </w:r>
          </w:p>
          <w:p>
            <w:pPr>
              <w:rPr>
                <w:szCs w:val="21"/>
              </w:rPr>
            </w:pPr>
            <w:r>
              <w:rPr>
                <w:szCs w:val="21"/>
              </w:rPr>
              <w:t xml:space="preserve">4 </w:t>
            </w:r>
            <w:r>
              <w:rPr>
                <w:rFonts w:hint="eastAsia"/>
                <w:szCs w:val="21"/>
              </w:rPr>
              <w:t>同一厂家、同一品种且同一等级的粉煤灰、粒化高炉矿渣粉不超过</w:t>
            </w:r>
            <w:r>
              <w:rPr>
                <w:szCs w:val="21"/>
              </w:rPr>
              <w:t>200t</w:t>
            </w:r>
            <w:r>
              <w:rPr>
                <w:rFonts w:hint="eastAsia"/>
                <w:szCs w:val="21"/>
              </w:rPr>
              <w:t>为一批。</w:t>
            </w:r>
            <w:r>
              <w:rPr>
                <w:szCs w:val="21"/>
              </w:rPr>
              <w:t xml:space="preserve"> </w:t>
            </w:r>
          </w:p>
        </w:tc>
        <w:tc>
          <w:tcPr>
            <w:tcW w:w="735" w:type="dxa"/>
            <w:tcBorders>
              <w:left w:val="single" w:color="auto" w:sz="4" w:space="0"/>
            </w:tcBorders>
            <w:noWrap w:val="0"/>
            <w:vAlign w:val="center"/>
          </w:tcPr>
          <w:p>
            <w:pPr>
              <w:jc w:val="center"/>
              <w:rPr>
                <w:szCs w:val="21"/>
              </w:rPr>
            </w:pPr>
            <w:r>
              <w:rPr>
                <w:rFonts w:hint="eastAsia"/>
                <w:szCs w:val="21"/>
                <w:lang w:eastAsia="zh-CN"/>
              </w:rPr>
              <w:t>6.</w:t>
            </w:r>
            <w:r>
              <w:rPr>
                <w:rFonts w:hint="eastAsia"/>
                <w:szCs w:val="21"/>
              </w:rPr>
              <w:t>2.1</w:t>
            </w:r>
          </w:p>
          <w:p>
            <w:pPr>
              <w:jc w:val="center"/>
              <w:rPr>
                <w:rFonts w:hint="default" w:eastAsia="宋体"/>
                <w:szCs w:val="21"/>
                <w:lang w:val="en-US" w:eastAsia="zh-CN"/>
              </w:rPr>
            </w:pPr>
            <w:r>
              <w:rPr>
                <w:rFonts w:hint="eastAsia"/>
                <w:szCs w:val="21"/>
                <w:lang w:eastAsia="zh-CN"/>
              </w:rPr>
              <w:t>6.</w:t>
            </w:r>
            <w:r>
              <w:rPr>
                <w:rFonts w:hint="eastAsia"/>
                <w:szCs w:val="21"/>
              </w:rPr>
              <w:t>2.2</w:t>
            </w:r>
            <w:r>
              <w:rPr>
                <w:rFonts w:hint="eastAsia"/>
                <w:szCs w:val="21"/>
                <w:lang w:val="en-US" w:eastAsia="zh-CN"/>
              </w:rPr>
              <w:t>～6.2.3</w:t>
            </w:r>
          </w:p>
          <w:p>
            <w:pPr>
              <w:jc w:val="center"/>
              <w:rPr>
                <w:szCs w:val="21"/>
              </w:rPr>
            </w:pPr>
            <w:r>
              <w:rPr>
                <w:rFonts w:hint="eastAsia"/>
                <w:szCs w:val="21"/>
                <w:lang w:eastAsia="zh-CN"/>
              </w:rPr>
              <w:t>6.</w:t>
            </w:r>
            <w:r>
              <w:rPr>
                <w:rFonts w:hint="eastAsia"/>
                <w:szCs w:val="21"/>
              </w:rPr>
              <w:t>2.4</w:t>
            </w:r>
          </w:p>
          <w:p>
            <w:pPr>
              <w:jc w:val="center"/>
              <w:rPr>
                <w:rFonts w:hint="eastAsia"/>
                <w:szCs w:val="21"/>
              </w:rPr>
            </w:pPr>
            <w:r>
              <w:rPr>
                <w:rFonts w:hint="eastAsia"/>
                <w:szCs w:val="21"/>
                <w:lang w:eastAsia="zh-CN"/>
              </w:rPr>
              <w:t>6.</w:t>
            </w:r>
            <w:r>
              <w:rPr>
                <w:rFonts w:hint="eastAsia"/>
                <w:szCs w:val="21"/>
              </w:rPr>
              <w:t>2.5</w:t>
            </w:r>
          </w:p>
          <w:p>
            <w:pPr>
              <w:jc w:val="center"/>
              <w:rPr>
                <w:szCs w:val="21"/>
              </w:rPr>
            </w:pPr>
            <w:r>
              <w:rPr>
                <w:rFonts w:hint="eastAsia"/>
                <w:szCs w:val="21"/>
                <w:lang w:val="en-US" w:eastAsia="zh-CN"/>
              </w:rPr>
              <w:t>6.2.6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645" w:type="dxa"/>
            <w:noWrap w:val="0"/>
            <w:vAlign w:val="center"/>
          </w:tcPr>
          <w:p>
            <w:pPr>
              <w:jc w:val="center"/>
              <w:rPr>
                <w:szCs w:val="21"/>
              </w:rPr>
            </w:pPr>
            <w:r>
              <w:rPr>
                <w:rFonts w:hint="eastAsia"/>
                <w:szCs w:val="21"/>
              </w:rPr>
              <w:t>2</w:t>
            </w:r>
          </w:p>
        </w:tc>
        <w:tc>
          <w:tcPr>
            <w:tcW w:w="660" w:type="dxa"/>
            <w:noWrap w:val="0"/>
            <w:vAlign w:val="center"/>
          </w:tcPr>
          <w:p>
            <w:pPr>
              <w:jc w:val="center"/>
              <w:rPr>
                <w:szCs w:val="21"/>
              </w:rPr>
            </w:pPr>
            <w:r>
              <w:rPr>
                <w:rFonts w:hint="eastAsia"/>
                <w:szCs w:val="21"/>
              </w:rPr>
              <w:t>钢筋与预应力材料</w:t>
            </w:r>
          </w:p>
        </w:tc>
        <w:tc>
          <w:tcPr>
            <w:tcW w:w="3675" w:type="dxa"/>
            <w:noWrap w:val="0"/>
            <w:vAlign w:val="center"/>
          </w:tcPr>
          <w:p>
            <w:pPr>
              <w:spacing w:line="264" w:lineRule="auto"/>
              <w:rPr>
                <w:szCs w:val="21"/>
              </w:rPr>
            </w:pPr>
            <w:r>
              <w:rPr>
                <w:szCs w:val="21"/>
              </w:rPr>
              <w:t xml:space="preserve">1 </w:t>
            </w:r>
            <w:r>
              <w:rPr>
                <w:rFonts w:hint="eastAsia"/>
                <w:szCs w:val="21"/>
              </w:rPr>
              <w:t>钢筋：屈服强度、抗拉强度、伸长率、弯曲性能及重量偏差；</w:t>
            </w:r>
          </w:p>
          <w:p>
            <w:pPr>
              <w:spacing w:line="264" w:lineRule="auto"/>
              <w:rPr>
                <w:szCs w:val="21"/>
              </w:rPr>
            </w:pPr>
            <w:r>
              <w:rPr>
                <w:rFonts w:hint="eastAsia"/>
                <w:szCs w:val="21"/>
              </w:rPr>
              <w:t>2</w:t>
            </w:r>
            <w:r>
              <w:rPr>
                <w:szCs w:val="21"/>
              </w:rPr>
              <w:t xml:space="preserve"> </w:t>
            </w:r>
            <w:r>
              <w:rPr>
                <w:rFonts w:hint="eastAsia"/>
                <w:szCs w:val="21"/>
              </w:rPr>
              <w:t>成型钢筋：屈服强度、抗拉强度、伸长率和重量偏差；</w:t>
            </w:r>
          </w:p>
          <w:p>
            <w:pPr>
              <w:spacing w:line="264" w:lineRule="auto"/>
              <w:rPr>
                <w:szCs w:val="21"/>
              </w:rPr>
            </w:pPr>
            <w:r>
              <w:rPr>
                <w:szCs w:val="21"/>
              </w:rPr>
              <w:t xml:space="preserve">3 </w:t>
            </w:r>
            <w:r>
              <w:rPr>
                <w:rFonts w:hint="eastAsia"/>
                <w:szCs w:val="21"/>
              </w:rPr>
              <w:t>预应力筋：抗拉强度、伸长率、弹性模量；</w:t>
            </w:r>
          </w:p>
          <w:p>
            <w:pPr>
              <w:spacing w:line="264" w:lineRule="auto"/>
              <w:rPr>
                <w:szCs w:val="21"/>
              </w:rPr>
            </w:pPr>
            <w:r>
              <w:rPr>
                <w:szCs w:val="21"/>
              </w:rPr>
              <w:t xml:space="preserve">4 </w:t>
            </w:r>
            <w:r>
              <w:rPr>
                <w:rFonts w:hint="eastAsia"/>
                <w:szCs w:val="21"/>
              </w:rPr>
              <w:t>预制预应力混凝土梁键槽内</w:t>
            </w:r>
            <w:r>
              <w:rPr>
                <w:szCs w:val="21"/>
              </w:rPr>
              <w:t>U</w:t>
            </w:r>
            <w:r>
              <w:rPr>
                <w:rFonts w:hint="eastAsia"/>
                <w:szCs w:val="21"/>
              </w:rPr>
              <w:t>型钢筋：抗拉强度、伸长率；</w:t>
            </w:r>
          </w:p>
          <w:p>
            <w:pPr>
              <w:spacing w:line="264" w:lineRule="auto"/>
              <w:rPr>
                <w:szCs w:val="21"/>
              </w:rPr>
            </w:pPr>
            <w:r>
              <w:rPr>
                <w:szCs w:val="21"/>
              </w:rPr>
              <w:t xml:space="preserve">5 </w:t>
            </w:r>
            <w:r>
              <w:rPr>
                <w:rFonts w:hint="eastAsia"/>
                <w:szCs w:val="21"/>
              </w:rPr>
              <w:t>锚具、夹具：硬度、静载锚固性能。</w:t>
            </w:r>
          </w:p>
        </w:tc>
        <w:tc>
          <w:tcPr>
            <w:tcW w:w="3616" w:type="dxa"/>
            <w:tcBorders>
              <w:right w:val="single" w:color="auto" w:sz="4" w:space="0"/>
            </w:tcBorders>
            <w:noWrap w:val="0"/>
            <w:vAlign w:val="top"/>
          </w:tcPr>
          <w:p>
            <w:pPr>
              <w:spacing w:before="120" w:beforeLines="50" w:line="264" w:lineRule="auto"/>
              <w:rPr>
                <w:szCs w:val="21"/>
              </w:rPr>
            </w:pPr>
            <w:r>
              <w:rPr>
                <w:szCs w:val="21"/>
              </w:rPr>
              <w:t xml:space="preserve">1 </w:t>
            </w:r>
            <w:r>
              <w:rPr>
                <w:rFonts w:hint="eastAsia"/>
                <w:szCs w:val="21"/>
              </w:rPr>
              <w:t>同一厂家、同一牌号且同一规格的钢筋不超过</w:t>
            </w:r>
            <w:r>
              <w:rPr>
                <w:szCs w:val="21"/>
              </w:rPr>
              <w:t>60t</w:t>
            </w:r>
            <w:r>
              <w:rPr>
                <w:rFonts w:hint="eastAsia"/>
                <w:szCs w:val="21"/>
              </w:rPr>
              <w:t>为一批，超过</w:t>
            </w:r>
            <w:r>
              <w:rPr>
                <w:szCs w:val="21"/>
              </w:rPr>
              <w:t>60t</w:t>
            </w:r>
            <w:r>
              <w:rPr>
                <w:rFonts w:hint="eastAsia"/>
                <w:szCs w:val="21"/>
              </w:rPr>
              <w:t>的部分，每增加</w:t>
            </w:r>
            <w:r>
              <w:rPr>
                <w:szCs w:val="21"/>
              </w:rPr>
              <w:t>40t</w:t>
            </w:r>
            <w:r>
              <w:rPr>
                <w:rFonts w:hint="eastAsia"/>
                <w:szCs w:val="21"/>
              </w:rPr>
              <w:t>（含不足</w:t>
            </w:r>
            <w:r>
              <w:rPr>
                <w:szCs w:val="21"/>
              </w:rPr>
              <w:t>40t</w:t>
            </w:r>
            <w:r>
              <w:rPr>
                <w:rFonts w:hint="eastAsia"/>
                <w:szCs w:val="21"/>
              </w:rPr>
              <w:t>）增加一个拉伸试验试件和一个弯曲试验试件；</w:t>
            </w:r>
          </w:p>
          <w:p>
            <w:pPr>
              <w:spacing w:line="264" w:lineRule="auto"/>
              <w:rPr>
                <w:szCs w:val="21"/>
              </w:rPr>
            </w:pPr>
            <w:r>
              <w:rPr>
                <w:szCs w:val="21"/>
              </w:rPr>
              <w:t xml:space="preserve">2 </w:t>
            </w:r>
            <w:r>
              <w:rPr>
                <w:rFonts w:hint="eastAsia"/>
                <w:szCs w:val="21"/>
              </w:rPr>
              <w:t>同一厂家、同一类型且同一钢筋来源的成型钢筋不超过</w:t>
            </w:r>
            <w:r>
              <w:rPr>
                <w:szCs w:val="21"/>
              </w:rPr>
              <w:t>30t</w:t>
            </w:r>
            <w:r>
              <w:rPr>
                <w:rFonts w:hint="eastAsia"/>
                <w:szCs w:val="21"/>
              </w:rPr>
              <w:t>为一批，每批中每种钢筋牌号、规格均应至少抽取一个钢筋试件，总数不应少于</w:t>
            </w:r>
            <w:r>
              <w:rPr>
                <w:szCs w:val="21"/>
              </w:rPr>
              <w:t>3</w:t>
            </w:r>
            <w:r>
              <w:rPr>
                <w:rFonts w:hint="eastAsia"/>
                <w:szCs w:val="21"/>
              </w:rPr>
              <w:t>个；</w:t>
            </w:r>
          </w:p>
          <w:p>
            <w:pPr>
              <w:spacing w:line="264" w:lineRule="auto"/>
              <w:rPr>
                <w:szCs w:val="21"/>
              </w:rPr>
            </w:pPr>
            <w:r>
              <w:rPr>
                <w:szCs w:val="21"/>
              </w:rPr>
              <w:t xml:space="preserve">3 </w:t>
            </w:r>
            <w:r>
              <w:rPr>
                <w:rFonts w:hint="eastAsia"/>
                <w:szCs w:val="21"/>
              </w:rPr>
              <w:t>同一厂家、同一规格、同一强度等级且同一批号的预应力筋不超过</w:t>
            </w:r>
            <w:r>
              <w:rPr>
                <w:szCs w:val="21"/>
              </w:rPr>
              <w:t>60t</w:t>
            </w:r>
            <w:r>
              <w:rPr>
                <w:rFonts w:hint="eastAsia"/>
                <w:szCs w:val="21"/>
              </w:rPr>
              <w:t>为一批；</w:t>
            </w:r>
          </w:p>
          <w:p>
            <w:pPr>
              <w:spacing w:line="264" w:lineRule="auto"/>
              <w:rPr>
                <w:szCs w:val="21"/>
              </w:rPr>
            </w:pPr>
            <w:r>
              <w:rPr>
                <w:szCs w:val="21"/>
              </w:rPr>
              <w:t xml:space="preserve">4 </w:t>
            </w:r>
            <w:r>
              <w:rPr>
                <w:rFonts w:hint="eastAsia"/>
                <w:szCs w:val="21"/>
              </w:rPr>
              <w:t>同一厂家、同一牌号且同一规格的预制预应力混凝土梁键槽内</w:t>
            </w:r>
            <w:r>
              <w:rPr>
                <w:szCs w:val="21"/>
              </w:rPr>
              <w:t>U</w:t>
            </w:r>
            <w:r>
              <w:rPr>
                <w:rFonts w:hint="eastAsia"/>
                <w:szCs w:val="21"/>
              </w:rPr>
              <w:t>型钢筋不超过</w:t>
            </w:r>
            <w:r>
              <w:rPr>
                <w:szCs w:val="21"/>
              </w:rPr>
              <w:t>60t</w:t>
            </w:r>
            <w:r>
              <w:rPr>
                <w:rFonts w:hint="eastAsia"/>
                <w:szCs w:val="21"/>
              </w:rPr>
              <w:t>为一批；</w:t>
            </w:r>
          </w:p>
          <w:p>
            <w:pPr>
              <w:spacing w:after="120" w:afterLines="50" w:line="264" w:lineRule="auto"/>
              <w:rPr>
                <w:szCs w:val="21"/>
              </w:rPr>
            </w:pPr>
            <w:r>
              <w:rPr>
                <w:szCs w:val="21"/>
              </w:rPr>
              <w:t xml:space="preserve">5 </w:t>
            </w:r>
            <w:r>
              <w:rPr>
                <w:rFonts w:hint="eastAsia"/>
                <w:szCs w:val="21"/>
              </w:rPr>
              <w:t>同一厂家、同一型号、同一规格且同一批号的锚具不超过</w:t>
            </w:r>
            <w:r>
              <w:rPr>
                <w:szCs w:val="21"/>
              </w:rPr>
              <w:t>1000</w:t>
            </w:r>
            <w:r>
              <w:rPr>
                <w:rFonts w:hint="eastAsia"/>
                <w:szCs w:val="21"/>
              </w:rPr>
              <w:t>套为一批，夹具和连接器不超过</w:t>
            </w:r>
            <w:r>
              <w:rPr>
                <w:szCs w:val="21"/>
              </w:rPr>
              <w:t>500</w:t>
            </w:r>
            <w:r>
              <w:rPr>
                <w:rFonts w:hint="eastAsia"/>
                <w:szCs w:val="21"/>
              </w:rPr>
              <w:t>套为一批。</w:t>
            </w:r>
            <w:r>
              <w:rPr>
                <w:szCs w:val="21"/>
              </w:rPr>
              <w:t xml:space="preserve"> </w:t>
            </w:r>
          </w:p>
        </w:tc>
        <w:tc>
          <w:tcPr>
            <w:tcW w:w="735" w:type="dxa"/>
            <w:tcBorders>
              <w:left w:val="single" w:color="auto" w:sz="4" w:space="0"/>
            </w:tcBorders>
            <w:noWrap w:val="0"/>
            <w:vAlign w:val="center"/>
          </w:tcPr>
          <w:p>
            <w:pPr>
              <w:jc w:val="center"/>
              <w:rPr>
                <w:szCs w:val="21"/>
              </w:rPr>
            </w:pPr>
            <w:r>
              <w:rPr>
                <w:rFonts w:hint="eastAsia"/>
                <w:szCs w:val="21"/>
                <w:lang w:eastAsia="zh-CN"/>
              </w:rPr>
              <w:t>6.</w:t>
            </w:r>
            <w:r>
              <w:rPr>
                <w:rFonts w:hint="eastAsia"/>
                <w:szCs w:val="21"/>
              </w:rPr>
              <w:t>3.2</w:t>
            </w:r>
          </w:p>
          <w:p>
            <w:pPr>
              <w:jc w:val="center"/>
              <w:rPr>
                <w:szCs w:val="21"/>
              </w:rPr>
            </w:pPr>
            <w:r>
              <w:rPr>
                <w:rFonts w:hint="eastAsia"/>
                <w:szCs w:val="21"/>
                <w:lang w:eastAsia="zh-CN"/>
              </w:rPr>
              <w:t>6.</w:t>
            </w:r>
            <w:r>
              <w:rPr>
                <w:rFonts w:hint="eastAsia"/>
                <w:szCs w:val="21"/>
              </w:rPr>
              <w:t>3.3</w:t>
            </w:r>
          </w:p>
          <w:p>
            <w:pPr>
              <w:jc w:val="center"/>
              <w:rPr>
                <w:szCs w:val="21"/>
              </w:rPr>
            </w:pPr>
            <w:r>
              <w:rPr>
                <w:rFonts w:hint="eastAsia"/>
                <w:szCs w:val="21"/>
                <w:lang w:eastAsia="zh-CN"/>
              </w:rPr>
              <w:t>6.</w:t>
            </w:r>
            <w:r>
              <w:rPr>
                <w:rFonts w:hint="eastAsia"/>
                <w:szCs w:val="21"/>
              </w:rPr>
              <w:t>3.4</w:t>
            </w:r>
          </w:p>
          <w:p>
            <w:pPr>
              <w:jc w:val="center"/>
              <w:rPr>
                <w:szCs w:val="21"/>
              </w:rPr>
            </w:pPr>
            <w:r>
              <w:rPr>
                <w:rFonts w:hint="eastAsia"/>
                <w:szCs w:val="21"/>
                <w:lang w:eastAsia="zh-CN"/>
              </w:rPr>
              <w:t>6.</w:t>
            </w:r>
            <w:r>
              <w:rPr>
                <w:rFonts w:hint="eastAsia"/>
                <w:szCs w:val="21"/>
              </w:rPr>
              <w:t>3.5</w:t>
            </w:r>
          </w:p>
          <w:p>
            <w:pPr>
              <w:jc w:val="center"/>
              <w:rPr>
                <w:szCs w:val="21"/>
              </w:rPr>
            </w:pPr>
            <w:r>
              <w:rPr>
                <w:rFonts w:hint="eastAsia"/>
                <w:szCs w:val="21"/>
                <w:lang w:eastAsia="zh-CN"/>
              </w:rPr>
              <w:t>6.</w:t>
            </w:r>
            <w:r>
              <w:rPr>
                <w:rFonts w:hint="eastAsia"/>
                <w:szCs w:val="21"/>
              </w:rPr>
              <w:t>3.6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645" w:type="dxa"/>
            <w:noWrap w:val="0"/>
            <w:vAlign w:val="center"/>
          </w:tcPr>
          <w:p>
            <w:pPr>
              <w:jc w:val="center"/>
              <w:rPr>
                <w:szCs w:val="21"/>
              </w:rPr>
            </w:pPr>
            <w:r>
              <w:rPr>
                <w:rFonts w:hint="eastAsia"/>
                <w:szCs w:val="21"/>
              </w:rPr>
              <w:t>3</w:t>
            </w:r>
          </w:p>
        </w:tc>
        <w:tc>
          <w:tcPr>
            <w:tcW w:w="660" w:type="dxa"/>
            <w:noWrap w:val="0"/>
            <w:vAlign w:val="center"/>
          </w:tcPr>
          <w:p>
            <w:pPr>
              <w:jc w:val="center"/>
              <w:rPr>
                <w:szCs w:val="21"/>
              </w:rPr>
            </w:pPr>
            <w:r>
              <w:rPr>
                <w:rFonts w:hint="eastAsia"/>
                <w:szCs w:val="21"/>
              </w:rPr>
              <w:t>连接材料</w:t>
            </w:r>
          </w:p>
        </w:tc>
        <w:tc>
          <w:tcPr>
            <w:tcW w:w="3675" w:type="dxa"/>
            <w:noWrap w:val="0"/>
            <w:vAlign w:val="center"/>
          </w:tcPr>
          <w:p>
            <w:pPr>
              <w:rPr>
                <w:szCs w:val="21"/>
              </w:rPr>
            </w:pPr>
            <w:r>
              <w:rPr>
                <w:szCs w:val="21"/>
              </w:rPr>
              <w:t xml:space="preserve">1 </w:t>
            </w:r>
            <w:r>
              <w:rPr>
                <w:rFonts w:hint="eastAsia"/>
                <w:szCs w:val="21"/>
              </w:rPr>
              <w:t>钢筋灌浆套筒：外观、抗拉强度；</w:t>
            </w:r>
          </w:p>
          <w:p>
            <w:pPr>
              <w:rPr>
                <w:szCs w:val="21"/>
              </w:rPr>
            </w:pPr>
            <w:r>
              <w:rPr>
                <w:rFonts w:hint="eastAsia"/>
                <w:szCs w:val="21"/>
                <w:lang w:val="en-US" w:eastAsia="zh-CN"/>
              </w:rPr>
              <w:t>2 灌浆料：抗压强度、流动度、竖向膨胀率、泌水率</w:t>
            </w:r>
            <w:r>
              <w:rPr>
                <w:rFonts w:hint="eastAsia"/>
                <w:szCs w:val="21"/>
              </w:rPr>
              <w:t>；</w:t>
            </w:r>
          </w:p>
          <w:p>
            <w:pPr>
              <w:rPr>
                <w:szCs w:val="21"/>
              </w:rPr>
            </w:pPr>
            <w:r>
              <w:rPr>
                <w:rFonts w:hint="eastAsia"/>
                <w:szCs w:val="21"/>
                <w:lang w:val="en-US" w:eastAsia="zh-CN"/>
              </w:rPr>
              <w:t>3</w:t>
            </w:r>
            <w:r>
              <w:rPr>
                <w:szCs w:val="21"/>
              </w:rPr>
              <w:t xml:space="preserve"> </w:t>
            </w:r>
            <w:r>
              <w:rPr>
                <w:rFonts w:hint="eastAsia"/>
                <w:szCs w:val="21"/>
              </w:rPr>
              <w:t>金属波纹管：外观、</w:t>
            </w:r>
            <w:r>
              <w:rPr>
                <w:rFonts w:hint="eastAsia"/>
                <w:szCs w:val="21"/>
                <w:lang w:val="en-US" w:eastAsia="zh-CN"/>
              </w:rPr>
              <w:t>几何尺寸、集中荷载下的径向刚度、抗弯曲渗漏等；</w:t>
            </w:r>
          </w:p>
          <w:p>
            <w:pPr>
              <w:rPr>
                <w:szCs w:val="21"/>
              </w:rPr>
            </w:pPr>
          </w:p>
        </w:tc>
        <w:tc>
          <w:tcPr>
            <w:tcW w:w="3616" w:type="dxa"/>
            <w:tcBorders>
              <w:right w:val="single" w:color="auto" w:sz="4" w:space="0"/>
            </w:tcBorders>
            <w:noWrap w:val="0"/>
            <w:vAlign w:val="center"/>
          </w:tcPr>
          <w:p>
            <w:pPr>
              <w:spacing w:line="264" w:lineRule="auto"/>
              <w:rPr>
                <w:rFonts w:hint="eastAsia"/>
                <w:szCs w:val="21"/>
              </w:rPr>
            </w:pPr>
            <w:r>
              <w:rPr>
                <w:rFonts w:hint="eastAsia"/>
                <w:szCs w:val="21"/>
              </w:rPr>
              <w:t>1 同一批号、同一类型、同一规格的灌浆套筒，不超过1000个为一批；</w:t>
            </w:r>
          </w:p>
          <w:p>
            <w:pPr>
              <w:spacing w:line="264" w:lineRule="auto"/>
              <w:rPr>
                <w:rFonts w:hint="eastAsia"/>
                <w:szCs w:val="21"/>
              </w:rPr>
            </w:pPr>
            <w:r>
              <w:rPr>
                <w:rFonts w:hint="eastAsia"/>
                <w:szCs w:val="21"/>
                <w:lang w:val="en-US" w:eastAsia="zh-CN"/>
              </w:rPr>
              <w:t>2</w:t>
            </w:r>
            <w:r>
              <w:rPr>
                <w:rFonts w:hint="eastAsia"/>
                <w:szCs w:val="21"/>
              </w:rPr>
              <w:t xml:space="preserve"> 灌浆料每5</w:t>
            </w:r>
            <w:r>
              <w:rPr>
                <w:rFonts w:hint="eastAsia"/>
                <w:szCs w:val="21"/>
                <w:lang w:val="en-US" w:eastAsia="zh-CN"/>
              </w:rPr>
              <w:t>0</w:t>
            </w:r>
            <w:r>
              <w:rPr>
                <w:rFonts w:hint="eastAsia"/>
                <w:szCs w:val="21"/>
              </w:rPr>
              <w:t>t为一批；</w:t>
            </w:r>
          </w:p>
          <w:p>
            <w:pPr>
              <w:spacing w:line="264" w:lineRule="auto"/>
              <w:rPr>
                <w:szCs w:val="21"/>
              </w:rPr>
            </w:pPr>
            <w:r>
              <w:rPr>
                <w:rFonts w:hint="eastAsia"/>
                <w:szCs w:val="21"/>
                <w:lang w:val="en-US" w:eastAsia="zh-CN"/>
              </w:rPr>
              <w:t>3</w:t>
            </w:r>
            <w:r>
              <w:rPr>
                <w:rFonts w:hint="eastAsia"/>
                <w:szCs w:val="21"/>
              </w:rPr>
              <w:t xml:space="preserve"> 金属波纹管每1000m为一批。</w:t>
            </w:r>
          </w:p>
        </w:tc>
        <w:tc>
          <w:tcPr>
            <w:tcW w:w="735" w:type="dxa"/>
            <w:tcBorders>
              <w:left w:val="single" w:color="auto" w:sz="4" w:space="0"/>
            </w:tcBorders>
            <w:noWrap w:val="0"/>
            <w:vAlign w:val="center"/>
          </w:tcPr>
          <w:p>
            <w:pPr>
              <w:widowControl/>
              <w:jc w:val="center"/>
              <w:rPr>
                <w:szCs w:val="21"/>
              </w:rPr>
            </w:pPr>
            <w:r>
              <w:rPr>
                <w:rFonts w:hint="eastAsia"/>
                <w:szCs w:val="21"/>
                <w:lang w:val="en-US" w:eastAsia="zh-CN"/>
              </w:rPr>
              <w:t>6</w:t>
            </w:r>
            <w:r>
              <w:rPr>
                <w:rFonts w:hint="eastAsia"/>
                <w:szCs w:val="21"/>
              </w:rPr>
              <w:t>.4.1</w:t>
            </w:r>
          </w:p>
          <w:p>
            <w:pPr>
              <w:widowControl/>
              <w:jc w:val="center"/>
              <w:rPr>
                <w:szCs w:val="21"/>
              </w:rPr>
            </w:pPr>
            <w:r>
              <w:rPr>
                <w:rFonts w:hint="eastAsia"/>
                <w:szCs w:val="21"/>
                <w:lang w:val="en-US" w:eastAsia="zh-CN"/>
              </w:rPr>
              <w:t>6</w:t>
            </w:r>
            <w:r>
              <w:rPr>
                <w:rFonts w:hint="eastAsia"/>
                <w:szCs w:val="21"/>
              </w:rPr>
              <w:t>.4.2</w:t>
            </w:r>
          </w:p>
          <w:p>
            <w:pPr>
              <w:widowControl/>
              <w:jc w:val="center"/>
              <w:rPr>
                <w:rFonts w:hint="eastAsia" w:eastAsia="宋体"/>
                <w:szCs w:val="21"/>
                <w:lang w:eastAsia="zh-CN"/>
              </w:rPr>
            </w:pPr>
            <w:r>
              <w:rPr>
                <w:rFonts w:hint="eastAsia"/>
                <w:szCs w:val="21"/>
                <w:lang w:val="en-US" w:eastAsia="zh-CN"/>
              </w:rPr>
              <w:t>6</w:t>
            </w:r>
            <w:r>
              <w:rPr>
                <w:rFonts w:hint="eastAsia"/>
                <w:szCs w:val="21"/>
              </w:rPr>
              <w:t>4.4.</w:t>
            </w:r>
            <w:r>
              <w:rPr>
                <w:rFonts w:hint="eastAsia"/>
                <w:szCs w:val="21"/>
                <w:lang w:val="en-US" w:eastAsia="zh-CN"/>
              </w:rPr>
              <w:t>3</w:t>
            </w:r>
          </w:p>
          <w:p>
            <w:pPr>
              <w:widowControl/>
              <w:jc w:val="center"/>
              <w:rPr>
                <w:szCs w:val="21"/>
              </w:rPr>
            </w:pP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645" w:type="dxa"/>
            <w:noWrap w:val="0"/>
            <w:vAlign w:val="center"/>
          </w:tcPr>
          <w:p>
            <w:pPr>
              <w:jc w:val="center"/>
              <w:rPr>
                <w:szCs w:val="21"/>
              </w:rPr>
            </w:pPr>
            <w:r>
              <w:rPr>
                <w:rFonts w:hint="eastAsia"/>
                <w:szCs w:val="21"/>
              </w:rPr>
              <w:t>4</w:t>
            </w:r>
          </w:p>
        </w:tc>
        <w:tc>
          <w:tcPr>
            <w:tcW w:w="660" w:type="dxa"/>
            <w:noWrap w:val="0"/>
            <w:vAlign w:val="center"/>
          </w:tcPr>
          <w:p>
            <w:pPr>
              <w:jc w:val="center"/>
              <w:rPr>
                <w:szCs w:val="21"/>
              </w:rPr>
            </w:pPr>
            <w:r>
              <w:rPr>
                <w:rFonts w:hint="eastAsia"/>
                <w:szCs w:val="21"/>
              </w:rPr>
              <w:t>预留预埋件材料</w:t>
            </w:r>
          </w:p>
        </w:tc>
        <w:tc>
          <w:tcPr>
            <w:tcW w:w="3675" w:type="dxa"/>
            <w:noWrap w:val="0"/>
            <w:vAlign w:val="center"/>
          </w:tcPr>
          <w:p>
            <w:pPr>
              <w:rPr>
                <w:szCs w:val="21"/>
              </w:rPr>
            </w:pPr>
            <w:r>
              <w:rPr>
                <w:szCs w:val="21"/>
              </w:rPr>
              <w:t xml:space="preserve">1 </w:t>
            </w:r>
            <w:r>
              <w:rPr>
                <w:rFonts w:hint="eastAsia"/>
                <w:szCs w:val="21"/>
              </w:rPr>
              <w:t>吊装件：抗拔力；</w:t>
            </w:r>
          </w:p>
          <w:p>
            <w:pPr>
              <w:rPr>
                <w:szCs w:val="21"/>
              </w:rPr>
            </w:pPr>
            <w:r>
              <w:rPr>
                <w:szCs w:val="21"/>
              </w:rPr>
              <w:t xml:space="preserve">2 </w:t>
            </w:r>
            <w:r>
              <w:rPr>
                <w:rFonts w:hint="eastAsia"/>
                <w:szCs w:val="21"/>
              </w:rPr>
              <w:t>管线：材料、品种、规格、型号；</w:t>
            </w:r>
          </w:p>
          <w:p>
            <w:pPr>
              <w:rPr>
                <w:szCs w:val="21"/>
              </w:rPr>
            </w:pPr>
            <w:r>
              <w:rPr>
                <w:szCs w:val="21"/>
              </w:rPr>
              <w:t xml:space="preserve">3 </w:t>
            </w:r>
            <w:r>
              <w:rPr>
                <w:rFonts w:hint="eastAsia"/>
                <w:szCs w:val="21"/>
              </w:rPr>
              <w:t>拉结件：抗</w:t>
            </w:r>
            <w:r>
              <w:rPr>
                <w:rFonts w:hint="eastAsia"/>
                <w:szCs w:val="21"/>
                <w:lang w:val="en-US" w:eastAsia="zh-CN"/>
              </w:rPr>
              <w:t>拉</w:t>
            </w:r>
            <w:r>
              <w:rPr>
                <w:rFonts w:hint="eastAsia"/>
                <w:szCs w:val="21"/>
              </w:rPr>
              <w:t>承载力；</w:t>
            </w:r>
          </w:p>
          <w:p>
            <w:pPr>
              <w:rPr>
                <w:szCs w:val="21"/>
              </w:rPr>
            </w:pPr>
            <w:r>
              <w:rPr>
                <w:szCs w:val="21"/>
              </w:rPr>
              <w:t xml:space="preserve">4 </w:t>
            </w:r>
            <w:r>
              <w:rPr>
                <w:rFonts w:hint="eastAsia"/>
                <w:szCs w:val="21"/>
              </w:rPr>
              <w:t>预埋件：外观质量、尺寸偏差、防腐防锈措施。</w:t>
            </w:r>
          </w:p>
        </w:tc>
        <w:tc>
          <w:tcPr>
            <w:tcW w:w="3616" w:type="dxa"/>
            <w:tcBorders>
              <w:right w:val="single" w:color="auto" w:sz="4" w:space="0"/>
            </w:tcBorders>
            <w:noWrap w:val="0"/>
            <w:vAlign w:val="center"/>
          </w:tcPr>
          <w:p>
            <w:pPr>
              <w:rPr>
                <w:szCs w:val="21"/>
              </w:rPr>
            </w:pPr>
            <w:r>
              <w:rPr>
                <w:rFonts w:hint="eastAsia"/>
                <w:szCs w:val="21"/>
              </w:rPr>
              <w:t>1</w:t>
            </w:r>
            <w:r>
              <w:rPr>
                <w:szCs w:val="21"/>
              </w:rPr>
              <w:t xml:space="preserve"> </w:t>
            </w:r>
            <w:r>
              <w:rPr>
                <w:rFonts w:hint="eastAsia"/>
                <w:szCs w:val="21"/>
              </w:rPr>
              <w:t>按进场批次和产品的相关标准或抽样检验方案确定。</w:t>
            </w:r>
          </w:p>
        </w:tc>
        <w:tc>
          <w:tcPr>
            <w:tcW w:w="735" w:type="dxa"/>
            <w:tcBorders>
              <w:left w:val="single" w:color="auto" w:sz="4" w:space="0"/>
            </w:tcBorders>
            <w:noWrap w:val="0"/>
            <w:vAlign w:val="center"/>
          </w:tcPr>
          <w:p>
            <w:pPr>
              <w:widowControl/>
              <w:jc w:val="center"/>
              <w:rPr>
                <w:szCs w:val="21"/>
              </w:rPr>
            </w:pPr>
            <w:r>
              <w:rPr>
                <w:rFonts w:hint="eastAsia"/>
                <w:szCs w:val="21"/>
                <w:lang w:eastAsia="zh-CN"/>
              </w:rPr>
              <w:t>6.</w:t>
            </w:r>
            <w:r>
              <w:rPr>
                <w:rFonts w:hint="eastAsia"/>
                <w:szCs w:val="21"/>
              </w:rPr>
              <w:t>5.1</w:t>
            </w:r>
          </w:p>
          <w:p>
            <w:pPr>
              <w:widowControl/>
              <w:jc w:val="center"/>
              <w:rPr>
                <w:szCs w:val="21"/>
              </w:rPr>
            </w:pPr>
            <w:r>
              <w:rPr>
                <w:rFonts w:hint="eastAsia"/>
                <w:szCs w:val="21"/>
                <w:lang w:eastAsia="zh-CN"/>
              </w:rPr>
              <w:t>6.</w:t>
            </w:r>
            <w:r>
              <w:rPr>
                <w:rFonts w:hint="eastAsia"/>
                <w:szCs w:val="21"/>
              </w:rPr>
              <w:t>5.2</w:t>
            </w:r>
          </w:p>
          <w:p>
            <w:pPr>
              <w:widowControl/>
              <w:jc w:val="center"/>
              <w:rPr>
                <w:szCs w:val="21"/>
              </w:rPr>
            </w:pPr>
            <w:r>
              <w:rPr>
                <w:rFonts w:hint="eastAsia"/>
                <w:szCs w:val="21"/>
                <w:lang w:eastAsia="zh-CN"/>
              </w:rPr>
              <w:t>6.</w:t>
            </w:r>
            <w:r>
              <w:rPr>
                <w:rFonts w:hint="eastAsia"/>
                <w:szCs w:val="21"/>
              </w:rPr>
              <w:t>5.3</w:t>
            </w:r>
          </w:p>
          <w:p>
            <w:pPr>
              <w:widowControl/>
              <w:jc w:val="center"/>
              <w:rPr>
                <w:szCs w:val="21"/>
              </w:rPr>
            </w:pPr>
            <w:r>
              <w:rPr>
                <w:rFonts w:hint="eastAsia"/>
                <w:szCs w:val="21"/>
                <w:lang w:eastAsia="zh-CN"/>
              </w:rPr>
              <w:t>6.</w:t>
            </w:r>
            <w:r>
              <w:rPr>
                <w:rFonts w:hint="eastAsia"/>
                <w:szCs w:val="21"/>
              </w:rPr>
              <w:t>5.4</w:t>
            </w:r>
            <w:r>
              <w:rPr>
                <w:rFonts w:hint="eastAsia"/>
                <w:szCs w:val="21"/>
                <w:lang w:val="en-US" w:eastAsia="zh-CN"/>
              </w:rPr>
              <w:t>～6.5.6</w:t>
            </w:r>
          </w:p>
        </w:tc>
      </w:tr>
      <w:tr>
        <w:tblPrEx>
          <w:tblBorders>
            <w:top w:val="single" w:color="auto" w:sz="8" w:space="0"/>
            <w:left w:val="single" w:color="auto" w:sz="8" w:space="0"/>
            <w:bottom w:val="single" w:color="auto" w:sz="8" w:space="0"/>
            <w:right w:val="single" w:color="auto" w:sz="8" w:space="0"/>
            <w:insideH w:val="single" w:color="000000" w:sz="4" w:space="0"/>
            <w:insideV w:val="single" w:color="000000" w:sz="4" w:space="0"/>
          </w:tblBorders>
          <w:tblCellMar>
            <w:top w:w="0" w:type="dxa"/>
            <w:left w:w="108" w:type="dxa"/>
            <w:bottom w:w="0" w:type="dxa"/>
            <w:right w:w="108" w:type="dxa"/>
          </w:tblCellMar>
        </w:tblPrEx>
        <w:tc>
          <w:tcPr>
            <w:tcW w:w="645" w:type="dxa"/>
            <w:noWrap w:val="0"/>
            <w:vAlign w:val="center"/>
          </w:tcPr>
          <w:p>
            <w:pPr>
              <w:jc w:val="center"/>
              <w:rPr>
                <w:szCs w:val="21"/>
              </w:rPr>
            </w:pPr>
            <w:r>
              <w:rPr>
                <w:rFonts w:hint="eastAsia"/>
                <w:szCs w:val="21"/>
              </w:rPr>
              <w:t>5</w:t>
            </w:r>
          </w:p>
        </w:tc>
        <w:tc>
          <w:tcPr>
            <w:tcW w:w="660" w:type="dxa"/>
            <w:noWrap w:val="0"/>
            <w:vAlign w:val="center"/>
          </w:tcPr>
          <w:p>
            <w:pPr>
              <w:jc w:val="center"/>
              <w:rPr>
                <w:szCs w:val="21"/>
              </w:rPr>
            </w:pPr>
            <w:r>
              <w:rPr>
                <w:rFonts w:hint="eastAsia"/>
                <w:szCs w:val="21"/>
              </w:rPr>
              <w:t>其他材料</w:t>
            </w:r>
          </w:p>
        </w:tc>
        <w:tc>
          <w:tcPr>
            <w:tcW w:w="3675" w:type="dxa"/>
            <w:noWrap w:val="0"/>
            <w:vAlign w:val="center"/>
          </w:tcPr>
          <w:p>
            <w:pPr>
              <w:rPr>
                <w:szCs w:val="21"/>
              </w:rPr>
            </w:pPr>
            <w:r>
              <w:rPr>
                <w:szCs w:val="21"/>
              </w:rPr>
              <w:t xml:space="preserve">1 </w:t>
            </w:r>
            <w:r>
              <w:rPr>
                <w:rFonts w:hint="eastAsia"/>
                <w:szCs w:val="21"/>
              </w:rPr>
              <w:t>石材、面砖和软瓷砖：外观质量；</w:t>
            </w:r>
          </w:p>
          <w:p>
            <w:pPr>
              <w:rPr>
                <w:szCs w:val="21"/>
              </w:rPr>
            </w:pPr>
            <w:r>
              <w:rPr>
                <w:szCs w:val="21"/>
              </w:rPr>
              <w:t xml:space="preserve">2 </w:t>
            </w:r>
            <w:r>
              <w:rPr>
                <w:rFonts w:hint="eastAsia"/>
                <w:szCs w:val="21"/>
              </w:rPr>
              <w:t>保温材料：导热系数、密度、压缩强度、吸水率</w:t>
            </w:r>
            <w:r>
              <w:rPr>
                <w:rFonts w:hint="eastAsia"/>
                <w:szCs w:val="21"/>
                <w:lang w:val="en-US" w:eastAsia="zh-CN"/>
              </w:rPr>
              <w:t>和</w:t>
            </w:r>
            <w:r>
              <w:rPr>
                <w:rFonts w:hint="eastAsia"/>
                <w:szCs w:val="21"/>
              </w:rPr>
              <w:t>燃烧性能；</w:t>
            </w:r>
          </w:p>
          <w:p>
            <w:pPr>
              <w:rPr>
                <w:szCs w:val="21"/>
              </w:rPr>
            </w:pPr>
            <w:r>
              <w:rPr>
                <w:szCs w:val="21"/>
              </w:rPr>
              <w:t xml:space="preserve">3 </w:t>
            </w:r>
            <w:r>
              <w:rPr>
                <w:rFonts w:hint="eastAsia"/>
                <w:szCs w:val="21"/>
              </w:rPr>
              <w:t>金属门窗：品种、类型、规格、尺寸、性能、开启方向、安装位置、连接方式、型材壁厚、防腐处理及填嵌、密封处理等。</w:t>
            </w:r>
          </w:p>
        </w:tc>
        <w:tc>
          <w:tcPr>
            <w:tcW w:w="3616" w:type="dxa"/>
            <w:tcBorders>
              <w:right w:val="single" w:color="auto" w:sz="4" w:space="0"/>
            </w:tcBorders>
            <w:noWrap w:val="0"/>
            <w:vAlign w:val="center"/>
          </w:tcPr>
          <w:p>
            <w:pPr>
              <w:rPr>
                <w:szCs w:val="21"/>
              </w:rPr>
            </w:pPr>
            <w:r>
              <w:rPr>
                <w:rFonts w:hint="eastAsia"/>
                <w:szCs w:val="21"/>
              </w:rPr>
              <w:t>1 同一厂家、同一品种且同一规格的保温材料不超过</w:t>
            </w:r>
            <w:r>
              <w:rPr>
                <w:szCs w:val="21"/>
              </w:rPr>
              <w:t>5000m</w:t>
            </w:r>
            <w:r>
              <w:rPr>
                <w:szCs w:val="21"/>
                <w:vertAlign w:val="superscript"/>
              </w:rPr>
              <w:t>2</w:t>
            </w:r>
            <w:r>
              <w:rPr>
                <w:rFonts w:hint="eastAsia"/>
                <w:szCs w:val="21"/>
              </w:rPr>
              <w:t>为一批；</w:t>
            </w:r>
          </w:p>
          <w:p>
            <w:pPr>
              <w:rPr>
                <w:szCs w:val="21"/>
              </w:rPr>
            </w:pPr>
            <w:r>
              <w:rPr>
                <w:rFonts w:hint="eastAsia"/>
                <w:szCs w:val="21"/>
              </w:rPr>
              <w:t xml:space="preserve">2 </w:t>
            </w:r>
            <w:r>
              <w:rPr>
                <w:szCs w:val="21"/>
              </w:rPr>
              <w:t>其余材料</w:t>
            </w:r>
            <w:r>
              <w:rPr>
                <w:rFonts w:hint="eastAsia"/>
                <w:szCs w:val="21"/>
              </w:rPr>
              <w:t>按进场批次和产品的相关标准或抽样检验方案确定。</w:t>
            </w:r>
          </w:p>
        </w:tc>
        <w:tc>
          <w:tcPr>
            <w:tcW w:w="735" w:type="dxa"/>
            <w:tcBorders>
              <w:left w:val="single" w:color="auto" w:sz="4" w:space="0"/>
            </w:tcBorders>
            <w:noWrap w:val="0"/>
            <w:vAlign w:val="center"/>
          </w:tcPr>
          <w:p>
            <w:pPr>
              <w:widowControl/>
              <w:jc w:val="center"/>
              <w:rPr>
                <w:szCs w:val="21"/>
              </w:rPr>
            </w:pPr>
            <w:r>
              <w:rPr>
                <w:rFonts w:hint="eastAsia"/>
                <w:szCs w:val="21"/>
                <w:lang w:eastAsia="zh-CN"/>
              </w:rPr>
              <w:t>6.</w:t>
            </w:r>
            <w:r>
              <w:rPr>
                <w:rFonts w:hint="eastAsia"/>
                <w:szCs w:val="21"/>
              </w:rPr>
              <w:t>6.1</w:t>
            </w:r>
          </w:p>
          <w:p>
            <w:pPr>
              <w:widowControl/>
              <w:jc w:val="center"/>
              <w:rPr>
                <w:szCs w:val="21"/>
              </w:rPr>
            </w:pPr>
            <w:r>
              <w:rPr>
                <w:rFonts w:hint="eastAsia"/>
                <w:szCs w:val="21"/>
                <w:lang w:eastAsia="zh-CN"/>
              </w:rPr>
              <w:t>6.</w:t>
            </w:r>
            <w:r>
              <w:rPr>
                <w:rFonts w:hint="eastAsia"/>
                <w:szCs w:val="21"/>
              </w:rPr>
              <w:t>6.2</w:t>
            </w:r>
          </w:p>
          <w:p>
            <w:pPr>
              <w:widowControl/>
              <w:jc w:val="center"/>
              <w:rPr>
                <w:szCs w:val="21"/>
              </w:rPr>
            </w:pPr>
            <w:r>
              <w:rPr>
                <w:rFonts w:hint="eastAsia"/>
                <w:szCs w:val="21"/>
                <w:lang w:eastAsia="zh-CN"/>
              </w:rPr>
              <w:t>6.</w:t>
            </w:r>
            <w:r>
              <w:rPr>
                <w:rFonts w:hint="eastAsia"/>
                <w:szCs w:val="21"/>
              </w:rPr>
              <w:t>6.3</w:t>
            </w:r>
          </w:p>
        </w:tc>
      </w:tr>
    </w:tbl>
    <w:p>
      <w:pPr>
        <w:pStyle w:val="58"/>
        <w:ind w:firstLine="420"/>
      </w:pPr>
    </w:p>
    <w:p>
      <w:pPr>
        <w:pStyle w:val="58"/>
        <w:ind w:firstLine="420"/>
      </w:pPr>
    </w:p>
    <w:p>
      <w:pPr>
        <w:pStyle w:val="58"/>
        <w:ind w:firstLine="420"/>
        <w:sectPr>
          <w:headerReference r:id="rId15" w:type="default"/>
          <w:footerReference r:id="rId16" w:type="default"/>
          <w:pgSz w:w="11906" w:h="16838"/>
          <w:pgMar w:top="567" w:right="1134" w:bottom="1134" w:left="1134" w:header="1418" w:footer="1134" w:gutter="284"/>
          <w:cols w:space="425" w:num="1"/>
          <w:formProt w:val="0"/>
          <w:docGrid w:type="lines" w:linePitch="312" w:charSpace="0"/>
        </w:sectPr>
      </w:pPr>
    </w:p>
    <w:p>
      <w:pPr>
        <w:pStyle w:val="200"/>
      </w:pPr>
    </w:p>
    <w:p>
      <w:pPr>
        <w:pStyle w:val="201"/>
      </w:pPr>
    </w:p>
    <w:p>
      <w:pPr>
        <w:pStyle w:val="78"/>
        <w:spacing w:before="78" w:after="156"/>
      </w:pPr>
    </w:p>
    <w:p>
      <w:pPr>
        <w:pStyle w:val="244"/>
        <w:keepNext/>
        <w:keepLines w:val="0"/>
        <w:pageBreakBefore w:val="0"/>
        <w:widowControl/>
        <w:numPr>
          <w:ilvl w:val="0"/>
          <w:numId w:val="0"/>
        </w:numPr>
        <w:shd w:val="clear" w:color="FFFFFF" w:fill="FFFFFF"/>
        <w:kinsoku/>
        <w:wordWrap/>
        <w:overflowPunct/>
        <w:topLinePunct w:val="0"/>
        <w:autoSpaceDE/>
        <w:autoSpaceDN/>
        <w:bidi w:val="0"/>
        <w:adjustRightInd w:val="0"/>
        <w:snapToGrid/>
        <w:spacing w:before="280"/>
        <w:ind w:leftChars="0"/>
        <w:jc w:val="center"/>
        <w:textAlignment w:val="auto"/>
        <w:rPr>
          <w:rFonts w:hint="eastAsia"/>
        </w:rPr>
      </w:pPr>
      <w:r>
        <w:rPr>
          <w:rFonts w:hint="eastAsia"/>
        </w:rPr>
        <w:t>（规范性附录）</w:t>
      </w:r>
      <w:r>
        <w:rPr>
          <w:rFonts w:hint="eastAsia"/>
        </w:rPr>
        <w:br w:type="textWrapping"/>
      </w:r>
      <w:r>
        <w:rPr>
          <w:rFonts w:hint="eastAsia"/>
          <w:bCs/>
        </w:rPr>
        <w:t>纤维增强塑料（F</w:t>
      </w:r>
      <w:r>
        <w:rPr>
          <w:bCs/>
        </w:rPr>
        <w:t>RP</w:t>
      </w:r>
      <w:r>
        <w:rPr>
          <w:rFonts w:hint="eastAsia"/>
          <w:bCs/>
        </w:rPr>
        <w:t>）拉结件节点组合性能抗拉试验</w:t>
      </w:r>
    </w:p>
    <w:p>
      <w:pPr>
        <w:pStyle w:val="213"/>
      </w:pPr>
      <w:r>
        <w:rPr>
          <w:rFonts w:hint="eastAsia"/>
          <w:sz w:val="21"/>
          <w:szCs w:val="21"/>
        </w:rPr>
        <w:t>本方法主要适用于</w:t>
      </w:r>
      <w:r>
        <w:rPr>
          <w:snapToGrid w:val="0"/>
          <w:sz w:val="21"/>
          <w:szCs w:val="21"/>
        </w:rPr>
        <w:t>夹心保温墙板</w:t>
      </w:r>
      <w:r>
        <w:rPr>
          <w:rFonts w:hint="eastAsia"/>
          <w:sz w:val="21"/>
          <w:szCs w:val="21"/>
        </w:rPr>
        <w:t>纤维增强塑料（F</w:t>
      </w:r>
      <w:r>
        <w:rPr>
          <w:sz w:val="21"/>
          <w:szCs w:val="21"/>
        </w:rPr>
        <w:t>RP</w:t>
      </w:r>
      <w:r>
        <w:rPr>
          <w:rFonts w:hint="eastAsia"/>
          <w:sz w:val="21"/>
          <w:szCs w:val="21"/>
        </w:rPr>
        <w:t>）拉结件节点抗拉性能的检验</w:t>
      </w:r>
    </w:p>
    <w:p>
      <w:pPr>
        <w:pStyle w:val="213"/>
      </w:pPr>
      <w:r>
        <w:rPr>
          <w:rFonts w:hint="eastAsia"/>
          <w:sz w:val="21"/>
          <w:szCs w:val="21"/>
        </w:rPr>
        <w:t>纤维增强塑料（F</w:t>
      </w:r>
      <w:r>
        <w:rPr>
          <w:sz w:val="21"/>
          <w:szCs w:val="21"/>
        </w:rPr>
        <w:t>RP</w:t>
      </w:r>
      <w:r>
        <w:rPr>
          <w:rFonts w:hint="eastAsia"/>
          <w:sz w:val="21"/>
          <w:szCs w:val="21"/>
        </w:rPr>
        <w:t>）拉结件节点抗拉承载力检验时，应根据进场批次，从同一原材料、同一类型、同一规格的拉结件中抽取5件进行检验</w:t>
      </w:r>
      <w:r>
        <w:rPr>
          <w:rFonts w:hint="eastAsia"/>
          <w:sz w:val="21"/>
          <w:szCs w:val="21"/>
          <w:lang w:eastAsia="zh-CN"/>
        </w:rPr>
        <w:t>。</w:t>
      </w:r>
    </w:p>
    <w:p>
      <w:pPr>
        <w:pStyle w:val="213"/>
      </w:pPr>
      <w:r>
        <w:rPr>
          <w:rFonts w:hint="eastAsia"/>
          <w:sz w:val="21"/>
          <w:szCs w:val="21"/>
        </w:rPr>
        <w:t>纤维增强塑料（F</w:t>
      </w:r>
      <w:r>
        <w:rPr>
          <w:sz w:val="21"/>
          <w:szCs w:val="21"/>
        </w:rPr>
        <w:t>RP</w:t>
      </w:r>
      <w:r>
        <w:rPr>
          <w:rFonts w:hint="eastAsia"/>
          <w:sz w:val="21"/>
          <w:szCs w:val="21"/>
        </w:rPr>
        <w:t>）拉结件节点抗拉试验的试件宜符合下列规定</w:t>
      </w:r>
      <w:r>
        <w:rPr>
          <w:rFonts w:hint="eastAsia"/>
          <w:sz w:val="21"/>
          <w:szCs w:val="21"/>
          <w:lang w:eastAsia="zh-CN"/>
        </w:rPr>
        <w:t>：</w:t>
      </w:r>
    </w:p>
    <w:p>
      <w:pPr>
        <w:spacing w:line="360" w:lineRule="auto"/>
        <w:ind w:firstLine="422" w:firstLineChars="200"/>
        <w:rPr>
          <w:sz w:val="21"/>
          <w:szCs w:val="21"/>
        </w:rPr>
      </w:pPr>
      <w:r>
        <w:rPr>
          <w:rFonts w:hint="eastAsia"/>
          <w:b/>
          <w:bCs/>
          <w:sz w:val="21"/>
          <w:szCs w:val="21"/>
          <w:lang w:val="en-US" w:eastAsia="zh-CN"/>
        </w:rPr>
        <w:t>1</w:t>
      </w:r>
      <w:r>
        <w:rPr>
          <w:rFonts w:hint="eastAsia"/>
          <w:sz w:val="21"/>
          <w:szCs w:val="21"/>
        </w:rPr>
        <w:t>纤维增强塑料（F</w:t>
      </w:r>
      <w:r>
        <w:rPr>
          <w:sz w:val="21"/>
          <w:szCs w:val="21"/>
        </w:rPr>
        <w:t>RP</w:t>
      </w:r>
      <w:r>
        <w:rPr>
          <w:rFonts w:hint="eastAsia"/>
          <w:sz w:val="21"/>
          <w:szCs w:val="21"/>
        </w:rPr>
        <w:t>）拉结件节点可采用与预制构件同时制作的平行试件进行检验；</w:t>
      </w:r>
    </w:p>
    <w:p>
      <w:pPr>
        <w:spacing w:line="360" w:lineRule="auto"/>
        <w:jc w:val="left"/>
        <w:rPr>
          <w:sz w:val="21"/>
          <w:szCs w:val="21"/>
        </w:rPr>
      </w:pPr>
      <w:r>
        <w:rPr>
          <w:sz w:val="21"/>
          <w:szCs w:val="21"/>
        </w:rPr>
        <w:tab/>
      </w:r>
      <w:r>
        <w:rPr>
          <w:b/>
          <w:bCs/>
          <w:sz w:val="21"/>
          <w:szCs w:val="21"/>
        </w:rPr>
        <w:t xml:space="preserve">2 </w:t>
      </w:r>
      <w:r>
        <w:rPr>
          <w:rFonts w:hint="eastAsia"/>
          <w:sz w:val="21"/>
          <w:szCs w:val="21"/>
        </w:rPr>
        <w:t>纤维增强塑料（F</w:t>
      </w:r>
      <w:r>
        <w:rPr>
          <w:sz w:val="21"/>
          <w:szCs w:val="21"/>
        </w:rPr>
        <w:t>RP</w:t>
      </w:r>
      <w:r>
        <w:rPr>
          <w:rFonts w:hint="eastAsia"/>
          <w:sz w:val="21"/>
          <w:szCs w:val="21"/>
        </w:rPr>
        <w:t>）拉结件节点抗拉试验的试件（图</w:t>
      </w:r>
      <w:r>
        <w:rPr>
          <w:rFonts w:hint="eastAsia"/>
          <w:sz w:val="21"/>
          <w:szCs w:val="21"/>
          <w:lang w:eastAsia="zh-CN"/>
        </w:rPr>
        <w:t>B.</w:t>
      </w:r>
      <w:r>
        <w:rPr>
          <w:sz w:val="21"/>
          <w:szCs w:val="21"/>
        </w:rPr>
        <w:t>3</w:t>
      </w:r>
      <w:r>
        <w:rPr>
          <w:rFonts w:hint="eastAsia"/>
          <w:sz w:val="21"/>
          <w:szCs w:val="21"/>
        </w:rPr>
        <w:t>）应由上下两片混凝土块和中间保温层组成，上下两片混凝土块内应预埋锚固钢筋；</w:t>
      </w:r>
    </w:p>
    <w:p>
      <w:pPr>
        <w:pStyle w:val="176"/>
        <w:numPr>
          <w:ilvl w:val="0"/>
          <w:numId w:val="0"/>
        </w:numPr>
        <w:ind w:left="425" w:leftChars="0"/>
        <w:rPr>
          <w:rFonts w:hint="eastAsia"/>
          <w:sz w:val="21"/>
          <w:szCs w:val="21"/>
        </w:rPr>
      </w:pPr>
      <w:r>
        <w:rPr>
          <w:b/>
          <w:bCs/>
          <w:sz w:val="21"/>
          <w:szCs w:val="21"/>
        </w:rPr>
        <w:t xml:space="preserve">3 </w:t>
      </w:r>
      <w:r>
        <w:rPr>
          <w:rFonts w:hint="eastAsia"/>
          <w:sz w:val="21"/>
          <w:szCs w:val="21"/>
        </w:rPr>
        <w:t>每个试件应预埋一根拉结件，拉结件锚入两侧混凝土的深度应符合设计或产品技术手册的要求，上下加载端钢筋与拉结件对中。</w:t>
      </w:r>
      <w:r>
        <w:rPr>
          <w:rFonts w:hint="eastAsia"/>
          <w:shd w:val="clear" w:color="auto" w:fill="FFFFFF"/>
          <w:lang w:eastAsia="zh-CN"/>
        </w:rPr>
        <w:t>。</w:t>
      </w:r>
    </w:p>
    <w:tbl>
      <w:tblPr>
        <w:tblStyle w:val="28"/>
        <w:tblW w:w="82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noWrap w:val="0"/>
            <w:vAlign w:val="bottom"/>
          </w:tcPr>
          <w:p>
            <w:pPr>
              <w:spacing w:line="360" w:lineRule="auto"/>
              <w:jc w:val="center"/>
              <w:rPr>
                <w:sz w:val="24"/>
              </w:rPr>
            </w:pPr>
            <w:r>
              <w:rPr>
                <w:rFonts w:ascii="宋体" w:hAnsi="宋体" w:cs="宋体"/>
                <w:sz w:val="24"/>
              </w:rPr>
              <w:drawing>
                <wp:inline distT="0" distB="0" distL="114300" distR="114300">
                  <wp:extent cx="2106295" cy="2991485"/>
                  <wp:effectExtent l="0" t="0" r="8255" b="184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9"/>
                          <a:stretch>
                            <a:fillRect/>
                          </a:stretch>
                        </pic:blipFill>
                        <pic:spPr>
                          <a:xfrm>
                            <a:off x="0" y="0"/>
                            <a:ext cx="2106295" cy="2991485"/>
                          </a:xfrm>
                          <a:prstGeom prst="rect">
                            <a:avLst/>
                          </a:prstGeom>
                          <a:noFill/>
                          <a:ln>
                            <a:noFill/>
                          </a:ln>
                        </pic:spPr>
                      </pic:pic>
                    </a:graphicData>
                  </a:graphic>
                </wp:inline>
              </w:drawing>
            </w:r>
            <w:r>
              <w:rPr>
                <w:sz w:val="24"/>
              </w:rPr>
              <mc:AlternateContent>
                <mc:Choice Requires="wps">
                  <w:drawing>
                    <wp:anchor distT="0" distB="0" distL="114300" distR="114300" simplePos="0" relativeHeight="251662336" behindDoc="0" locked="0" layoutInCell="1" allowOverlap="1">
                      <wp:simplePos x="0" y="0"/>
                      <wp:positionH relativeFrom="column">
                        <wp:posOffset>1970405</wp:posOffset>
                      </wp:positionH>
                      <wp:positionV relativeFrom="paragraph">
                        <wp:posOffset>824230</wp:posOffset>
                      </wp:positionV>
                      <wp:extent cx="421640" cy="262890"/>
                      <wp:effectExtent l="0" t="0" r="0" b="0"/>
                      <wp:wrapNone/>
                      <wp:docPr id="7" name="矩形 7"/>
                      <wp:cNvGraphicFramePr/>
                      <a:graphic xmlns:a="http://schemas.openxmlformats.org/drawingml/2006/main">
                        <a:graphicData uri="http://schemas.microsoft.com/office/word/2010/wordprocessingShape">
                          <wps:wsp>
                            <wps:cNvSpPr/>
                            <wps:spPr>
                              <a:xfrm>
                                <a:off x="0" y="0"/>
                                <a:ext cx="421640" cy="262890"/>
                              </a:xfrm>
                              <a:prstGeom prst="rect">
                                <a:avLst/>
                              </a:prstGeom>
                              <a:noFill/>
                              <a:ln>
                                <a:noFill/>
                              </a:ln>
                              <a:effectLst/>
                            </wps:spPr>
                            <wps:txbx>
                              <w:txbxContent>
                                <w:p>
                                  <w:r>
                                    <w:rPr>
                                      <w:rFonts w:hint="eastAsia"/>
                                    </w:rPr>
                                    <w:t>1-1</w:t>
                                  </w:r>
                                </w:p>
                              </w:txbxContent>
                            </wps:txbx>
                            <wps:bodyPr upright="1"/>
                          </wps:wsp>
                        </a:graphicData>
                      </a:graphic>
                    </wp:anchor>
                  </w:drawing>
                </mc:Choice>
                <mc:Fallback>
                  <w:pict>
                    <v:rect id="_x0000_s1026" o:spid="_x0000_s1026" o:spt="1" style="position:absolute;left:0pt;margin-left:155.15pt;margin-top:64.9pt;height:20.7pt;width:33.2pt;z-index:251662336;mso-width-relative:page;mso-height-relative:page;" filled="f" stroked="f" coordsize="21600,21600" o:gfxdata="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CTNo2m2wAAAAsB&#10;AAAPAAAAAAAAAAEAIAAAACIAAABkcnMvZG93bnJldi54bWxQSwECFAAUAAAACACHTuJAxr1OaaYB&#10;AABOAwAADgAAAAAAAAABACAAAAAqAQAAZHJzL2Uyb0RvYy54bWxQSwUGAAAAAAYABgBZAQAAQgUA&#10;AAAA&#10;">
                      <v:fill on="f" focussize="0,0"/>
                      <v:stroke on="f"/>
                      <v:imagedata o:title=""/>
                      <o:lock v:ext="edit" aspectratio="f"/>
                      <v:textbox>
                        <w:txbxContent>
                          <w:p>
                            <w:r>
                              <w:rPr>
                                <w:rFonts w:hint="eastAsia"/>
                              </w:rPr>
                              <w:t>1-1</w:t>
                            </w:r>
                          </w:p>
                        </w:txbxContent>
                      </v:textbox>
                    </v:rect>
                  </w:pict>
                </mc:Fallback>
              </mc:AlternateContent>
            </w:r>
            <w:r>
              <w:rPr>
                <w:sz w:val="24"/>
              </w:rPr>
              <mc:AlternateContent>
                <mc:Choice Requires="wps">
                  <w:drawing>
                    <wp:anchor distT="0" distB="0" distL="114300" distR="114300" simplePos="0" relativeHeight="251661312" behindDoc="0" locked="0" layoutInCell="1" allowOverlap="1">
                      <wp:simplePos x="0" y="0"/>
                      <wp:positionH relativeFrom="column">
                        <wp:posOffset>715010</wp:posOffset>
                      </wp:positionH>
                      <wp:positionV relativeFrom="paragraph">
                        <wp:posOffset>903605</wp:posOffset>
                      </wp:positionV>
                      <wp:extent cx="1256030" cy="0"/>
                      <wp:effectExtent l="0" t="0" r="0" b="0"/>
                      <wp:wrapNone/>
                      <wp:docPr id="4" name="直接箭头连接符 4"/>
                      <wp:cNvGraphicFramePr/>
                      <a:graphic xmlns:a="http://schemas.openxmlformats.org/drawingml/2006/main">
                        <a:graphicData uri="http://schemas.microsoft.com/office/word/2010/wordprocessingShape">
                          <wps:wsp>
                            <wps:cNvCnPr/>
                            <wps:spPr>
                              <a:xfrm>
                                <a:off x="0" y="0"/>
                                <a:ext cx="1256030" cy="0"/>
                              </a:xfrm>
                              <a:prstGeom prst="straightConnector1">
                                <a:avLst/>
                              </a:prstGeom>
                              <a:ln w="9525" cap="rnd" cmpd="sng">
                                <a:solidFill>
                                  <a:srgbClr val="000000"/>
                                </a:solidFill>
                                <a:prstDash val="sysDot"/>
                                <a:headEnd type="none" w="med" len="med"/>
                                <a:tailEnd type="none" w="med" len="med"/>
                              </a:ln>
                              <a:effectLst/>
                            </wps:spPr>
                            <wps:bodyPr/>
                          </wps:wsp>
                        </a:graphicData>
                      </a:graphic>
                    </wp:anchor>
                  </w:drawing>
                </mc:Choice>
                <mc:Fallback>
                  <w:pict>
                    <v:shape id="_x0000_s1026" o:spid="_x0000_s1026" o:spt="32" type="#_x0000_t32" style="position:absolute;left:0pt;margin-left:56.3pt;margin-top:71.15pt;height:0pt;width:98.9pt;z-index:251661312;mso-width-relative:page;mso-height-relative:page;" filled="f" stroked="t" coordsize="21600,21600" o:gfxdata="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3TuXXAAAACwEAAA8AAAAAAAAAAQAgAAAAIgAAAGRycy9k&#10;b3ducmV2LnhtbFBLAQIUABQAAAAIAIdO4kCynqYsAwIAAPoDAAAOAAAAAAAAAAEAIAAAACYBAABk&#10;cnMvZTJvRG9jLnhtbFBLBQYAAAAABgAGAFkBAACbBQAAAAA=&#10;">
                      <v:fill on="f" focussize="0,0"/>
                      <v:stroke color="#000000" joinstyle="round" dashstyle="1 1" endcap="round"/>
                      <v:imagedata o:title=""/>
                      <o:lock v:ext="edit" aspectratio="f"/>
                    </v:shape>
                  </w:pict>
                </mc:Fallback>
              </mc:AlternateContent>
            </w:r>
          </w:p>
        </w:tc>
        <w:tc>
          <w:tcPr>
            <w:tcW w:w="4148" w:type="dxa"/>
            <w:noWrap w:val="0"/>
            <w:vAlign w:val="bottom"/>
          </w:tcPr>
          <w:p>
            <w:pPr>
              <w:spacing w:line="360" w:lineRule="auto"/>
              <w:jc w:val="center"/>
              <w:rPr>
                <w:sz w:val="24"/>
              </w:rPr>
            </w:pPr>
            <w:r>
              <w:rPr>
                <w:sz w:val="24"/>
              </w:rPr>
              <w:drawing>
                <wp:inline distT="0" distB="0" distL="114300" distR="114300">
                  <wp:extent cx="1799590" cy="1332865"/>
                  <wp:effectExtent l="0" t="0" r="1016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1799590" cy="1332865"/>
                          </a:xfrm>
                          <a:prstGeom prst="rect">
                            <a:avLst/>
                          </a:prstGeom>
                          <a:noFill/>
                          <a:ln>
                            <a:noFill/>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noWrap w:val="0"/>
            <w:vAlign w:val="bottom"/>
          </w:tcPr>
          <w:p>
            <w:pPr>
              <w:spacing w:line="360" w:lineRule="auto"/>
              <w:jc w:val="center"/>
              <w:rPr>
                <w:sz w:val="21"/>
                <w:szCs w:val="21"/>
              </w:rPr>
            </w:pPr>
            <w:r>
              <w:rPr>
                <w:rFonts w:hint="eastAsia"/>
                <w:sz w:val="21"/>
                <w:szCs w:val="21"/>
              </w:rPr>
              <w:t>（a）正视图</w:t>
            </w:r>
          </w:p>
        </w:tc>
        <w:tc>
          <w:tcPr>
            <w:tcW w:w="4148" w:type="dxa"/>
            <w:noWrap w:val="0"/>
            <w:vAlign w:val="bottom"/>
          </w:tcPr>
          <w:p>
            <w:pPr>
              <w:spacing w:line="360" w:lineRule="auto"/>
              <w:jc w:val="center"/>
              <w:rPr>
                <w:sz w:val="21"/>
                <w:szCs w:val="21"/>
              </w:rPr>
            </w:pPr>
            <w:r>
              <w:rPr>
                <w:rFonts w:hint="eastAsia"/>
                <w:sz w:val="21"/>
                <w:szCs w:val="21"/>
              </w:rPr>
              <w:t>（b）截面图（a-a）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296" w:type="dxa"/>
            <w:gridSpan w:val="2"/>
            <w:noWrap w:val="0"/>
            <w:vAlign w:val="bottom"/>
          </w:tcPr>
          <w:p>
            <w:pPr>
              <w:spacing w:line="360" w:lineRule="auto"/>
              <w:jc w:val="center"/>
              <w:rPr>
                <w:b/>
                <w:bCs/>
                <w:sz w:val="21"/>
                <w:szCs w:val="21"/>
              </w:rPr>
            </w:pPr>
            <w:r>
              <w:rPr>
                <w:rFonts w:hint="eastAsia" w:ascii="黑体" w:hAnsi="黑体" w:eastAsia="黑体" w:cs="黑体"/>
                <w:b w:val="0"/>
                <w:bCs w:val="0"/>
                <w:kern w:val="2"/>
                <w:sz w:val="21"/>
                <w:szCs w:val="21"/>
                <w:lang w:val="en-US" w:eastAsia="zh-CN" w:bidi="ar-SA"/>
              </w:rPr>
              <w:t>图B.3 纤维增强塑料（FRP）拉结件节点抗拉试验试件示意图</w:t>
            </w:r>
          </w:p>
        </w:tc>
      </w:tr>
    </w:tbl>
    <w:p>
      <w:pPr>
        <w:pStyle w:val="176"/>
        <w:numPr>
          <w:ilvl w:val="0"/>
          <w:numId w:val="0"/>
        </w:numPr>
        <w:ind w:left="425" w:leftChars="0"/>
        <w:rPr>
          <w:rFonts w:hint="eastAsia"/>
          <w:sz w:val="21"/>
          <w:szCs w:val="21"/>
        </w:rPr>
      </w:pPr>
    </w:p>
    <w:p>
      <w:pPr>
        <w:spacing w:line="360" w:lineRule="auto"/>
        <w:jc w:val="center"/>
        <w:rPr>
          <w:sz w:val="24"/>
        </w:rPr>
      </w:pPr>
      <w:r>
        <w:rPr>
          <w:rFonts w:hint="eastAsia"/>
          <w:sz w:val="24"/>
        </w:rPr>
        <w:t>1</w:t>
      </w:r>
      <w:r>
        <w:rPr>
          <w:sz w:val="24"/>
        </w:rPr>
        <w:t>—</w:t>
      </w:r>
      <w:r>
        <w:rPr>
          <w:rFonts w:hint="eastAsia"/>
          <w:sz w:val="24"/>
        </w:rPr>
        <w:t>锚固钢筋；2</w:t>
      </w:r>
      <w:r>
        <w:rPr>
          <w:sz w:val="24"/>
        </w:rPr>
        <w:t>—</w:t>
      </w:r>
      <w:r>
        <w:rPr>
          <w:rFonts w:hint="eastAsia"/>
          <w:sz w:val="24"/>
        </w:rPr>
        <w:t>混凝土块；3</w:t>
      </w:r>
      <w:r>
        <w:rPr>
          <w:sz w:val="24"/>
        </w:rPr>
        <w:t>—</w:t>
      </w:r>
      <w:r>
        <w:rPr>
          <w:rFonts w:hint="eastAsia"/>
          <w:sz w:val="24"/>
        </w:rPr>
        <w:t>分布筋；4</w:t>
      </w:r>
      <w:r>
        <w:rPr>
          <w:sz w:val="24"/>
        </w:rPr>
        <w:t>—</w:t>
      </w:r>
      <w:r>
        <w:rPr>
          <w:rFonts w:hint="eastAsia"/>
          <w:sz w:val="24"/>
        </w:rPr>
        <w:t>保温板；5</w:t>
      </w:r>
      <w:r>
        <w:rPr>
          <w:sz w:val="24"/>
        </w:rPr>
        <w:t>—</w:t>
      </w:r>
      <w:r>
        <w:rPr>
          <w:rFonts w:hint="eastAsia"/>
          <w:sz w:val="24"/>
        </w:rPr>
        <w:t>纤维增强塑料（F</w:t>
      </w:r>
      <w:r>
        <w:rPr>
          <w:sz w:val="24"/>
        </w:rPr>
        <w:t>RP</w:t>
      </w:r>
      <w:r>
        <w:rPr>
          <w:rFonts w:hint="eastAsia"/>
          <w:sz w:val="24"/>
        </w:rPr>
        <w:t>）拉结件</w:t>
      </w:r>
    </w:p>
    <w:p>
      <w:pPr>
        <w:pStyle w:val="213"/>
      </w:pPr>
      <w:r>
        <w:rPr>
          <w:rFonts w:hint="eastAsia"/>
          <w:sz w:val="21"/>
          <w:szCs w:val="21"/>
        </w:rPr>
        <w:t>检测用的加载设备，应符合下列规定</w:t>
      </w:r>
      <w:r>
        <w:rPr>
          <w:rFonts w:hint="eastAsia"/>
          <w:sz w:val="21"/>
          <w:szCs w:val="21"/>
          <w:lang w:val="en-US" w:eastAsia="zh-CN"/>
        </w:rPr>
        <w:t>:</w:t>
      </w:r>
    </w:p>
    <w:p>
      <w:pPr>
        <w:spacing w:line="360" w:lineRule="auto"/>
        <w:ind w:firstLine="420" w:firstLineChars="200"/>
        <w:rPr>
          <w:sz w:val="21"/>
          <w:szCs w:val="21"/>
        </w:rPr>
      </w:pPr>
      <w:r>
        <w:rPr>
          <w:rFonts w:hint="eastAsia"/>
          <w:sz w:val="21"/>
          <w:szCs w:val="21"/>
          <w:lang w:val="en-US" w:eastAsia="zh-CN"/>
        </w:rPr>
        <w:t xml:space="preserve">1 </w:t>
      </w:r>
      <w:r>
        <w:rPr>
          <w:rFonts w:hint="eastAsia"/>
          <w:sz w:val="21"/>
          <w:szCs w:val="21"/>
        </w:rPr>
        <w:t>检验荷载值为设备最大加载能力的2</w:t>
      </w:r>
      <w:r>
        <w:rPr>
          <w:sz w:val="21"/>
          <w:szCs w:val="21"/>
        </w:rPr>
        <w:t>0</w:t>
      </w:r>
      <w:r>
        <w:rPr>
          <w:rFonts w:hint="eastAsia"/>
          <w:sz w:val="21"/>
          <w:szCs w:val="21"/>
        </w:rPr>
        <w:t>%-80%，应能连续、平稳、速度可控地进行加载；</w:t>
      </w:r>
    </w:p>
    <w:p>
      <w:pPr>
        <w:spacing w:line="360" w:lineRule="auto"/>
        <w:ind w:firstLine="422" w:firstLineChars="200"/>
        <w:rPr>
          <w:sz w:val="21"/>
          <w:szCs w:val="21"/>
        </w:rPr>
      </w:pPr>
      <w:r>
        <w:rPr>
          <w:b/>
          <w:bCs/>
          <w:sz w:val="21"/>
          <w:szCs w:val="21"/>
        </w:rPr>
        <w:t>2</w:t>
      </w:r>
      <w:r>
        <w:rPr>
          <w:sz w:val="21"/>
          <w:szCs w:val="21"/>
        </w:rPr>
        <w:t xml:space="preserve"> </w:t>
      </w:r>
      <w:r>
        <w:rPr>
          <w:rFonts w:hint="eastAsia"/>
          <w:sz w:val="21"/>
          <w:szCs w:val="21"/>
        </w:rPr>
        <w:t>加载设备应能够按照规定的速度加载，测定系统整机允许偏差为全量程的±</w:t>
      </w:r>
      <w:r>
        <w:rPr>
          <w:sz w:val="21"/>
          <w:szCs w:val="21"/>
        </w:rPr>
        <w:t>2</w:t>
      </w:r>
      <w:r>
        <w:rPr>
          <w:rFonts w:hint="eastAsia"/>
          <w:sz w:val="21"/>
          <w:szCs w:val="21"/>
        </w:rPr>
        <w:t>％；</w:t>
      </w:r>
    </w:p>
    <w:p>
      <w:pPr>
        <w:spacing w:line="360" w:lineRule="auto"/>
        <w:ind w:firstLine="422" w:firstLineChars="200"/>
        <w:rPr>
          <w:sz w:val="21"/>
          <w:szCs w:val="21"/>
        </w:rPr>
      </w:pPr>
      <w:r>
        <w:rPr>
          <w:b/>
          <w:bCs/>
          <w:sz w:val="21"/>
          <w:szCs w:val="21"/>
        </w:rPr>
        <w:t>3</w:t>
      </w:r>
      <w:r>
        <w:rPr>
          <w:sz w:val="21"/>
          <w:szCs w:val="21"/>
        </w:rPr>
        <w:t xml:space="preserve"> </w:t>
      </w:r>
      <w:r>
        <w:rPr>
          <w:rFonts w:hint="eastAsia"/>
          <w:sz w:val="21"/>
          <w:szCs w:val="21"/>
        </w:rPr>
        <w:t>设备的液压加荷系统持荷时间不超过5min时，其降荷值不应大于5％；</w:t>
      </w:r>
    </w:p>
    <w:p>
      <w:pPr>
        <w:spacing w:line="360" w:lineRule="auto"/>
        <w:ind w:firstLine="422" w:firstLineChars="200"/>
        <w:rPr>
          <w:sz w:val="21"/>
          <w:szCs w:val="21"/>
        </w:rPr>
      </w:pPr>
      <w:r>
        <w:rPr>
          <w:b/>
          <w:bCs/>
          <w:sz w:val="21"/>
          <w:szCs w:val="21"/>
        </w:rPr>
        <w:t>4</w:t>
      </w:r>
      <w:r>
        <w:rPr>
          <w:sz w:val="21"/>
          <w:szCs w:val="21"/>
        </w:rPr>
        <w:t xml:space="preserve"> </w:t>
      </w:r>
      <w:r>
        <w:rPr>
          <w:rFonts w:hint="eastAsia"/>
          <w:sz w:val="21"/>
          <w:szCs w:val="21"/>
        </w:rPr>
        <w:t>进行纤维增强塑料（F</w:t>
      </w:r>
      <w:r>
        <w:rPr>
          <w:sz w:val="21"/>
          <w:szCs w:val="21"/>
        </w:rPr>
        <w:t>RP</w:t>
      </w:r>
      <w:r>
        <w:rPr>
          <w:rFonts w:hint="eastAsia"/>
          <w:sz w:val="21"/>
          <w:szCs w:val="21"/>
        </w:rPr>
        <w:t>）拉结件节点抗拉试验时，加载设备应能够保证所施加的荷载始终与纤维增强塑料（F</w:t>
      </w:r>
      <w:r>
        <w:rPr>
          <w:sz w:val="21"/>
          <w:szCs w:val="21"/>
        </w:rPr>
        <w:t>RP</w:t>
      </w:r>
      <w:r>
        <w:rPr>
          <w:rFonts w:hint="eastAsia"/>
          <w:sz w:val="21"/>
          <w:szCs w:val="21"/>
        </w:rPr>
        <w:t>）拉结件的轴线保持一致。</w:t>
      </w:r>
    </w:p>
    <w:p>
      <w:pPr>
        <w:pStyle w:val="213"/>
      </w:pPr>
      <w:r>
        <w:rPr>
          <w:rFonts w:hint="eastAsia"/>
          <w:sz w:val="21"/>
          <w:szCs w:val="21"/>
        </w:rPr>
        <w:t>当要求检测试件的荷载-位移曲线时，现场的位移测量装置应符合下列规定</w:t>
      </w:r>
      <w:r>
        <w:rPr>
          <w:rFonts w:hint="eastAsia"/>
          <w:sz w:val="21"/>
          <w:szCs w:val="21"/>
          <w:lang w:val="en-US" w:eastAsia="zh-CN"/>
        </w:rPr>
        <w:t>:</w:t>
      </w:r>
    </w:p>
    <w:p>
      <w:pPr>
        <w:spacing w:line="360" w:lineRule="auto"/>
        <w:ind w:firstLine="422" w:firstLineChars="200"/>
        <w:rPr>
          <w:sz w:val="21"/>
          <w:szCs w:val="21"/>
        </w:rPr>
      </w:pPr>
      <w:r>
        <w:rPr>
          <w:rFonts w:hint="eastAsia"/>
          <w:b/>
          <w:bCs/>
          <w:sz w:val="21"/>
          <w:szCs w:val="21"/>
          <w:lang w:val="en-US" w:eastAsia="zh-CN"/>
        </w:rPr>
        <w:t>1</w:t>
      </w:r>
      <w:r>
        <w:rPr>
          <w:rFonts w:hint="eastAsia"/>
          <w:sz w:val="21"/>
          <w:szCs w:val="21"/>
        </w:rPr>
        <w:t>仪表的量程不应小于5</w:t>
      </w:r>
      <w:r>
        <w:rPr>
          <w:sz w:val="21"/>
          <w:szCs w:val="21"/>
        </w:rPr>
        <w:t>0</w:t>
      </w:r>
      <w:r>
        <w:rPr>
          <w:rFonts w:hint="eastAsia"/>
          <w:sz w:val="21"/>
          <w:szCs w:val="21"/>
        </w:rPr>
        <w:t>mm；其测量的允许偏差应为±</w:t>
      </w:r>
      <w:r>
        <w:rPr>
          <w:sz w:val="21"/>
          <w:szCs w:val="21"/>
        </w:rPr>
        <w:t>0.0</w:t>
      </w:r>
      <w:r>
        <w:rPr>
          <w:rFonts w:hint="eastAsia"/>
          <w:sz w:val="21"/>
          <w:szCs w:val="21"/>
        </w:rPr>
        <w:t>1mm；</w:t>
      </w:r>
    </w:p>
    <w:p>
      <w:pPr>
        <w:keepNext w:val="0"/>
        <w:keepLines w:val="0"/>
        <w:pageBreakBefore w:val="0"/>
        <w:kinsoku/>
        <w:wordWrap/>
        <w:overflowPunct/>
        <w:topLinePunct w:val="0"/>
        <w:bidi w:val="0"/>
        <w:adjustRightInd/>
        <w:snapToGrid/>
        <w:spacing w:line="360" w:lineRule="auto"/>
        <w:ind w:firstLine="422" w:firstLineChars="200"/>
        <w:textAlignment w:val="auto"/>
        <w:rPr>
          <w:sz w:val="21"/>
          <w:szCs w:val="21"/>
        </w:rPr>
      </w:pPr>
      <w:r>
        <w:rPr>
          <w:b/>
          <w:bCs/>
          <w:sz w:val="21"/>
          <w:szCs w:val="21"/>
        </w:rPr>
        <w:t>2</w:t>
      </w:r>
      <w:r>
        <w:rPr>
          <w:sz w:val="21"/>
          <w:szCs w:val="21"/>
        </w:rPr>
        <w:t xml:space="preserve"> </w:t>
      </w:r>
      <w:r>
        <w:rPr>
          <w:rFonts w:hint="eastAsia"/>
          <w:sz w:val="21"/>
          <w:szCs w:val="21"/>
        </w:rPr>
        <w:t>位移测量装置应能与测力系统同步工作，连续记录，并应绘制荷载-位移的全程曲线。</w:t>
      </w:r>
    </w:p>
    <w:p>
      <w:pPr>
        <w:pStyle w:val="213"/>
      </w:pPr>
      <w:r>
        <w:rPr>
          <w:rFonts w:hint="eastAsia"/>
          <w:sz w:val="21"/>
          <w:szCs w:val="21"/>
        </w:rPr>
        <w:t>试验时，对试件应以均匀速</w:t>
      </w:r>
      <w:r>
        <w:rPr>
          <w:rFonts w:hint="eastAsia" w:ascii="Times New Roman" w:hAnsi="Times New Roman" w:eastAsia="宋体" w:cs="Times New Roman"/>
          <w:kern w:val="2"/>
          <w:sz w:val="21"/>
          <w:szCs w:val="21"/>
          <w:lang w:val="en-US" w:eastAsia="zh-CN" w:bidi="ar-SA"/>
        </w:rPr>
        <w:t>率在2min～</w:t>
      </w:r>
      <w:r>
        <w:rPr>
          <w:rFonts w:ascii="Times New Roman" w:hAnsi="Times New Roman" w:eastAsia="宋体" w:cs="Times New Roman"/>
          <w:kern w:val="2"/>
          <w:sz w:val="21"/>
          <w:szCs w:val="21"/>
          <w:lang w:val="en-US" w:eastAsia="zh-CN" w:bidi="ar-SA"/>
        </w:rPr>
        <w:t>3</w:t>
      </w:r>
      <w:r>
        <w:rPr>
          <w:rFonts w:hint="eastAsia" w:ascii="Times New Roman" w:hAnsi="Times New Roman" w:eastAsia="宋体" w:cs="Times New Roman"/>
          <w:kern w:val="2"/>
          <w:sz w:val="21"/>
          <w:szCs w:val="21"/>
          <w:lang w:val="en-US" w:eastAsia="zh-CN" w:bidi="ar-SA"/>
        </w:rPr>
        <w:t>min内加荷</w:t>
      </w:r>
      <w:r>
        <w:rPr>
          <w:rFonts w:hint="eastAsia"/>
          <w:sz w:val="21"/>
          <w:szCs w:val="21"/>
        </w:rPr>
        <w:t>至试件发生破坏；全部试件试验结束后，计算拉结件节点抗拉承载力试验值的算术平均值，精确至</w:t>
      </w:r>
      <w:r>
        <w:rPr>
          <w:rFonts w:hint="eastAsia" w:ascii="Times New Roman" w:hAnsi="Times New Roman" w:eastAsia="宋体" w:cs="Times New Roman"/>
          <w:kern w:val="2"/>
          <w:sz w:val="21"/>
          <w:szCs w:val="21"/>
          <w:lang w:val="en-US" w:eastAsia="zh-CN" w:bidi="ar-SA"/>
        </w:rPr>
        <w:t>0.1kN。</w:t>
      </w:r>
    </w:p>
    <w:p>
      <w:r>
        <w:br w:type="page"/>
      </w:r>
    </w:p>
    <w:p>
      <w:pPr>
        <w:pStyle w:val="78"/>
        <w:spacing w:before="78" w:after="156"/>
      </w:pPr>
    </w:p>
    <w:p>
      <w:pPr>
        <w:pStyle w:val="244"/>
        <w:keepNext/>
        <w:keepLines w:val="0"/>
        <w:pageBreakBefore w:val="0"/>
        <w:widowControl/>
        <w:numPr>
          <w:ilvl w:val="0"/>
          <w:numId w:val="0"/>
        </w:numPr>
        <w:kinsoku/>
        <w:wordWrap/>
        <w:overflowPunct/>
        <w:topLinePunct w:val="0"/>
        <w:autoSpaceDE/>
        <w:autoSpaceDN/>
        <w:bidi w:val="0"/>
        <w:adjustRightInd w:val="0"/>
        <w:snapToGrid/>
        <w:spacing w:before="280"/>
        <w:ind w:leftChars="0"/>
        <w:jc w:val="center"/>
        <w:textAlignment w:val="auto"/>
        <w:rPr>
          <w:rFonts w:hint="eastAsia"/>
        </w:rPr>
      </w:pPr>
      <w:bookmarkStart w:id="125" w:name="_Toc32084838"/>
      <w:bookmarkStart w:id="126" w:name="_Toc63589341"/>
      <w:r>
        <w:rPr>
          <w:rFonts w:hint="eastAsia"/>
        </w:rPr>
        <w:t>（规范性附录）</w:t>
      </w:r>
      <w:r>
        <w:br w:type="textWrapping"/>
      </w:r>
      <w:bookmarkEnd w:id="125"/>
      <w:r>
        <w:rPr>
          <w:rFonts w:hint="eastAsia"/>
        </w:rPr>
        <w:t>预制叠合板结构性能试验</w:t>
      </w:r>
      <w:bookmarkEnd w:id="126"/>
    </w:p>
    <w:p>
      <w:pPr>
        <w:pStyle w:val="213"/>
      </w:pPr>
      <w:r>
        <w:rPr>
          <w:rFonts w:hint="eastAsia"/>
          <w:b/>
          <w:bCs/>
          <w:sz w:val="21"/>
          <w:szCs w:val="21"/>
        </w:rPr>
        <w:t>荷载检验值取值</w:t>
      </w:r>
    </w:p>
    <w:p>
      <w:pPr>
        <w:spacing w:line="360" w:lineRule="auto"/>
        <w:rPr>
          <w:sz w:val="21"/>
          <w:szCs w:val="21"/>
        </w:rPr>
      </w:pPr>
      <w:r>
        <w:rPr>
          <w:rFonts w:hint="eastAsia" w:ascii="黑体" w:hAnsi="黑体" w:eastAsia="黑体" w:cs="黑体"/>
          <w:b w:val="0"/>
          <w:bCs w:val="0"/>
          <w:sz w:val="21"/>
          <w:szCs w:val="21"/>
          <w:lang w:eastAsia="zh-CN"/>
        </w:rPr>
        <w:t>C.</w:t>
      </w:r>
      <w:r>
        <w:rPr>
          <w:rFonts w:hint="eastAsia" w:ascii="黑体" w:hAnsi="黑体" w:eastAsia="黑体" w:cs="黑体"/>
          <w:b w:val="0"/>
          <w:bCs w:val="0"/>
          <w:sz w:val="21"/>
          <w:szCs w:val="21"/>
        </w:rPr>
        <w:t>1.1</w:t>
      </w:r>
      <w:r>
        <w:rPr>
          <w:rFonts w:hint="eastAsia"/>
          <w:b/>
          <w:bCs/>
          <w:sz w:val="21"/>
          <w:szCs w:val="21"/>
        </w:rPr>
        <w:t xml:space="preserve"> </w:t>
      </w:r>
      <w:r>
        <w:rPr>
          <w:rFonts w:hint="eastAsia"/>
          <w:sz w:val="21"/>
          <w:szCs w:val="21"/>
        </w:rPr>
        <w:t>预制叠合板</w:t>
      </w:r>
      <w:r>
        <w:rPr>
          <w:sz w:val="21"/>
          <w:szCs w:val="21"/>
        </w:rPr>
        <w:t>在施工过程中所承受的荷载，应考虑</w:t>
      </w:r>
      <w:r>
        <w:rPr>
          <w:rFonts w:hint="eastAsia"/>
          <w:sz w:val="21"/>
          <w:szCs w:val="21"/>
        </w:rPr>
        <w:t>后浇层</w:t>
      </w:r>
      <w:r>
        <w:rPr>
          <w:sz w:val="21"/>
          <w:szCs w:val="21"/>
        </w:rPr>
        <w:t>的重量和施工荷载，施工荷载取1.5kN/m</w:t>
      </w:r>
      <w:r>
        <w:rPr>
          <w:sz w:val="21"/>
          <w:szCs w:val="21"/>
          <w:vertAlign w:val="superscript"/>
        </w:rPr>
        <w:t>2</w:t>
      </w:r>
      <w:r>
        <w:rPr>
          <w:sz w:val="21"/>
          <w:szCs w:val="21"/>
        </w:rPr>
        <w:t>。</w:t>
      </w:r>
    </w:p>
    <w:p>
      <w:pPr>
        <w:spacing w:line="360" w:lineRule="auto"/>
        <w:rPr>
          <w:rFonts w:hint="eastAsia" w:ascii="Times New Roman" w:hAnsi="Times New Roman" w:eastAsia="宋体" w:cs="Times New Roman"/>
          <w:kern w:val="2"/>
          <w:sz w:val="21"/>
          <w:szCs w:val="21"/>
          <w:lang w:val="en-US" w:eastAsia="zh-CN" w:bidi="ar-SA"/>
        </w:rPr>
      </w:pPr>
      <w:r>
        <w:rPr>
          <w:rFonts w:hint="eastAsia" w:ascii="黑体" w:hAnsi="黑体" w:eastAsia="黑体" w:cs="黑体"/>
          <w:b w:val="0"/>
          <w:bCs w:val="0"/>
          <w:sz w:val="21"/>
          <w:szCs w:val="21"/>
          <w:lang w:eastAsia="zh-CN"/>
        </w:rPr>
        <w:t>C.1.2</w:t>
      </w:r>
      <w:r>
        <w:rPr>
          <w:rFonts w:hint="eastAsia" w:ascii="黑体" w:hAnsi="黑体" w:eastAsia="黑体" w:cs="黑体"/>
          <w:b w:val="0"/>
          <w:bCs w:val="0"/>
          <w:sz w:val="21"/>
          <w:szCs w:val="21"/>
          <w:lang w:val="en-US" w:eastAsia="zh-CN"/>
        </w:rPr>
        <w:t xml:space="preserve"> </w:t>
      </w:r>
      <w:r>
        <w:rPr>
          <w:rFonts w:hint="eastAsia" w:ascii="Times New Roman" w:hAnsi="Times New Roman" w:eastAsia="宋体" w:cs="Times New Roman"/>
          <w:kern w:val="2"/>
          <w:sz w:val="21"/>
          <w:szCs w:val="21"/>
          <w:lang w:val="en-US" w:eastAsia="zh-CN" w:bidi="ar-SA"/>
        </w:rPr>
        <w:t>预制叠合板进行结构性能检验时，应考虑预制叠合板单独工作阶段最不利工况，在支承间距最大的情况下，考虑后浇层未初凝，施工荷载满布的工况。即荷载检验值包括现浇层自重与施工荷载之和。</w:t>
      </w:r>
    </w:p>
    <w:p>
      <w:pPr>
        <w:spacing w:line="360" w:lineRule="auto"/>
      </w:pPr>
      <w:r>
        <w:rPr>
          <w:rFonts w:hint="eastAsia" w:ascii="黑体" w:hAnsi="黑体" w:eastAsia="黑体" w:cs="黑体"/>
          <w:b w:val="0"/>
          <w:bCs w:val="0"/>
          <w:sz w:val="21"/>
          <w:szCs w:val="21"/>
          <w:lang w:val="en-US" w:eastAsia="zh-CN"/>
        </w:rPr>
        <w:t xml:space="preserve">C.1.3 </w:t>
      </w:r>
      <w:r>
        <w:rPr>
          <w:rFonts w:hint="eastAsia" w:ascii="Times New Roman" w:hAnsi="Times New Roman" w:eastAsia="宋体" w:cs="Times New Roman"/>
          <w:kern w:val="2"/>
          <w:sz w:val="21"/>
          <w:szCs w:val="21"/>
          <w:lang w:val="en-US" w:eastAsia="zh-CN" w:bidi="ar-SA"/>
        </w:rPr>
        <w:t>该检验方法适用于单向板，对于双向板应取其跨度较大方向按照单向板进行检验。</w:t>
      </w:r>
    </w:p>
    <w:p>
      <w:pPr>
        <w:pStyle w:val="213"/>
      </w:pPr>
      <w:r>
        <w:rPr>
          <w:rFonts w:hint="eastAsia"/>
          <w:b/>
          <w:bCs/>
          <w:sz w:val="21"/>
          <w:szCs w:val="21"/>
        </w:rPr>
        <w:t>检验要求</w:t>
      </w:r>
    </w:p>
    <w:p>
      <w:pPr>
        <w:pStyle w:val="213"/>
        <w:numPr>
          <w:ilvl w:val="1"/>
          <w:numId w:val="0"/>
        </w:numPr>
        <w:ind w:leftChars="0"/>
      </w:pPr>
      <w:r>
        <w:rPr>
          <w:rFonts w:hint="eastAsia" w:ascii="黑体" w:hAnsi="黑体" w:eastAsia="黑体" w:cs="黑体"/>
          <w:b w:val="0"/>
          <w:bCs w:val="0"/>
          <w:kern w:val="2"/>
          <w:sz w:val="21"/>
          <w:szCs w:val="21"/>
          <w:lang w:val="en-US" w:eastAsia="zh-CN" w:bidi="ar-SA"/>
        </w:rPr>
        <w:t>C.2.1</w:t>
      </w:r>
      <w:r>
        <w:rPr>
          <w:rFonts w:hint="eastAsia"/>
          <w:sz w:val="21"/>
          <w:szCs w:val="21"/>
          <w:lang w:val="en-US" w:eastAsia="zh-CN"/>
        </w:rPr>
        <w:t>符合设计要求和GB 50204附录B中的要求</w:t>
      </w:r>
    </w:p>
    <w:p>
      <w:pPr>
        <w:pStyle w:val="213"/>
      </w:pPr>
      <w:r>
        <w:rPr>
          <w:rFonts w:hint="eastAsia"/>
          <w:b/>
          <w:bCs/>
          <w:sz w:val="21"/>
          <w:szCs w:val="21"/>
        </w:rPr>
        <w:t>检验方法</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C.3.1 </w:t>
      </w:r>
      <w:r>
        <w:rPr>
          <w:sz w:val="21"/>
          <w:szCs w:val="21"/>
        </w:rPr>
        <w:t>进行结构性能检验时的试验条件应符合下列规定：</w:t>
      </w:r>
    </w:p>
    <w:p>
      <w:pPr>
        <w:spacing w:line="360" w:lineRule="auto"/>
        <w:ind w:firstLine="422" w:firstLineChars="200"/>
        <w:rPr>
          <w:strike/>
          <w:sz w:val="21"/>
          <w:szCs w:val="21"/>
        </w:rPr>
      </w:pPr>
      <w:r>
        <w:rPr>
          <w:rFonts w:hint="eastAsia"/>
          <w:b/>
          <w:bCs/>
          <w:sz w:val="21"/>
          <w:szCs w:val="21"/>
        </w:rPr>
        <w:t>1</w:t>
      </w:r>
      <w:r>
        <w:rPr>
          <w:rFonts w:hint="eastAsia"/>
          <w:sz w:val="21"/>
          <w:szCs w:val="21"/>
        </w:rPr>
        <w:t xml:space="preserve"> 试验场地的温度应在0℃以上；</w:t>
      </w:r>
    </w:p>
    <w:p>
      <w:pPr>
        <w:spacing w:line="360" w:lineRule="auto"/>
        <w:ind w:firstLine="422" w:firstLineChars="200"/>
        <w:rPr>
          <w:sz w:val="21"/>
          <w:szCs w:val="21"/>
        </w:rPr>
      </w:pPr>
      <w:r>
        <w:rPr>
          <w:rFonts w:hint="eastAsia"/>
          <w:b/>
          <w:bCs/>
          <w:sz w:val="21"/>
          <w:szCs w:val="21"/>
        </w:rPr>
        <w:t xml:space="preserve">2 </w:t>
      </w:r>
      <w:r>
        <w:rPr>
          <w:rFonts w:hint="eastAsia"/>
          <w:sz w:val="21"/>
          <w:szCs w:val="21"/>
        </w:rPr>
        <w:t>预制构件的混凝土强度应达到设计强度的100％以上；</w:t>
      </w:r>
    </w:p>
    <w:p>
      <w:pPr>
        <w:spacing w:line="360" w:lineRule="auto"/>
        <w:ind w:firstLine="422" w:firstLineChars="200"/>
        <w:rPr>
          <w:sz w:val="21"/>
          <w:szCs w:val="21"/>
        </w:rPr>
      </w:pPr>
      <w:r>
        <w:rPr>
          <w:rFonts w:hint="eastAsia"/>
          <w:b/>
          <w:bCs/>
          <w:sz w:val="21"/>
          <w:szCs w:val="21"/>
        </w:rPr>
        <w:t xml:space="preserve">3 </w:t>
      </w:r>
      <w:r>
        <w:rPr>
          <w:rFonts w:hint="eastAsia"/>
          <w:sz w:val="21"/>
          <w:szCs w:val="21"/>
        </w:rPr>
        <w:t>构件在试验前应量测其实际尺寸，并检查构件表面，所有的缺陷和裂缝应在构件上标出；</w:t>
      </w:r>
    </w:p>
    <w:p>
      <w:pPr>
        <w:spacing w:line="360" w:lineRule="auto"/>
        <w:ind w:firstLine="422" w:firstLineChars="200"/>
        <w:rPr>
          <w:sz w:val="21"/>
          <w:szCs w:val="21"/>
        </w:rPr>
      </w:pPr>
      <w:r>
        <w:rPr>
          <w:rFonts w:hint="eastAsia"/>
          <w:b/>
          <w:bCs/>
          <w:sz w:val="21"/>
          <w:szCs w:val="21"/>
        </w:rPr>
        <w:t>4</w:t>
      </w:r>
      <w:r>
        <w:rPr>
          <w:rFonts w:hint="eastAsia"/>
          <w:sz w:val="21"/>
          <w:szCs w:val="21"/>
        </w:rPr>
        <w:t xml:space="preserve"> 试验用的加荷设备及量测仪表应预先进行标定或校准。</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C.3.2 </w:t>
      </w:r>
      <w:r>
        <w:rPr>
          <w:sz w:val="21"/>
          <w:szCs w:val="21"/>
        </w:rPr>
        <w:t>试验</w:t>
      </w:r>
      <w:r>
        <w:rPr>
          <w:rFonts w:hint="eastAsia"/>
          <w:sz w:val="21"/>
          <w:szCs w:val="21"/>
        </w:rPr>
        <w:t>预制叠合板</w:t>
      </w:r>
      <w:r>
        <w:rPr>
          <w:sz w:val="21"/>
          <w:szCs w:val="21"/>
        </w:rPr>
        <w:t>的支承方式</w:t>
      </w:r>
      <w:r>
        <w:rPr>
          <w:rFonts w:hint="eastAsia"/>
          <w:sz w:val="21"/>
          <w:szCs w:val="21"/>
        </w:rPr>
        <w:t>为</w:t>
      </w:r>
      <w:r>
        <w:rPr>
          <w:sz w:val="21"/>
          <w:szCs w:val="21"/>
        </w:rPr>
        <w:t>一端采用铰支承，另一端滚动支承。铰支承可采用角钢、半圆型钢或焊于钢板上的圆钢</w:t>
      </w:r>
      <w:r>
        <w:rPr>
          <w:rFonts w:hint="eastAsia"/>
          <w:sz w:val="21"/>
          <w:szCs w:val="21"/>
        </w:rPr>
        <w:t>，</w:t>
      </w:r>
      <w:r>
        <w:rPr>
          <w:sz w:val="21"/>
          <w:szCs w:val="21"/>
        </w:rPr>
        <w:t>滚动支承可采用圆钢。支承间距取最大间距1600mm，</w:t>
      </w:r>
      <w:r>
        <w:rPr>
          <w:rFonts w:hint="eastAsia"/>
          <w:sz w:val="21"/>
          <w:szCs w:val="21"/>
        </w:rPr>
        <w:t>预制叠合板</w:t>
      </w:r>
      <w:r>
        <w:rPr>
          <w:sz w:val="21"/>
          <w:szCs w:val="21"/>
        </w:rPr>
        <w:t>长度L不满1600mm情况下，支承间距取（L-100）mm。</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C.3.3 </w:t>
      </w:r>
      <w:r>
        <w:rPr>
          <w:sz w:val="21"/>
          <w:szCs w:val="21"/>
        </w:rPr>
        <w:t>加载方式采用荷重块加载方法（附图</w:t>
      </w:r>
      <w:r>
        <w:rPr>
          <w:rFonts w:hint="eastAsia"/>
          <w:sz w:val="21"/>
          <w:szCs w:val="21"/>
          <w:lang w:eastAsia="zh-CN"/>
        </w:rPr>
        <w:t>C.</w:t>
      </w:r>
      <w:r>
        <w:rPr>
          <w:sz w:val="21"/>
          <w:szCs w:val="21"/>
        </w:rPr>
        <w:t>3.3）</w:t>
      </w:r>
      <w:r>
        <w:rPr>
          <w:rFonts w:hint="eastAsia"/>
          <w:sz w:val="21"/>
          <w:szCs w:val="21"/>
        </w:rPr>
        <w:t>，</w:t>
      </w:r>
      <w:r>
        <w:rPr>
          <w:sz w:val="21"/>
          <w:szCs w:val="21"/>
        </w:rPr>
        <w:t>荷重块应按区格垛堆放</w:t>
      </w:r>
      <w:r>
        <w:rPr>
          <w:rFonts w:hint="eastAsia"/>
          <w:sz w:val="21"/>
          <w:szCs w:val="21"/>
        </w:rPr>
        <w:t>，</w:t>
      </w:r>
      <w:r>
        <w:rPr>
          <w:sz w:val="21"/>
          <w:szCs w:val="21"/>
        </w:rPr>
        <w:t>垛与垛之间间隙不宜小于50mm</w:t>
      </w:r>
      <w:r>
        <w:rPr>
          <w:rFonts w:hint="eastAsia"/>
          <w:sz w:val="21"/>
          <w:szCs w:val="21"/>
        </w:rPr>
        <w:t>，</w:t>
      </w:r>
      <w:r>
        <w:rPr>
          <w:sz w:val="21"/>
          <w:szCs w:val="21"/>
        </w:rPr>
        <w:t>以免形成拱作用。</w:t>
      </w:r>
    </w:p>
    <w:p>
      <w:pPr>
        <w:pStyle w:val="213"/>
        <w:numPr>
          <w:ilvl w:val="1"/>
          <w:numId w:val="0"/>
        </w:numPr>
        <w:ind w:leftChars="0"/>
        <w:jc w:val="center"/>
        <w:rPr>
          <w:sz w:val="21"/>
          <w:szCs w:val="21"/>
        </w:rPr>
      </w:pPr>
      <w:r>
        <w:rPr>
          <w:sz w:val="21"/>
          <w:szCs w:val="21"/>
        </w:rPr>
        <w:drawing>
          <wp:inline distT="0" distB="0" distL="114300" distR="114300">
            <wp:extent cx="3930650" cy="1031875"/>
            <wp:effectExtent l="0" t="0" r="12700" b="15875"/>
            <wp:docPr id="6" name="图片 3" descr="BBN14G6{SJB]D)322Y1@L5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BBN14G6{SJB]D)322Y1@L5W"/>
                    <pic:cNvPicPr>
                      <a:picLocks noChangeAspect="1"/>
                    </pic:cNvPicPr>
                  </pic:nvPicPr>
                  <pic:blipFill>
                    <a:blip r:embed="rId21"/>
                    <a:stretch>
                      <a:fillRect/>
                    </a:stretch>
                  </pic:blipFill>
                  <pic:spPr>
                    <a:xfrm>
                      <a:off x="0" y="0"/>
                      <a:ext cx="3930650" cy="1031875"/>
                    </a:xfrm>
                    <a:prstGeom prst="rect">
                      <a:avLst/>
                    </a:prstGeom>
                    <a:noFill/>
                    <a:ln>
                      <a:noFill/>
                    </a:ln>
                  </pic:spPr>
                </pic:pic>
              </a:graphicData>
            </a:graphic>
          </wp:inline>
        </w:drawing>
      </w:r>
    </w:p>
    <w:p>
      <w:pPr>
        <w:spacing w:line="360" w:lineRule="auto"/>
        <w:jc w:val="center"/>
        <w:rPr>
          <w:rFonts w:hint="eastAsia" w:ascii="黑体" w:hAnsi="黑体" w:eastAsia="黑体" w:cs="黑体"/>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图C.3.3 试验板堆载图</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C.3.4 </w:t>
      </w:r>
      <w:r>
        <w:rPr>
          <w:sz w:val="21"/>
          <w:szCs w:val="21"/>
        </w:rPr>
        <w:t>加载过程应符合下列规定：</w:t>
      </w:r>
    </w:p>
    <w:p>
      <w:pPr>
        <w:spacing w:line="360" w:lineRule="auto"/>
        <w:ind w:firstLine="422" w:firstLineChars="200"/>
        <w:rPr>
          <w:sz w:val="21"/>
          <w:szCs w:val="21"/>
        </w:rPr>
      </w:pPr>
      <w:r>
        <w:rPr>
          <w:b/>
          <w:bCs/>
          <w:sz w:val="21"/>
          <w:szCs w:val="21"/>
        </w:rPr>
        <w:t>1</w:t>
      </w:r>
      <w:r>
        <w:rPr>
          <w:sz w:val="21"/>
          <w:szCs w:val="21"/>
        </w:rPr>
        <w:t xml:space="preserve"> 预制构件应分级加载。当荷载小于标准荷载时，每级荷载不应大于标准荷载值的20％；当荷载大于标准荷载时，每级荷载不应大于标准荷载值的10％；当荷载接近抗裂检验荷载值时，每级荷载不应大于标准荷载值的5％；当荷载接近承载力检验荷载值时，每级荷载不应大于荷载设计值的5％；</w:t>
      </w:r>
    </w:p>
    <w:p>
      <w:pPr>
        <w:spacing w:line="360" w:lineRule="auto"/>
        <w:ind w:firstLine="422" w:firstLineChars="200"/>
        <w:rPr>
          <w:sz w:val="21"/>
          <w:szCs w:val="21"/>
        </w:rPr>
      </w:pPr>
      <w:r>
        <w:rPr>
          <w:rFonts w:hint="eastAsia"/>
          <w:b/>
          <w:bCs/>
          <w:sz w:val="21"/>
          <w:szCs w:val="21"/>
        </w:rPr>
        <w:t>2</w:t>
      </w:r>
      <w:r>
        <w:rPr>
          <w:rFonts w:hint="eastAsia"/>
          <w:sz w:val="21"/>
          <w:szCs w:val="21"/>
        </w:rPr>
        <w:t xml:space="preserve"> 试验设备重量及预制构件自重应作为第一次加载的一部分；</w:t>
      </w:r>
    </w:p>
    <w:p>
      <w:pPr>
        <w:spacing w:line="360" w:lineRule="auto"/>
        <w:ind w:firstLine="422" w:firstLineChars="200"/>
        <w:rPr>
          <w:sz w:val="21"/>
          <w:szCs w:val="21"/>
        </w:rPr>
      </w:pPr>
      <w:r>
        <w:rPr>
          <w:rFonts w:hint="eastAsia"/>
          <w:b/>
          <w:bCs/>
          <w:sz w:val="21"/>
          <w:szCs w:val="21"/>
        </w:rPr>
        <w:t>3</w:t>
      </w:r>
      <w:r>
        <w:rPr>
          <w:rFonts w:hint="eastAsia"/>
          <w:sz w:val="21"/>
          <w:szCs w:val="21"/>
        </w:rPr>
        <w:t xml:space="preserve"> 试验前宜对预制构件进行预压，以检查试验装置的工作是否正常，但应防止构件因预压而开裂；</w:t>
      </w:r>
    </w:p>
    <w:p>
      <w:pPr>
        <w:spacing w:line="360" w:lineRule="auto"/>
        <w:ind w:firstLine="422" w:firstLineChars="200"/>
        <w:rPr>
          <w:sz w:val="21"/>
          <w:szCs w:val="21"/>
        </w:rPr>
      </w:pPr>
      <w:r>
        <w:rPr>
          <w:rFonts w:hint="eastAsia"/>
          <w:b/>
          <w:bCs/>
          <w:sz w:val="21"/>
          <w:szCs w:val="21"/>
        </w:rPr>
        <w:t>4</w:t>
      </w:r>
      <w:r>
        <w:rPr>
          <w:rFonts w:hint="eastAsia"/>
          <w:sz w:val="21"/>
          <w:szCs w:val="21"/>
        </w:rPr>
        <w:t xml:space="preserve"> 对仅做挠度、抗裂或裂缝宽度检验的构件应分级卸载；</w:t>
      </w:r>
    </w:p>
    <w:p>
      <w:pPr>
        <w:spacing w:line="360" w:lineRule="auto"/>
        <w:ind w:firstLine="422" w:firstLineChars="200"/>
        <w:rPr>
          <w:sz w:val="21"/>
          <w:szCs w:val="21"/>
        </w:rPr>
      </w:pPr>
      <w:r>
        <w:rPr>
          <w:rFonts w:hint="eastAsia"/>
          <w:b/>
          <w:bCs/>
          <w:sz w:val="21"/>
          <w:szCs w:val="21"/>
        </w:rPr>
        <w:t>5</w:t>
      </w:r>
      <w:r>
        <w:rPr>
          <w:sz w:val="21"/>
          <w:szCs w:val="21"/>
        </w:rPr>
        <w:t xml:space="preserve"> </w:t>
      </w:r>
      <w:r>
        <w:rPr>
          <w:rFonts w:hint="eastAsia"/>
          <w:sz w:val="21"/>
          <w:szCs w:val="21"/>
        </w:rPr>
        <w:t>每级加载完成后，应持续10min～15min；在标准荷载作用下，应持续30min。在持续时间内，应观察裂缝的出现和开展，以及钢筋有无滑移等；在持续时间结束时，应观察并记录各项读数。</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C.3.5 </w:t>
      </w:r>
      <w:r>
        <w:rPr>
          <w:sz w:val="21"/>
          <w:szCs w:val="21"/>
        </w:rPr>
        <w:t>结构性能检验</w:t>
      </w:r>
      <w:r>
        <w:rPr>
          <w:rFonts w:hint="eastAsia"/>
          <w:sz w:val="21"/>
          <w:szCs w:val="21"/>
        </w:rPr>
        <w:t>应符合下列规定：</w:t>
      </w:r>
    </w:p>
    <w:p>
      <w:pPr>
        <w:spacing w:line="360" w:lineRule="auto"/>
        <w:ind w:firstLine="422" w:firstLineChars="200"/>
        <w:rPr>
          <w:sz w:val="21"/>
          <w:szCs w:val="21"/>
        </w:rPr>
      </w:pPr>
      <w:r>
        <w:rPr>
          <w:rFonts w:hint="eastAsia"/>
          <w:b/>
          <w:bCs/>
          <w:sz w:val="21"/>
          <w:szCs w:val="21"/>
        </w:rPr>
        <w:t xml:space="preserve">1 </w:t>
      </w:r>
      <w:r>
        <w:rPr>
          <w:rFonts w:hint="eastAsia"/>
          <w:sz w:val="21"/>
          <w:szCs w:val="21"/>
        </w:rPr>
        <w:t>进行探索性试验</w:t>
      </w:r>
      <w:r>
        <w:rPr>
          <w:sz w:val="21"/>
          <w:szCs w:val="21"/>
        </w:rPr>
        <w:t>应加载至</w:t>
      </w:r>
      <w:r>
        <w:rPr>
          <w:rFonts w:hint="eastAsia"/>
          <w:sz w:val="21"/>
          <w:szCs w:val="21"/>
        </w:rPr>
        <w:t>预制叠合板</w:t>
      </w:r>
      <w:r>
        <w:rPr>
          <w:sz w:val="21"/>
          <w:szCs w:val="21"/>
        </w:rPr>
        <w:t>出现裂缝、挠度到达L/400或出现</w:t>
      </w:r>
      <w:r>
        <w:rPr>
          <w:rFonts w:hint="eastAsia"/>
          <w:sz w:val="21"/>
          <w:szCs w:val="21"/>
        </w:rPr>
        <w:t>GB50204</w:t>
      </w:r>
      <w:r>
        <w:rPr>
          <w:sz w:val="21"/>
          <w:szCs w:val="21"/>
        </w:rPr>
        <w:t>附录</w:t>
      </w:r>
      <w:r>
        <w:rPr>
          <w:rFonts w:hint="eastAsia"/>
          <w:sz w:val="21"/>
          <w:szCs w:val="21"/>
        </w:rPr>
        <w:t>B.1.1</w:t>
      </w:r>
      <w:r>
        <w:rPr>
          <w:sz w:val="21"/>
          <w:szCs w:val="21"/>
        </w:rPr>
        <w:t>所列承载能力极限状态的检验标志。当在规定的荷载持续时间内出现上述检验标志之一时</w:t>
      </w:r>
      <w:r>
        <w:rPr>
          <w:rFonts w:hint="eastAsia"/>
          <w:sz w:val="21"/>
          <w:szCs w:val="21"/>
        </w:rPr>
        <w:t>，</w:t>
      </w:r>
      <w:r>
        <w:rPr>
          <w:sz w:val="21"/>
          <w:szCs w:val="21"/>
        </w:rPr>
        <w:t>应取本级荷载值与前一级荷载值的平均值作为其检验荷载实测值；当在规定的荷载持续时间结束后出现上述检验标志之一时</w:t>
      </w:r>
      <w:r>
        <w:rPr>
          <w:rFonts w:hint="eastAsia"/>
          <w:sz w:val="21"/>
          <w:szCs w:val="21"/>
        </w:rPr>
        <w:t>，</w:t>
      </w:r>
      <w:r>
        <w:rPr>
          <w:sz w:val="21"/>
          <w:szCs w:val="21"/>
        </w:rPr>
        <w:t>应取本级荷载值作为其检验荷载实测值。</w:t>
      </w:r>
    </w:p>
    <w:p>
      <w:pPr>
        <w:spacing w:line="360" w:lineRule="auto"/>
        <w:ind w:firstLine="422" w:firstLineChars="200"/>
        <w:rPr>
          <w:sz w:val="21"/>
          <w:szCs w:val="21"/>
        </w:rPr>
      </w:pPr>
      <w:r>
        <w:rPr>
          <w:rFonts w:hint="eastAsia"/>
          <w:b/>
          <w:bCs/>
          <w:sz w:val="21"/>
          <w:szCs w:val="21"/>
        </w:rPr>
        <w:t xml:space="preserve">2 </w:t>
      </w:r>
      <w:r>
        <w:rPr>
          <w:rFonts w:hint="eastAsia"/>
          <w:sz w:val="21"/>
          <w:szCs w:val="21"/>
        </w:rPr>
        <w:t>进行验证性试验可</w:t>
      </w:r>
      <w:r>
        <w:rPr>
          <w:sz w:val="21"/>
          <w:szCs w:val="21"/>
        </w:rPr>
        <w:t>加载至</w:t>
      </w:r>
      <w:r>
        <w:rPr>
          <w:rFonts w:hint="eastAsia"/>
          <w:sz w:val="21"/>
          <w:szCs w:val="21"/>
        </w:rPr>
        <w:t>荷载检验值，</w:t>
      </w:r>
      <w:r>
        <w:rPr>
          <w:sz w:val="21"/>
          <w:szCs w:val="21"/>
        </w:rPr>
        <w:t>当在规定的荷载持续时间内</w:t>
      </w:r>
      <w:r>
        <w:rPr>
          <w:rFonts w:hint="eastAsia"/>
          <w:sz w:val="21"/>
          <w:szCs w:val="21"/>
        </w:rPr>
        <w:t>未</w:t>
      </w:r>
      <w:r>
        <w:rPr>
          <w:sz w:val="21"/>
          <w:szCs w:val="21"/>
        </w:rPr>
        <w:t>出现上述检验标志之一时</w:t>
      </w:r>
      <w:r>
        <w:rPr>
          <w:rFonts w:hint="eastAsia"/>
          <w:sz w:val="21"/>
          <w:szCs w:val="21"/>
        </w:rPr>
        <w:t>，可判断该预制叠合板合格。</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C.3.6 </w:t>
      </w:r>
      <w:r>
        <w:rPr>
          <w:sz w:val="21"/>
          <w:szCs w:val="21"/>
        </w:rPr>
        <w:t>挠度测量应符合下列规定：</w:t>
      </w:r>
    </w:p>
    <w:p>
      <w:pPr>
        <w:spacing w:line="360" w:lineRule="auto"/>
        <w:ind w:firstLine="422" w:firstLineChars="200"/>
        <w:rPr>
          <w:sz w:val="21"/>
          <w:szCs w:val="21"/>
        </w:rPr>
      </w:pPr>
      <w:r>
        <w:rPr>
          <w:b/>
          <w:bCs/>
          <w:sz w:val="21"/>
          <w:szCs w:val="21"/>
        </w:rPr>
        <w:t>1</w:t>
      </w:r>
      <w:r>
        <w:rPr>
          <w:sz w:val="21"/>
          <w:szCs w:val="21"/>
        </w:rPr>
        <w:t xml:space="preserve"> 构件挠度可用百分表、位移传感器、水平仪等进行观测</w:t>
      </w:r>
      <w:r>
        <w:rPr>
          <w:rFonts w:hint="eastAsia"/>
          <w:sz w:val="21"/>
          <w:szCs w:val="21"/>
        </w:rPr>
        <w:t>，</w:t>
      </w:r>
      <w:r>
        <w:rPr>
          <w:sz w:val="21"/>
          <w:szCs w:val="21"/>
        </w:rPr>
        <w:t>其量测精度应符合有关标准的规定</w:t>
      </w:r>
      <w:r>
        <w:rPr>
          <w:rFonts w:hint="eastAsia"/>
          <w:sz w:val="21"/>
          <w:szCs w:val="21"/>
        </w:rPr>
        <w:t>；</w:t>
      </w:r>
    </w:p>
    <w:p>
      <w:pPr>
        <w:spacing w:line="360" w:lineRule="auto"/>
        <w:ind w:firstLine="422" w:firstLineChars="200"/>
        <w:rPr>
          <w:sz w:val="21"/>
          <w:szCs w:val="21"/>
        </w:rPr>
      </w:pPr>
      <w:r>
        <w:rPr>
          <w:b/>
          <w:bCs/>
          <w:sz w:val="21"/>
          <w:szCs w:val="21"/>
        </w:rPr>
        <w:t>2</w:t>
      </w:r>
      <w:r>
        <w:rPr>
          <w:sz w:val="21"/>
          <w:szCs w:val="21"/>
        </w:rPr>
        <w:t xml:space="preserve"> 试验时</w:t>
      </w:r>
      <w:r>
        <w:rPr>
          <w:rFonts w:hint="eastAsia"/>
          <w:sz w:val="21"/>
          <w:szCs w:val="21"/>
        </w:rPr>
        <w:t>，</w:t>
      </w:r>
      <w:r>
        <w:rPr>
          <w:sz w:val="21"/>
          <w:szCs w:val="21"/>
        </w:rPr>
        <w:t>应量测构件跨中位移和支座沉陷。对宽度较大的构件</w:t>
      </w:r>
      <w:r>
        <w:rPr>
          <w:rFonts w:hint="eastAsia"/>
          <w:sz w:val="21"/>
          <w:szCs w:val="21"/>
        </w:rPr>
        <w:t>，</w:t>
      </w:r>
      <w:r>
        <w:rPr>
          <w:sz w:val="21"/>
          <w:szCs w:val="21"/>
        </w:rPr>
        <w:t>应在每一量测截面的两边布置测点</w:t>
      </w:r>
      <w:r>
        <w:rPr>
          <w:rFonts w:hint="eastAsia"/>
          <w:sz w:val="21"/>
          <w:szCs w:val="21"/>
        </w:rPr>
        <w:t>，</w:t>
      </w:r>
      <w:r>
        <w:rPr>
          <w:sz w:val="21"/>
          <w:szCs w:val="21"/>
        </w:rPr>
        <w:t>并取其量测结果的平均值作为该处的位移</w:t>
      </w:r>
      <w:r>
        <w:rPr>
          <w:rFonts w:hint="eastAsia"/>
          <w:sz w:val="21"/>
          <w:szCs w:val="21"/>
        </w:rPr>
        <w:t>；</w:t>
      </w:r>
    </w:p>
    <w:p>
      <w:pPr>
        <w:spacing w:line="360" w:lineRule="auto"/>
        <w:ind w:firstLine="422" w:firstLineChars="200"/>
        <w:rPr>
          <w:sz w:val="21"/>
          <w:szCs w:val="21"/>
        </w:rPr>
      </w:pPr>
      <w:r>
        <w:rPr>
          <w:b/>
          <w:bCs/>
          <w:sz w:val="21"/>
          <w:szCs w:val="21"/>
        </w:rPr>
        <w:t>3</w:t>
      </w:r>
      <w:r>
        <w:rPr>
          <w:sz w:val="21"/>
          <w:szCs w:val="21"/>
        </w:rPr>
        <w:t xml:space="preserve"> 试验过程未出现裂缝</w:t>
      </w:r>
      <w:r>
        <w:rPr>
          <w:rFonts w:hint="eastAsia"/>
          <w:sz w:val="21"/>
          <w:szCs w:val="21"/>
        </w:rPr>
        <w:t>时</w:t>
      </w:r>
      <w:r>
        <w:rPr>
          <w:sz w:val="21"/>
          <w:szCs w:val="21"/>
        </w:rPr>
        <w:t>，</w:t>
      </w:r>
      <w:r>
        <w:rPr>
          <w:rFonts w:hint="eastAsia"/>
          <w:sz w:val="21"/>
          <w:szCs w:val="21"/>
        </w:rPr>
        <w:t>可</w:t>
      </w:r>
      <w:r>
        <w:rPr>
          <w:sz w:val="21"/>
          <w:szCs w:val="21"/>
        </w:rPr>
        <w:t>采用</w:t>
      </w:r>
      <w:r>
        <w:rPr>
          <w:rFonts w:hint="eastAsia"/>
          <w:sz w:val="21"/>
          <w:szCs w:val="21"/>
        </w:rPr>
        <w:t>线性拟合</w:t>
      </w:r>
      <w:r>
        <w:rPr>
          <w:sz w:val="21"/>
          <w:szCs w:val="21"/>
        </w:rPr>
        <w:t>获得外加荷载与跨中实测挠度的线性关系，推导</w:t>
      </w:r>
      <w:r>
        <w:rPr>
          <w:rFonts w:hint="eastAsia"/>
          <w:sz w:val="21"/>
          <w:szCs w:val="21"/>
        </w:rPr>
        <w:t>预制叠合板</w:t>
      </w:r>
      <w:r>
        <w:rPr>
          <w:sz w:val="21"/>
          <w:szCs w:val="21"/>
        </w:rPr>
        <w:t>自重及加荷设备产生的跨中挠度。</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C.3.7 </w:t>
      </w:r>
      <w:r>
        <w:rPr>
          <w:sz w:val="21"/>
          <w:szCs w:val="21"/>
        </w:rPr>
        <w:t>裂缝观测应符合下列规定</w:t>
      </w:r>
      <w:r>
        <w:rPr>
          <w:rFonts w:hint="eastAsia"/>
          <w:sz w:val="21"/>
          <w:szCs w:val="21"/>
        </w:rPr>
        <w:t>：</w:t>
      </w:r>
    </w:p>
    <w:p>
      <w:pPr>
        <w:spacing w:line="360" w:lineRule="auto"/>
        <w:ind w:firstLine="422" w:firstLineChars="200"/>
        <w:rPr>
          <w:sz w:val="21"/>
          <w:szCs w:val="21"/>
        </w:rPr>
      </w:pPr>
      <w:r>
        <w:rPr>
          <w:rFonts w:hint="eastAsia"/>
          <w:b/>
          <w:bCs/>
          <w:sz w:val="21"/>
          <w:szCs w:val="21"/>
        </w:rPr>
        <w:t>1</w:t>
      </w:r>
      <w:r>
        <w:rPr>
          <w:b/>
          <w:bCs/>
          <w:sz w:val="21"/>
          <w:szCs w:val="21"/>
        </w:rPr>
        <w:t xml:space="preserve"> </w:t>
      </w:r>
      <w:r>
        <w:rPr>
          <w:sz w:val="21"/>
          <w:szCs w:val="21"/>
        </w:rPr>
        <w:t>裂缝宽度可采用放大镜等仪器进行观测</w:t>
      </w:r>
      <w:r>
        <w:rPr>
          <w:rFonts w:hint="eastAsia"/>
          <w:sz w:val="21"/>
          <w:szCs w:val="21"/>
        </w:rPr>
        <w:t>，</w:t>
      </w:r>
      <w:r>
        <w:rPr>
          <w:sz w:val="21"/>
          <w:szCs w:val="21"/>
        </w:rPr>
        <w:t>试验中未能及时观察到正截面裂缝的出现时，可取荷载-挠度曲线上第一弯转段两端点切线的交点的荷载值作为构件的开裂荷载实测值；</w:t>
      </w:r>
    </w:p>
    <w:p>
      <w:pPr>
        <w:spacing w:line="360" w:lineRule="auto"/>
        <w:ind w:firstLine="422" w:firstLineChars="200"/>
        <w:rPr>
          <w:sz w:val="21"/>
          <w:szCs w:val="21"/>
        </w:rPr>
      </w:pPr>
      <w:r>
        <w:rPr>
          <w:rFonts w:hint="eastAsia"/>
          <w:b/>
          <w:bCs/>
          <w:sz w:val="21"/>
          <w:szCs w:val="21"/>
        </w:rPr>
        <w:t xml:space="preserve">2 </w:t>
      </w:r>
      <w:r>
        <w:rPr>
          <w:rFonts w:hint="eastAsia"/>
          <w:sz w:val="21"/>
          <w:szCs w:val="21"/>
        </w:rPr>
        <w:t>在对构件进行抗裂检验时，当在规定的荷载持续时间内出现裂缝时，应取本级荷载值与前一级荷载值的平均值作为其开裂荷载实测值；当在规定的荷载持续时间结束后出现裂缝时，应取本级荷载值作为其开裂荷载实测值；</w:t>
      </w:r>
    </w:p>
    <w:p>
      <w:pPr>
        <w:spacing w:line="360" w:lineRule="auto"/>
        <w:ind w:firstLine="422" w:firstLineChars="200"/>
        <w:rPr>
          <w:sz w:val="21"/>
          <w:szCs w:val="21"/>
        </w:rPr>
      </w:pPr>
      <w:r>
        <w:rPr>
          <w:rFonts w:hint="eastAsia"/>
          <w:b/>
          <w:bCs/>
          <w:sz w:val="21"/>
          <w:szCs w:val="21"/>
        </w:rPr>
        <w:t>3</w:t>
      </w:r>
      <w:r>
        <w:rPr>
          <w:rFonts w:hint="eastAsia"/>
          <w:sz w:val="21"/>
          <w:szCs w:val="21"/>
        </w:rPr>
        <w:t xml:space="preserve"> 裂缝宽度宜采用精度为</w:t>
      </w:r>
      <w:r>
        <w:rPr>
          <w:sz w:val="21"/>
          <w:szCs w:val="21"/>
        </w:rPr>
        <w:t>0.05</w:t>
      </w:r>
      <w:r>
        <w:rPr>
          <w:rFonts w:hint="eastAsia"/>
          <w:sz w:val="21"/>
          <w:szCs w:val="21"/>
        </w:rPr>
        <w:t>mm的刻度放大镜等仪器进行观测，也可采用满足精度要求的裂缝检验卡进行观测；</w:t>
      </w:r>
    </w:p>
    <w:p>
      <w:pPr>
        <w:spacing w:line="360" w:lineRule="auto"/>
        <w:ind w:firstLine="422" w:firstLineChars="200"/>
        <w:rPr>
          <w:sz w:val="21"/>
          <w:szCs w:val="21"/>
        </w:rPr>
      </w:pPr>
      <w:r>
        <w:rPr>
          <w:rFonts w:hint="eastAsia"/>
          <w:b/>
          <w:bCs/>
          <w:sz w:val="21"/>
          <w:szCs w:val="21"/>
        </w:rPr>
        <w:t>4</w:t>
      </w:r>
      <w:r>
        <w:rPr>
          <w:rFonts w:hint="eastAsia"/>
          <w:sz w:val="21"/>
          <w:szCs w:val="21"/>
        </w:rPr>
        <w:t xml:space="preserve"> 对正截面裂缝，应量测受拉主筋处的最大裂缝宽度；对斜截面裂缝，应量测腹部斜裂缝的最大裂缝宽度。当确定受弯构件受拉主筋处的裂缝宽度时，应在构件侧面量测。</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C.3.8 </w:t>
      </w:r>
      <w:r>
        <w:rPr>
          <w:sz w:val="21"/>
          <w:szCs w:val="21"/>
        </w:rPr>
        <w:t>安全措施应符合</w:t>
      </w:r>
      <w:r>
        <w:rPr>
          <w:rFonts w:hint="eastAsia"/>
          <w:sz w:val="21"/>
          <w:szCs w:val="21"/>
        </w:rPr>
        <w:t>下列规定：</w:t>
      </w:r>
    </w:p>
    <w:p>
      <w:pPr>
        <w:spacing w:line="360" w:lineRule="auto"/>
        <w:ind w:firstLine="422" w:firstLineChars="200"/>
        <w:rPr>
          <w:sz w:val="21"/>
          <w:szCs w:val="21"/>
        </w:rPr>
      </w:pPr>
      <w:r>
        <w:rPr>
          <w:b/>
          <w:bCs/>
          <w:sz w:val="21"/>
          <w:szCs w:val="21"/>
        </w:rPr>
        <w:t>1</w:t>
      </w:r>
      <w:r>
        <w:rPr>
          <w:sz w:val="21"/>
          <w:szCs w:val="21"/>
        </w:rPr>
        <w:t xml:space="preserve"> 试验的加荷设备、支架、支墩等，应有足够的承载力安全储备；</w:t>
      </w:r>
    </w:p>
    <w:p>
      <w:pPr>
        <w:spacing w:line="360" w:lineRule="auto"/>
        <w:ind w:firstLine="422" w:firstLineChars="200"/>
        <w:rPr>
          <w:sz w:val="21"/>
          <w:szCs w:val="21"/>
        </w:rPr>
      </w:pPr>
      <w:r>
        <w:rPr>
          <w:rFonts w:hint="eastAsia"/>
          <w:b/>
          <w:bCs/>
          <w:sz w:val="21"/>
          <w:szCs w:val="21"/>
        </w:rPr>
        <w:t>2</w:t>
      </w:r>
      <w:r>
        <w:rPr>
          <w:b/>
          <w:bCs/>
          <w:sz w:val="21"/>
          <w:szCs w:val="21"/>
        </w:rPr>
        <w:t xml:space="preserve"> </w:t>
      </w:r>
      <w:r>
        <w:rPr>
          <w:rFonts w:hint="eastAsia"/>
          <w:sz w:val="21"/>
          <w:szCs w:val="21"/>
        </w:rPr>
        <w:t>检测大型构件时，应根据设计要求设置侧向支承；侧向支承应不妨碍构件在其平面内的位移；</w:t>
      </w:r>
    </w:p>
    <w:p>
      <w:pPr>
        <w:spacing w:line="360" w:lineRule="auto"/>
        <w:ind w:firstLine="422" w:firstLineChars="200"/>
        <w:rPr>
          <w:i/>
          <w:iCs/>
          <w:sz w:val="21"/>
          <w:szCs w:val="21"/>
        </w:rPr>
      </w:pPr>
      <w:r>
        <w:rPr>
          <w:rFonts w:hint="eastAsia"/>
          <w:b/>
          <w:bCs/>
          <w:sz w:val="21"/>
          <w:szCs w:val="21"/>
        </w:rPr>
        <w:t>3</w:t>
      </w:r>
      <w:r>
        <w:rPr>
          <w:rFonts w:hint="eastAsia"/>
          <w:sz w:val="21"/>
          <w:szCs w:val="21"/>
        </w:rPr>
        <w:t xml:space="preserve"> 试验过程中应采取安全措施保护试验人员和试验设备安全。</w:t>
      </w:r>
    </w:p>
    <w:p>
      <w:pPr>
        <w:pStyle w:val="213"/>
        <w:numPr>
          <w:ilvl w:val="1"/>
          <w:numId w:val="0"/>
        </w:numPr>
        <w:ind w:leftChars="0"/>
        <w:jc w:val="left"/>
        <w:rPr>
          <w:rFonts w:hint="eastAsia"/>
          <w:sz w:val="21"/>
          <w:szCs w:val="21"/>
        </w:rPr>
      </w:pPr>
      <w:r>
        <w:rPr>
          <w:rFonts w:hint="eastAsia" w:ascii="黑体" w:hAnsi="黑体" w:eastAsia="黑体" w:cs="黑体"/>
          <w:b w:val="0"/>
          <w:bCs w:val="0"/>
          <w:kern w:val="2"/>
          <w:sz w:val="21"/>
          <w:szCs w:val="21"/>
          <w:lang w:val="en-US" w:eastAsia="zh-CN" w:bidi="ar-SA"/>
        </w:rPr>
        <w:t xml:space="preserve">C.3.9 </w:t>
      </w:r>
      <w:r>
        <w:rPr>
          <w:rFonts w:hint="eastAsia"/>
          <w:sz w:val="21"/>
          <w:szCs w:val="21"/>
        </w:rPr>
        <w:t>预制叠合板整体结构性能检验的合格性判断方法，应根据《混凝土结构工程施工质量验收规范》GB 50204附录B的有关规定确定。</w:t>
      </w:r>
    </w:p>
    <w:p>
      <w:pPr>
        <w:rPr>
          <w:rFonts w:hint="eastAsia"/>
          <w:sz w:val="21"/>
          <w:szCs w:val="21"/>
        </w:rPr>
      </w:pPr>
      <w:r>
        <w:rPr>
          <w:rFonts w:hint="eastAsia"/>
          <w:sz w:val="21"/>
          <w:szCs w:val="21"/>
        </w:rPr>
        <w:br w:type="page"/>
      </w:r>
    </w:p>
    <w:p>
      <w:pPr>
        <w:pStyle w:val="78"/>
        <w:spacing w:before="78" w:after="156"/>
      </w:pPr>
    </w:p>
    <w:p>
      <w:pPr>
        <w:pStyle w:val="244"/>
        <w:keepNext/>
        <w:keepLines w:val="0"/>
        <w:pageBreakBefore w:val="0"/>
        <w:widowControl/>
        <w:numPr>
          <w:ilvl w:val="0"/>
          <w:numId w:val="0"/>
        </w:numPr>
        <w:shd w:val="clear" w:color="FFFFFF" w:fill="FFFFFF"/>
        <w:kinsoku/>
        <w:wordWrap/>
        <w:overflowPunct/>
        <w:topLinePunct w:val="0"/>
        <w:autoSpaceDE/>
        <w:autoSpaceDN/>
        <w:bidi w:val="0"/>
        <w:adjustRightInd w:val="0"/>
        <w:snapToGrid/>
        <w:spacing w:before="280"/>
        <w:ind w:leftChars="0"/>
        <w:jc w:val="center"/>
        <w:textAlignment w:val="auto"/>
        <w:rPr>
          <w:rFonts w:hint="eastAsia"/>
        </w:rPr>
      </w:pPr>
      <w:bookmarkStart w:id="127" w:name="_Toc63589342"/>
      <w:r>
        <w:rPr>
          <w:rFonts w:hint="eastAsia"/>
        </w:rPr>
        <w:t>（规范性附录）</w:t>
      </w:r>
      <w:r>
        <w:rPr>
          <w:rFonts w:hint="eastAsia"/>
        </w:rPr>
        <w:br w:type="textWrapping"/>
      </w:r>
      <w:r>
        <w:rPr>
          <w:rFonts w:hint="eastAsia"/>
        </w:rPr>
        <w:t>叠合梁结构性能试验</w:t>
      </w:r>
      <w:bookmarkEnd w:id="127"/>
    </w:p>
    <w:p>
      <w:pPr>
        <w:pStyle w:val="213"/>
      </w:pPr>
      <w:r>
        <w:rPr>
          <w:rFonts w:hint="eastAsia"/>
          <w:b/>
          <w:bCs/>
          <w:sz w:val="21"/>
          <w:szCs w:val="21"/>
        </w:rPr>
        <w:t>荷载检验值取值</w:t>
      </w:r>
    </w:p>
    <w:p>
      <w:pPr>
        <w:spacing w:line="360" w:lineRule="auto"/>
        <w:rPr>
          <w:b/>
          <w:bCs/>
          <w:sz w:val="21"/>
          <w:szCs w:val="21"/>
        </w:rPr>
      </w:pPr>
      <w:r>
        <w:rPr>
          <w:rFonts w:hint="eastAsia" w:ascii="黑体" w:hAnsi="黑体" w:eastAsia="黑体" w:cs="黑体"/>
          <w:b w:val="0"/>
          <w:bCs w:val="0"/>
          <w:kern w:val="2"/>
          <w:sz w:val="21"/>
          <w:szCs w:val="21"/>
          <w:lang w:val="en-US" w:eastAsia="zh-CN" w:bidi="ar-SA"/>
        </w:rPr>
        <w:t xml:space="preserve">D.1.1 </w:t>
      </w:r>
      <w:r>
        <w:rPr>
          <w:rFonts w:hint="eastAsia"/>
          <w:sz w:val="21"/>
          <w:szCs w:val="21"/>
        </w:rPr>
        <w:t>叠合梁构件应模拟两阶段成形后的整体叠合构件，在浇筑后浇层混凝土后进行整体结构性能检验。当对预制构件部分质量存疑或设计有要求时，可对预制部分单独进行结构性能检验。</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D.1.2 </w:t>
      </w:r>
      <w:r>
        <w:rPr>
          <w:rFonts w:hint="eastAsia"/>
          <w:bCs/>
          <w:sz w:val="21"/>
          <w:szCs w:val="21"/>
        </w:rPr>
        <w:t>对浇筑后浇层混凝土的</w:t>
      </w:r>
      <w:r>
        <w:rPr>
          <w:rFonts w:hint="eastAsia"/>
          <w:sz w:val="21"/>
          <w:szCs w:val="21"/>
        </w:rPr>
        <w:t>叠合梁进行整体结构性能检验时，应符合下列规定：</w:t>
      </w:r>
    </w:p>
    <w:p>
      <w:pPr>
        <w:spacing w:line="360" w:lineRule="auto"/>
        <w:ind w:firstLine="422" w:firstLineChars="200"/>
        <w:rPr>
          <w:bCs/>
          <w:sz w:val="21"/>
          <w:szCs w:val="21"/>
        </w:rPr>
      </w:pPr>
      <w:r>
        <w:rPr>
          <w:rFonts w:hint="eastAsia"/>
          <w:b/>
          <w:bCs/>
          <w:sz w:val="21"/>
          <w:szCs w:val="21"/>
        </w:rPr>
        <w:t>1</w:t>
      </w:r>
      <w:r>
        <w:rPr>
          <w:rFonts w:hint="eastAsia"/>
          <w:bCs/>
          <w:sz w:val="21"/>
          <w:szCs w:val="21"/>
        </w:rPr>
        <w:t xml:space="preserve"> 当按《混凝土结构设计规范》GB 50010的规定进行检验时，应满足下式的要求：</w:t>
      </w:r>
    </w:p>
    <w:p>
      <w:pPr>
        <w:spacing w:line="360" w:lineRule="auto"/>
        <w:ind w:firstLine="480" w:firstLineChars="200"/>
        <w:jc w:val="right"/>
        <w:rPr>
          <w:bCs/>
          <w:sz w:val="21"/>
          <w:szCs w:val="21"/>
        </w:rPr>
      </w:pPr>
      <m:oMath>
        <m:sSubSup>
          <m:sSubSupPr>
            <m:ctrlPr>
              <w:rPr>
                <w:rFonts w:hint="default" w:ascii="Cambria Math" w:hAnsi="Cambria Math"/>
                <w:sz w:val="24"/>
              </w:rPr>
            </m:ctrlPr>
          </m:sSubSupPr>
          <m:e>
            <m:r>
              <m:rPr/>
              <w:rPr>
                <w:rFonts w:hint="default" w:ascii="Cambria Math" w:hAnsi="Cambria Math"/>
                <w:sz w:val="24"/>
              </w:rPr>
              <m:t>γ</m:t>
            </m:r>
            <m:ctrlPr>
              <w:rPr>
                <w:rFonts w:hint="default" w:ascii="Cambria Math" w:hAnsi="Cambria Math"/>
                <w:sz w:val="24"/>
              </w:rPr>
            </m:ctrlPr>
          </m:e>
          <m:sub>
            <m:r>
              <m:rPr/>
              <w:rPr>
                <w:rFonts w:hint="default" w:ascii="Cambria Math" w:hAnsi="Cambria Math"/>
                <w:sz w:val="24"/>
              </w:rPr>
              <m:t>u</m:t>
            </m:r>
            <m:ctrlPr>
              <w:rPr>
                <w:rFonts w:hint="default" w:ascii="Cambria Math" w:hAnsi="Cambria Math"/>
                <w:sz w:val="24"/>
              </w:rPr>
            </m:ctrlPr>
          </m:sub>
          <m:sup>
            <m:r>
              <m:rPr/>
              <w:rPr>
                <w:rFonts w:hint="default" w:ascii="Cambria Math" w:hAnsi="Cambria Math"/>
                <w:sz w:val="24"/>
              </w:rPr>
              <m:t>0</m:t>
            </m:r>
            <m:ctrlPr>
              <w:rPr>
                <w:rFonts w:hint="default" w:ascii="Cambria Math" w:hAnsi="Cambria Math"/>
                <w:sz w:val="24"/>
              </w:rPr>
            </m:ctrlPr>
          </m:sup>
        </m:sSubSup>
        <m:r>
          <m:rPr/>
          <w:rPr>
            <w:rFonts w:hint="default" w:ascii="Cambria Math" w:hAnsi="Cambria Math"/>
            <w:sz w:val="24"/>
          </w:rPr>
          <m:t>≥</m:t>
        </m:r>
        <m:sSub>
          <m:sSubPr>
            <m:ctrlPr>
              <w:rPr>
                <w:rFonts w:hint="default" w:ascii="Cambria Math" w:hAnsi="Cambria Math"/>
                <w:i/>
                <w:sz w:val="24"/>
              </w:rPr>
            </m:ctrlPr>
          </m:sSubPr>
          <m:e>
            <m:r>
              <m:rPr/>
              <w:rPr>
                <w:rFonts w:hint="default" w:ascii="Cambria Math" w:hAnsi="Cambria Math"/>
                <w:sz w:val="24"/>
              </w:rPr>
              <m:t>γ</m:t>
            </m:r>
            <m:ctrlPr>
              <w:rPr>
                <w:rFonts w:hint="default" w:ascii="Cambria Math" w:hAnsi="Cambria Math"/>
                <w:i/>
                <w:sz w:val="24"/>
              </w:rPr>
            </m:ctrlPr>
          </m:e>
          <m:sub>
            <m:r>
              <m:rPr/>
              <w:rPr>
                <w:rFonts w:hint="default" w:ascii="Cambria Math" w:hAnsi="Cambria Math"/>
                <w:sz w:val="24"/>
              </w:rPr>
              <m:t>0</m:t>
            </m:r>
            <m:ctrlPr>
              <w:rPr>
                <w:rFonts w:hint="default" w:ascii="Cambria Math" w:hAnsi="Cambria Math"/>
                <w:i/>
                <w:sz w:val="24"/>
              </w:rPr>
            </m:ctrlPr>
          </m:sub>
        </m:sSub>
        <m:d>
          <m:dPr>
            <m:begChr m:val="["/>
            <m:endChr m:val="]"/>
            <m:ctrlPr>
              <w:rPr>
                <w:rFonts w:hint="default" w:ascii="Cambria Math" w:hAnsi="Cambria Math"/>
                <w:i/>
                <w:sz w:val="24"/>
              </w:rPr>
            </m:ctrlPr>
          </m:dPr>
          <m:e>
            <m:sSub>
              <m:sSubPr>
                <m:ctrlPr>
                  <w:rPr>
                    <w:rFonts w:hint="default" w:ascii="Cambria Math" w:hAnsi="Cambria Math"/>
                    <w:i/>
                    <w:sz w:val="24"/>
                  </w:rPr>
                </m:ctrlPr>
              </m:sSubPr>
              <m:e>
                <m:r>
                  <m:rPr/>
                  <w:rPr>
                    <w:rFonts w:hint="default" w:ascii="Cambria Math" w:hAnsi="Cambria Math"/>
                    <w:sz w:val="24"/>
                  </w:rPr>
                  <m:t>γ</m:t>
                </m:r>
                <m:ctrlPr>
                  <w:rPr>
                    <w:rFonts w:hint="default" w:ascii="Cambria Math" w:hAnsi="Cambria Math"/>
                    <w:i/>
                    <w:sz w:val="24"/>
                  </w:rPr>
                </m:ctrlPr>
              </m:e>
              <m:sub>
                <m:r>
                  <m:rPr/>
                  <w:rPr>
                    <w:rFonts w:hint="default" w:ascii="Cambria Math" w:hAnsi="Cambria Math"/>
                    <w:sz w:val="24"/>
                  </w:rPr>
                  <m:t>u</m:t>
                </m:r>
                <m:ctrlPr>
                  <w:rPr>
                    <w:rFonts w:hint="default" w:ascii="Cambria Math" w:hAnsi="Cambria Math"/>
                    <w:i/>
                    <w:sz w:val="24"/>
                  </w:rPr>
                </m:ctrlPr>
              </m:sub>
            </m:sSub>
            <m:ctrlPr>
              <w:rPr>
                <w:rFonts w:hint="default" w:ascii="Cambria Math" w:hAnsi="Cambria Math"/>
                <w:i/>
                <w:sz w:val="24"/>
              </w:rPr>
            </m:ctrlPr>
          </m:e>
        </m:d>
      </m:oMath>
      <w:r>
        <w:rPr>
          <w:rFonts w:hint="eastAsia"/>
          <w:bCs/>
          <w:sz w:val="21"/>
          <w:szCs w:val="21"/>
        </w:rPr>
        <w:t xml:space="preserve">                    （</w:t>
      </w:r>
      <w:r>
        <w:rPr>
          <w:rFonts w:hint="eastAsia"/>
          <w:bCs/>
          <w:sz w:val="21"/>
          <w:szCs w:val="21"/>
          <w:lang w:eastAsia="zh-CN"/>
        </w:rPr>
        <w:t>D.</w:t>
      </w:r>
      <w:r>
        <w:rPr>
          <w:rFonts w:hint="eastAsia"/>
          <w:bCs/>
          <w:sz w:val="21"/>
          <w:szCs w:val="21"/>
        </w:rPr>
        <w:t xml:space="preserve">1.2-1） </w:t>
      </w:r>
    </w:p>
    <w:p>
      <w:pPr>
        <w:spacing w:line="360" w:lineRule="auto"/>
        <w:ind w:left="1379" w:leftChars="59" w:hanging="1255" w:hangingChars="598"/>
        <w:rPr>
          <w:bCs/>
          <w:sz w:val="21"/>
          <w:szCs w:val="21"/>
        </w:rPr>
      </w:pPr>
      <w:r>
        <w:rPr>
          <w:rFonts w:hint="eastAsia"/>
          <w:bCs/>
          <w:sz w:val="21"/>
          <w:szCs w:val="21"/>
        </w:rPr>
        <w:t>式中：</w:t>
      </w:r>
      <m:oMath>
        <m:sSubSup>
          <m:sSubSupPr>
            <m:ctrlPr>
              <w:rPr>
                <w:rFonts w:hint="default" w:ascii="Cambria Math" w:hAnsi="Cambria Math"/>
                <w:sz w:val="24"/>
              </w:rPr>
            </m:ctrlPr>
          </m:sSubSupPr>
          <m:e>
            <m:r>
              <m:rPr/>
              <w:rPr>
                <w:rFonts w:hint="default" w:ascii="Cambria Math" w:hAnsi="Cambria Math"/>
                <w:sz w:val="24"/>
              </w:rPr>
              <m:t>γ</m:t>
            </m:r>
            <m:ctrlPr>
              <w:rPr>
                <w:rFonts w:hint="default" w:ascii="Cambria Math" w:hAnsi="Cambria Math"/>
                <w:sz w:val="24"/>
              </w:rPr>
            </m:ctrlPr>
          </m:e>
          <m:sub>
            <m:r>
              <m:rPr/>
              <w:rPr>
                <w:rFonts w:hint="default" w:ascii="Cambria Math" w:hAnsi="Cambria Math"/>
                <w:sz w:val="24"/>
              </w:rPr>
              <m:t>u</m:t>
            </m:r>
            <m:ctrlPr>
              <w:rPr>
                <w:rFonts w:hint="default" w:ascii="Cambria Math" w:hAnsi="Cambria Math"/>
                <w:sz w:val="24"/>
              </w:rPr>
            </m:ctrlPr>
          </m:sub>
          <m:sup>
            <m:r>
              <m:rPr/>
              <w:rPr>
                <w:rFonts w:hint="default" w:ascii="Cambria Math" w:hAnsi="Cambria Math"/>
                <w:sz w:val="24"/>
              </w:rPr>
              <m:t>0</m:t>
            </m:r>
            <m:ctrlPr>
              <w:rPr>
                <w:rFonts w:hint="default" w:ascii="Cambria Math" w:hAnsi="Cambria Math"/>
                <w:sz w:val="24"/>
              </w:rPr>
            </m:ctrlPr>
          </m:sup>
        </m:sSubSup>
      </m:oMath>
      <w:r>
        <w:rPr>
          <w:rFonts w:hint="eastAsia"/>
          <w:bCs/>
          <w:sz w:val="21"/>
          <w:szCs w:val="21"/>
        </w:rPr>
        <w:t>—构件的承载力检验系数实测值，即试件的荷载实测值与荷载设计值（均包括自重）的比值；</w:t>
      </w:r>
    </w:p>
    <w:p>
      <w:pPr>
        <w:spacing w:line="360" w:lineRule="auto"/>
        <w:ind w:left="1558" w:leftChars="405" w:hanging="708" w:hangingChars="295"/>
        <w:rPr>
          <w:bCs/>
          <w:sz w:val="21"/>
          <w:szCs w:val="21"/>
        </w:rPr>
      </w:pPr>
      <m:oMath>
        <m:sSub>
          <m:sSubPr>
            <m:ctrlPr>
              <w:rPr>
                <w:rFonts w:hint="default" w:ascii="Cambria Math" w:hAnsi="Cambria Math"/>
                <w:i/>
                <w:sz w:val="24"/>
              </w:rPr>
            </m:ctrlPr>
          </m:sSubPr>
          <m:e>
            <m:r>
              <m:rPr/>
              <w:rPr>
                <w:rFonts w:hint="default" w:ascii="Cambria Math" w:hAnsi="Cambria Math"/>
                <w:sz w:val="24"/>
              </w:rPr>
              <m:t>γ</m:t>
            </m:r>
            <m:ctrlPr>
              <w:rPr>
                <w:rFonts w:hint="default" w:ascii="Cambria Math" w:hAnsi="Cambria Math"/>
                <w:i/>
                <w:sz w:val="24"/>
              </w:rPr>
            </m:ctrlPr>
          </m:e>
          <m:sub>
            <m:r>
              <m:rPr/>
              <w:rPr>
                <w:rFonts w:hint="default" w:ascii="Cambria Math" w:hAnsi="Cambria Math"/>
                <w:sz w:val="24"/>
              </w:rPr>
              <m:t>0</m:t>
            </m:r>
            <m:ctrlPr>
              <w:rPr>
                <w:rFonts w:hint="default" w:ascii="Cambria Math" w:hAnsi="Cambria Math"/>
                <w:i/>
                <w:sz w:val="24"/>
              </w:rPr>
            </m:ctrlPr>
          </m:sub>
        </m:sSub>
      </m:oMath>
      <w:r>
        <w:rPr>
          <w:rFonts w:hint="eastAsia"/>
          <w:bCs/>
          <w:sz w:val="21"/>
          <w:szCs w:val="21"/>
        </w:rPr>
        <w:t>—结构重要性系数，按设计要求的结构等级确定，当无专门要求时取1.0；</w:t>
      </w:r>
    </w:p>
    <w:p>
      <w:pPr>
        <w:spacing w:line="360" w:lineRule="auto"/>
        <w:ind w:left="1558" w:leftChars="405" w:hanging="708" w:hangingChars="295"/>
        <w:rPr>
          <w:bCs/>
          <w:sz w:val="21"/>
          <w:szCs w:val="21"/>
        </w:rPr>
      </w:pPr>
      <m:oMath>
        <m:d>
          <m:dPr>
            <m:begChr m:val="["/>
            <m:endChr m:val="]"/>
            <m:ctrlPr>
              <w:rPr>
                <w:rFonts w:hint="default" w:ascii="Cambria Math" w:hAnsi="Cambria Math"/>
                <w:i/>
                <w:sz w:val="24"/>
              </w:rPr>
            </m:ctrlPr>
          </m:dPr>
          <m:e>
            <m:sSub>
              <m:sSubPr>
                <m:ctrlPr>
                  <w:rPr>
                    <w:rFonts w:hint="default" w:ascii="Cambria Math" w:hAnsi="Cambria Math"/>
                    <w:i/>
                    <w:sz w:val="24"/>
                  </w:rPr>
                </m:ctrlPr>
              </m:sSubPr>
              <m:e>
                <m:r>
                  <m:rPr/>
                  <w:rPr>
                    <w:rFonts w:hint="default" w:ascii="Cambria Math" w:hAnsi="Cambria Math"/>
                    <w:sz w:val="24"/>
                  </w:rPr>
                  <m:t>γ</m:t>
                </m:r>
                <m:ctrlPr>
                  <w:rPr>
                    <w:rFonts w:hint="default" w:ascii="Cambria Math" w:hAnsi="Cambria Math"/>
                    <w:i/>
                    <w:sz w:val="24"/>
                  </w:rPr>
                </m:ctrlPr>
              </m:e>
              <m:sub>
                <m:r>
                  <m:rPr/>
                  <w:rPr>
                    <w:rFonts w:hint="default" w:ascii="Cambria Math" w:hAnsi="Cambria Math"/>
                    <w:sz w:val="24"/>
                  </w:rPr>
                  <m:t>u</m:t>
                </m:r>
                <m:ctrlPr>
                  <w:rPr>
                    <w:rFonts w:hint="default" w:ascii="Cambria Math" w:hAnsi="Cambria Math"/>
                    <w:i/>
                    <w:sz w:val="24"/>
                  </w:rPr>
                </m:ctrlPr>
              </m:sub>
            </m:sSub>
            <m:ctrlPr>
              <w:rPr>
                <w:rFonts w:hint="default" w:ascii="Cambria Math" w:hAnsi="Cambria Math"/>
                <w:i/>
                <w:sz w:val="24"/>
              </w:rPr>
            </m:ctrlPr>
          </m:e>
        </m:d>
      </m:oMath>
      <w:r>
        <w:rPr>
          <w:rFonts w:hint="eastAsia"/>
          <w:bCs/>
          <w:sz w:val="21"/>
          <w:szCs w:val="21"/>
        </w:rPr>
        <w:t>—构件的承载力检验系数允许值，按《混凝土结构设计规范》GB 50010确定。</w:t>
      </w:r>
    </w:p>
    <w:p>
      <w:pPr>
        <w:spacing w:line="360" w:lineRule="auto"/>
        <w:ind w:firstLine="422" w:firstLineChars="200"/>
        <w:rPr>
          <w:bCs/>
          <w:sz w:val="21"/>
          <w:szCs w:val="21"/>
        </w:rPr>
      </w:pPr>
      <w:r>
        <w:rPr>
          <w:rFonts w:hint="eastAsia"/>
          <w:b/>
          <w:bCs/>
          <w:sz w:val="21"/>
          <w:szCs w:val="21"/>
        </w:rPr>
        <w:t>2</w:t>
      </w:r>
      <w:r>
        <w:rPr>
          <w:rFonts w:hint="eastAsia"/>
          <w:bCs/>
          <w:sz w:val="21"/>
          <w:szCs w:val="21"/>
        </w:rPr>
        <w:t xml:space="preserve"> 当按构件实配钢筋进行承载力检验时，应满足下式的要求：</w:t>
      </w:r>
    </w:p>
    <w:p>
      <w:pPr>
        <w:spacing w:line="360" w:lineRule="auto"/>
        <w:ind w:firstLine="480" w:firstLineChars="200"/>
        <w:jc w:val="right"/>
        <w:rPr>
          <w:bCs/>
          <w:sz w:val="21"/>
          <w:szCs w:val="21"/>
        </w:rPr>
      </w:pPr>
      <m:oMath>
        <m:sSubSup>
          <m:sSubSupPr>
            <m:ctrlPr>
              <w:rPr>
                <w:rFonts w:hint="default" w:ascii="Cambria Math" w:hAnsi="Cambria Math"/>
                <w:sz w:val="24"/>
              </w:rPr>
            </m:ctrlPr>
          </m:sSubSupPr>
          <m:e>
            <m:r>
              <m:rPr/>
              <w:rPr>
                <w:rFonts w:hint="default" w:ascii="Cambria Math" w:hAnsi="Cambria Math"/>
                <w:sz w:val="24"/>
              </w:rPr>
              <m:t>γ</m:t>
            </m:r>
            <m:ctrlPr>
              <w:rPr>
                <w:rFonts w:hint="default" w:ascii="Cambria Math" w:hAnsi="Cambria Math"/>
                <w:sz w:val="24"/>
              </w:rPr>
            </m:ctrlPr>
          </m:e>
          <m:sub>
            <m:r>
              <m:rPr/>
              <w:rPr>
                <w:rFonts w:hint="default" w:ascii="Cambria Math" w:hAnsi="Cambria Math"/>
                <w:sz w:val="24"/>
              </w:rPr>
              <m:t>u</m:t>
            </m:r>
            <m:ctrlPr>
              <w:rPr>
                <w:rFonts w:hint="default" w:ascii="Cambria Math" w:hAnsi="Cambria Math"/>
                <w:sz w:val="24"/>
              </w:rPr>
            </m:ctrlPr>
          </m:sub>
          <m:sup>
            <m:r>
              <m:rPr/>
              <w:rPr>
                <w:rFonts w:hint="default" w:ascii="Cambria Math" w:hAnsi="Cambria Math"/>
                <w:sz w:val="24"/>
              </w:rPr>
              <m:t>0</m:t>
            </m:r>
            <m:ctrlPr>
              <w:rPr>
                <w:rFonts w:hint="default" w:ascii="Cambria Math" w:hAnsi="Cambria Math"/>
                <w:sz w:val="24"/>
              </w:rPr>
            </m:ctrlPr>
          </m:sup>
        </m:sSubSup>
        <m:r>
          <m:rPr/>
          <w:rPr>
            <w:rFonts w:hint="default" w:ascii="Cambria Math" w:hAnsi="Cambria Math"/>
            <w:sz w:val="24"/>
          </w:rPr>
          <m:t>≥</m:t>
        </m:r>
        <m:sSub>
          <m:sSubPr>
            <m:ctrlPr>
              <w:rPr>
                <w:rFonts w:hint="default" w:ascii="Cambria Math" w:hAnsi="Cambria Math"/>
                <w:i/>
                <w:sz w:val="24"/>
              </w:rPr>
            </m:ctrlPr>
          </m:sSubPr>
          <m:e>
            <m:r>
              <m:rPr/>
              <w:rPr>
                <w:rFonts w:hint="default" w:ascii="Cambria Math" w:hAnsi="Cambria Math"/>
                <w:sz w:val="24"/>
              </w:rPr>
              <m:t>γ</m:t>
            </m:r>
            <m:ctrlPr>
              <w:rPr>
                <w:rFonts w:hint="default" w:ascii="Cambria Math" w:hAnsi="Cambria Math"/>
                <w:i/>
                <w:sz w:val="24"/>
              </w:rPr>
            </m:ctrlPr>
          </m:e>
          <m:sub>
            <m:r>
              <m:rPr/>
              <w:rPr>
                <w:rFonts w:hint="default" w:ascii="Cambria Math" w:hAnsi="Cambria Math"/>
                <w:sz w:val="24"/>
              </w:rPr>
              <m:t>0</m:t>
            </m:r>
            <m:ctrlPr>
              <w:rPr>
                <w:rFonts w:hint="default" w:ascii="Cambria Math" w:hAnsi="Cambria Math"/>
                <w:i/>
                <w:sz w:val="24"/>
              </w:rPr>
            </m:ctrlPr>
          </m:sub>
        </m:sSub>
        <m:r>
          <m:rPr/>
          <w:rPr>
            <w:rFonts w:hint="default" w:ascii="Cambria Math" w:hAnsi="Cambria Math"/>
            <w:sz w:val="24"/>
          </w:rPr>
          <m:t>η</m:t>
        </m:r>
        <m:d>
          <m:dPr>
            <m:begChr m:val="["/>
            <m:endChr m:val="]"/>
            <m:ctrlPr>
              <w:rPr>
                <w:rFonts w:hint="default" w:ascii="Cambria Math" w:hAnsi="Cambria Math"/>
                <w:i/>
                <w:sz w:val="24"/>
              </w:rPr>
            </m:ctrlPr>
          </m:dPr>
          <m:e>
            <m:sSub>
              <m:sSubPr>
                <m:ctrlPr>
                  <w:rPr>
                    <w:rFonts w:hint="default" w:ascii="Cambria Math" w:hAnsi="Cambria Math"/>
                    <w:i/>
                    <w:sz w:val="24"/>
                  </w:rPr>
                </m:ctrlPr>
              </m:sSubPr>
              <m:e>
                <m:r>
                  <m:rPr/>
                  <w:rPr>
                    <w:rFonts w:hint="default" w:ascii="Cambria Math" w:hAnsi="Cambria Math"/>
                    <w:sz w:val="24"/>
                  </w:rPr>
                  <m:t>γ</m:t>
                </m:r>
                <m:ctrlPr>
                  <w:rPr>
                    <w:rFonts w:hint="default" w:ascii="Cambria Math" w:hAnsi="Cambria Math"/>
                    <w:i/>
                    <w:sz w:val="24"/>
                  </w:rPr>
                </m:ctrlPr>
              </m:e>
              <m:sub>
                <m:r>
                  <m:rPr/>
                  <w:rPr>
                    <w:rFonts w:hint="default" w:ascii="Cambria Math" w:hAnsi="Cambria Math"/>
                    <w:sz w:val="24"/>
                  </w:rPr>
                  <m:t>u</m:t>
                </m:r>
                <m:ctrlPr>
                  <w:rPr>
                    <w:rFonts w:hint="default" w:ascii="Cambria Math" w:hAnsi="Cambria Math"/>
                    <w:i/>
                    <w:sz w:val="24"/>
                  </w:rPr>
                </m:ctrlPr>
              </m:sub>
            </m:sSub>
            <m:ctrlPr>
              <w:rPr>
                <w:rFonts w:hint="default" w:ascii="Cambria Math" w:hAnsi="Cambria Math"/>
                <w:i/>
                <w:sz w:val="24"/>
              </w:rPr>
            </m:ctrlPr>
          </m:e>
        </m:d>
      </m:oMath>
      <w:r>
        <w:rPr>
          <w:rFonts w:hint="eastAsia"/>
          <w:bCs/>
          <w:sz w:val="21"/>
          <w:szCs w:val="21"/>
        </w:rPr>
        <w:t xml:space="preserve">                    （</w:t>
      </w:r>
      <w:r>
        <w:rPr>
          <w:rFonts w:hint="eastAsia"/>
          <w:bCs/>
          <w:sz w:val="21"/>
          <w:szCs w:val="21"/>
          <w:lang w:eastAsia="zh-CN"/>
        </w:rPr>
        <w:t>D.</w:t>
      </w:r>
      <w:r>
        <w:rPr>
          <w:rFonts w:hint="eastAsia"/>
          <w:bCs/>
          <w:sz w:val="21"/>
          <w:szCs w:val="21"/>
        </w:rPr>
        <w:t xml:space="preserve">1.2-2） </w:t>
      </w:r>
    </w:p>
    <w:p>
      <w:pPr>
        <w:spacing w:line="360" w:lineRule="auto"/>
        <w:ind w:left="1379" w:leftChars="59" w:hanging="1255" w:hangingChars="598"/>
        <w:rPr>
          <w:bCs/>
          <w:sz w:val="21"/>
          <w:szCs w:val="21"/>
        </w:rPr>
      </w:pPr>
      <w:r>
        <w:rPr>
          <w:rFonts w:hint="eastAsia"/>
          <w:bCs/>
          <w:sz w:val="21"/>
          <w:szCs w:val="21"/>
        </w:rPr>
        <w:t>式中：</w:t>
      </w:r>
      <m:oMath>
        <m:r>
          <m:rPr/>
          <w:rPr>
            <w:rFonts w:hint="default" w:ascii="Cambria Math" w:hAnsi="Cambria Math"/>
            <w:sz w:val="24"/>
          </w:rPr>
          <m:t>η</m:t>
        </m:r>
      </m:oMath>
      <w:r>
        <w:rPr>
          <w:rFonts w:hint="eastAsia"/>
          <w:bCs/>
          <w:sz w:val="21"/>
          <w:szCs w:val="21"/>
        </w:rPr>
        <w:t>—构件承载力检验修正系数，根据《混凝土结构设计规范》GB 50010按实配钢筋的承载力计算确定。</w:t>
      </w:r>
    </w:p>
    <w:p>
      <w:pPr>
        <w:spacing w:line="360" w:lineRule="auto"/>
        <w:rPr>
          <w:b/>
          <w:bCs/>
          <w:sz w:val="21"/>
          <w:szCs w:val="21"/>
        </w:rPr>
      </w:pPr>
      <w:r>
        <w:rPr>
          <w:rFonts w:hint="eastAsia" w:ascii="黑体" w:hAnsi="黑体" w:eastAsia="黑体" w:cs="黑体"/>
          <w:b w:val="0"/>
          <w:bCs w:val="0"/>
          <w:kern w:val="2"/>
          <w:sz w:val="21"/>
          <w:szCs w:val="21"/>
          <w:lang w:val="en-US" w:eastAsia="zh-CN" w:bidi="ar-SA"/>
        </w:rPr>
        <w:t xml:space="preserve">D.1.3 </w:t>
      </w:r>
      <w:r>
        <w:rPr>
          <w:rFonts w:hint="eastAsia"/>
          <w:sz w:val="21"/>
          <w:szCs w:val="21"/>
        </w:rPr>
        <w:t>对预制部分单独进行结构性能检验时，荷载值按其支承预制叠合板所分配的后浇层重量和施工荷载计算</w:t>
      </w:r>
      <w:r>
        <w:rPr>
          <w:sz w:val="21"/>
          <w:szCs w:val="21"/>
        </w:rPr>
        <w:t>。</w:t>
      </w:r>
    </w:p>
    <w:p>
      <w:pPr>
        <w:pStyle w:val="213"/>
      </w:pPr>
      <w:r>
        <w:rPr>
          <w:rFonts w:hint="eastAsia"/>
          <w:b/>
          <w:bCs/>
          <w:sz w:val="21"/>
          <w:szCs w:val="21"/>
        </w:rPr>
        <w:t>检验要求</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D.2.1 </w:t>
      </w:r>
      <w:r>
        <w:rPr>
          <w:rFonts w:hint="eastAsia"/>
          <w:sz w:val="21"/>
          <w:szCs w:val="21"/>
        </w:rPr>
        <w:t>叠合梁构件整体结构性能检验，应在底部预制构件同条件养护的混凝土立方体试块抗压强度达到设计强度等级以后，在其上部浇筑后浇层混凝土，并在后浇层混凝土强度达到设计要求后进行结构性能检验。后浇层要求、叠合试件结构性能检验允许值及试验方法等，应由设计文件规定或根据《混凝土结构工程施工质量验收规范》GB 50204的有关规定，按实配钢筋相应的检验要求确定。</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D.2.2 </w:t>
      </w:r>
      <w:r>
        <w:rPr>
          <w:rFonts w:hint="eastAsia"/>
          <w:sz w:val="21"/>
          <w:szCs w:val="21"/>
        </w:rPr>
        <w:t>叠合梁构件整体结构性能检验</w:t>
      </w:r>
      <w:r>
        <w:rPr>
          <w:sz w:val="21"/>
          <w:szCs w:val="21"/>
        </w:rPr>
        <w:t>应符合下列规定</w:t>
      </w:r>
      <w:r>
        <w:rPr>
          <w:rFonts w:hint="eastAsia"/>
          <w:sz w:val="21"/>
          <w:szCs w:val="21"/>
        </w:rPr>
        <w:t>：</w:t>
      </w:r>
    </w:p>
    <w:p>
      <w:pPr>
        <w:spacing w:line="360" w:lineRule="auto"/>
        <w:ind w:firstLine="422" w:firstLineChars="200"/>
        <w:rPr>
          <w:sz w:val="21"/>
          <w:szCs w:val="21"/>
        </w:rPr>
      </w:pPr>
      <w:r>
        <w:rPr>
          <w:rFonts w:hint="eastAsia"/>
          <w:b/>
          <w:bCs/>
          <w:sz w:val="21"/>
          <w:szCs w:val="21"/>
        </w:rPr>
        <w:t xml:space="preserve">1 </w:t>
      </w:r>
      <w:r>
        <w:rPr>
          <w:rFonts w:hint="eastAsia"/>
          <w:sz w:val="21"/>
          <w:szCs w:val="21"/>
        </w:rPr>
        <w:t>普通钢筋混凝土构件和允许出现裂缝的预应力混凝土构件，应进行承载力、挠度和裂缝宽度检验；</w:t>
      </w:r>
    </w:p>
    <w:p>
      <w:pPr>
        <w:spacing w:line="360" w:lineRule="auto"/>
        <w:ind w:firstLine="422" w:firstLineChars="200"/>
        <w:rPr>
          <w:sz w:val="21"/>
          <w:szCs w:val="21"/>
        </w:rPr>
      </w:pPr>
      <w:r>
        <w:rPr>
          <w:rFonts w:hint="eastAsia"/>
          <w:b/>
          <w:bCs/>
          <w:sz w:val="21"/>
          <w:szCs w:val="21"/>
        </w:rPr>
        <w:t xml:space="preserve">2 </w:t>
      </w:r>
      <w:r>
        <w:rPr>
          <w:rFonts w:hint="eastAsia"/>
          <w:sz w:val="21"/>
          <w:szCs w:val="21"/>
        </w:rPr>
        <w:t>不允许出现裂缝的预应力构件，应进行承载力、挠度和抗裂检验。</w:t>
      </w:r>
    </w:p>
    <w:p>
      <w:pPr>
        <w:pStyle w:val="213"/>
      </w:pPr>
      <w:r>
        <w:rPr>
          <w:rFonts w:hint="eastAsia"/>
          <w:b/>
          <w:bCs/>
          <w:sz w:val="21"/>
          <w:szCs w:val="21"/>
        </w:rPr>
        <w:t>检验方法</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D.3.1 </w:t>
      </w:r>
      <w:r>
        <w:rPr>
          <w:rFonts w:hint="eastAsia"/>
          <w:sz w:val="21"/>
          <w:szCs w:val="21"/>
        </w:rPr>
        <w:t>叠合梁试件宜采用与其实际受力状态一致的正位加载。当需要采用卧位、反位或其他异位加载方式时，应防止试件在就位过程中产生裂缝、不可恢复的挠曲或其他附加变形，并应考虑试件自重作用方向与其实际受力状态不一致的影响。</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D.3.2 </w:t>
      </w:r>
      <w:r>
        <w:rPr>
          <w:rFonts w:hint="eastAsia"/>
          <w:sz w:val="21"/>
          <w:szCs w:val="21"/>
        </w:rPr>
        <w:t>叠合梁简支受弯试件宜采用均布荷载进行加载，当试验加载条件受到限制时，也可采用集中力模拟均布荷载。等效加载应满足下列要求：</w:t>
      </w:r>
    </w:p>
    <w:p>
      <w:pPr>
        <w:spacing w:line="360" w:lineRule="auto"/>
        <w:ind w:firstLine="422" w:firstLineChars="200"/>
        <w:rPr>
          <w:bCs/>
          <w:sz w:val="21"/>
          <w:szCs w:val="21"/>
        </w:rPr>
      </w:pPr>
      <w:r>
        <w:rPr>
          <w:rFonts w:hint="eastAsia"/>
          <w:b/>
          <w:bCs/>
          <w:sz w:val="21"/>
          <w:szCs w:val="21"/>
        </w:rPr>
        <w:t xml:space="preserve">1 </w:t>
      </w:r>
      <w:r>
        <w:rPr>
          <w:rFonts w:hint="eastAsia"/>
          <w:bCs/>
          <w:sz w:val="21"/>
          <w:szCs w:val="21"/>
        </w:rPr>
        <w:t>控制截面或部位上主要内力的数值相等；</w:t>
      </w:r>
    </w:p>
    <w:p>
      <w:pPr>
        <w:spacing w:line="360" w:lineRule="auto"/>
        <w:ind w:firstLine="422" w:firstLineChars="200"/>
        <w:rPr>
          <w:bCs/>
          <w:sz w:val="21"/>
          <w:szCs w:val="21"/>
        </w:rPr>
      </w:pPr>
      <w:r>
        <w:rPr>
          <w:rFonts w:hint="eastAsia"/>
          <w:b/>
          <w:bCs/>
          <w:sz w:val="21"/>
          <w:szCs w:val="21"/>
        </w:rPr>
        <w:t>2</w:t>
      </w:r>
      <w:r>
        <w:rPr>
          <w:rFonts w:hint="eastAsia"/>
          <w:bCs/>
          <w:sz w:val="21"/>
          <w:szCs w:val="21"/>
        </w:rPr>
        <w:t xml:space="preserve"> 其余截面或部位上主要内力和非主要内力的数值相近、内力图形相似；</w:t>
      </w:r>
    </w:p>
    <w:p>
      <w:pPr>
        <w:spacing w:line="360" w:lineRule="auto"/>
        <w:ind w:firstLine="422" w:firstLineChars="200"/>
        <w:rPr>
          <w:bCs/>
          <w:sz w:val="21"/>
          <w:szCs w:val="21"/>
        </w:rPr>
      </w:pPr>
      <w:r>
        <w:rPr>
          <w:rFonts w:hint="eastAsia"/>
          <w:b/>
          <w:bCs/>
          <w:sz w:val="21"/>
          <w:szCs w:val="21"/>
        </w:rPr>
        <w:t>3</w:t>
      </w:r>
      <w:r>
        <w:rPr>
          <w:rFonts w:hint="eastAsia"/>
          <w:bCs/>
          <w:sz w:val="21"/>
          <w:szCs w:val="21"/>
        </w:rPr>
        <w:t xml:space="preserve"> 内力等效对试验结果的影响可明确计算。</w:t>
      </w:r>
    </w:p>
    <w:p>
      <w:pPr>
        <w:spacing w:line="360" w:lineRule="auto"/>
        <w:rPr>
          <w:bCs/>
          <w:sz w:val="21"/>
          <w:szCs w:val="21"/>
        </w:rPr>
      </w:pPr>
      <w:r>
        <w:rPr>
          <w:rFonts w:hint="eastAsia" w:ascii="黑体" w:hAnsi="黑体" w:eastAsia="黑体" w:cs="黑体"/>
          <w:b w:val="0"/>
          <w:bCs w:val="0"/>
          <w:kern w:val="2"/>
          <w:sz w:val="21"/>
          <w:szCs w:val="21"/>
          <w:lang w:val="en-US" w:eastAsia="zh-CN" w:bidi="ar-SA"/>
        </w:rPr>
        <w:t>D.3.3</w:t>
      </w:r>
      <w:r>
        <w:rPr>
          <w:rFonts w:hint="eastAsia"/>
          <w:b/>
          <w:bCs/>
          <w:sz w:val="21"/>
          <w:szCs w:val="21"/>
        </w:rPr>
        <w:t xml:space="preserve"> </w:t>
      </w:r>
      <w:r>
        <w:rPr>
          <w:rFonts w:hint="eastAsia"/>
          <w:bCs/>
          <w:sz w:val="21"/>
          <w:szCs w:val="21"/>
        </w:rPr>
        <w:t>当采用集中力模拟均布荷载对简支受弯试件进行等效加载时，可按表</w:t>
      </w:r>
      <w:r>
        <w:rPr>
          <w:rFonts w:hint="eastAsia"/>
          <w:bCs/>
          <w:sz w:val="21"/>
          <w:szCs w:val="21"/>
          <w:lang w:eastAsia="zh-CN"/>
        </w:rPr>
        <w:t>D.</w:t>
      </w:r>
      <w:r>
        <w:rPr>
          <w:rFonts w:hint="eastAsia"/>
          <w:bCs/>
          <w:sz w:val="21"/>
          <w:szCs w:val="21"/>
        </w:rPr>
        <w:t>3.3所示的方式进行加载。加载值P及挠度实测值的修正系数</w:t>
      </w:r>
      <m:oMath>
        <m:r>
          <m:rPr/>
          <w:rPr>
            <w:rFonts w:hint="default" w:ascii="Cambria Math" w:hAnsi="Cambria Math"/>
            <w:sz w:val="22"/>
          </w:rPr>
          <m:t>ψ</m:t>
        </m:r>
      </m:oMath>
      <w:r>
        <w:rPr>
          <w:rFonts w:hint="eastAsia"/>
          <w:bCs/>
          <w:sz w:val="21"/>
          <w:szCs w:val="21"/>
        </w:rPr>
        <w:t>应采用表中所列的数值。</w:t>
      </w:r>
    </w:p>
    <w:p>
      <w:pPr>
        <w:spacing w:line="360" w:lineRule="auto"/>
        <w:jc w:val="center"/>
        <w:rPr>
          <w:rFonts w:hint="eastAsia" w:ascii="黑体" w:hAnsi="黑体" w:eastAsia="黑体" w:cs="黑体"/>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表D.3.3 简支受弯试件等效加载模式及等效</w:t>
      </w:r>
    </w:p>
    <w:p>
      <w:pPr>
        <w:spacing w:line="360" w:lineRule="auto"/>
        <w:jc w:val="center"/>
        <w:rPr>
          <w:rFonts w:hint="eastAsia" w:ascii="黑体" w:hAnsi="黑体" w:eastAsia="黑体" w:cs="黑体"/>
          <w:b w:val="0"/>
          <w:bCs w:val="0"/>
          <w:kern w:val="2"/>
          <w:sz w:val="21"/>
          <w:szCs w:val="21"/>
          <w:lang w:val="en-US" w:eastAsia="zh-CN" w:bidi="ar-SA"/>
        </w:rPr>
      </w:pPr>
      <w:r>
        <w:rPr>
          <w:rFonts w:hint="eastAsia" w:ascii="黑体" w:hAnsi="黑体" w:eastAsia="黑体" w:cs="黑体"/>
          <w:b w:val="0"/>
          <w:bCs w:val="0"/>
          <w:kern w:val="2"/>
          <w:sz w:val="21"/>
          <w:szCs w:val="21"/>
          <w:lang w:val="en-US" w:eastAsia="zh-CN" w:bidi="ar-SA"/>
        </w:rPr>
        <w:t>集中荷载P和挠度修正系数</w:t>
      </w:r>
      <m:oMath>
        <m:r>
          <m:rPr>
            <m:sty m:val="p"/>
          </m:rPr>
          <w:rPr>
            <w:rFonts w:hint="default" w:ascii="Cambria Math" w:hAnsi="Cambria Math" w:eastAsia="黑体" w:cs="黑体"/>
            <w:kern w:val="2"/>
            <w:sz w:val="21"/>
            <w:szCs w:val="21"/>
            <w:lang w:val="en-US" w:eastAsia="zh-CN" w:bidi="ar-SA"/>
          </w:rPr>
          <m:t>ψ</m:t>
        </m:r>
      </m:oMath>
    </w:p>
    <w:p>
      <w:pPr>
        <w:spacing w:line="360" w:lineRule="auto"/>
        <w:jc w:val="center"/>
        <w:rPr>
          <w:sz w:val="21"/>
          <w:szCs w:val="21"/>
        </w:rPr>
      </w:pPr>
      <w:r>
        <w:drawing>
          <wp:inline distT="0" distB="0" distL="114300" distR="114300">
            <wp:extent cx="3476625" cy="4286250"/>
            <wp:effectExtent l="0" t="0" r="9525" b="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22"/>
                    <a:stretch>
                      <a:fillRect/>
                    </a:stretch>
                  </pic:blipFill>
                  <pic:spPr>
                    <a:xfrm>
                      <a:off x="0" y="0"/>
                      <a:ext cx="3476625" cy="4286250"/>
                    </a:xfrm>
                    <a:prstGeom prst="rect">
                      <a:avLst/>
                    </a:prstGeom>
                    <a:noFill/>
                    <a:ln>
                      <a:noFill/>
                    </a:ln>
                  </pic:spPr>
                </pic:pic>
              </a:graphicData>
            </a:graphic>
          </wp:inline>
        </w:drawing>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D.3.4 </w:t>
      </w:r>
      <w:r>
        <w:rPr>
          <w:rFonts w:hint="eastAsia"/>
          <w:sz w:val="21"/>
          <w:szCs w:val="21"/>
        </w:rPr>
        <w:t>试验装置应符合下列规定：</w:t>
      </w:r>
    </w:p>
    <w:p>
      <w:pPr>
        <w:spacing w:line="360" w:lineRule="auto"/>
        <w:ind w:firstLine="422" w:firstLineChars="200"/>
        <w:rPr>
          <w:sz w:val="21"/>
          <w:szCs w:val="21"/>
        </w:rPr>
      </w:pPr>
      <w:r>
        <w:rPr>
          <w:rFonts w:hint="eastAsia"/>
          <w:b/>
          <w:bCs/>
          <w:sz w:val="21"/>
          <w:szCs w:val="21"/>
        </w:rPr>
        <w:t>1</w:t>
      </w:r>
      <w:r>
        <w:rPr>
          <w:rFonts w:hint="eastAsia"/>
          <w:sz w:val="21"/>
          <w:szCs w:val="21"/>
        </w:rPr>
        <w:t xml:space="preserve"> 试验装置与试验加载设备应满足试件的设计受力条件和支承方式的要求，应按实际工程应用的连接方式进行设计。</w:t>
      </w:r>
    </w:p>
    <w:p>
      <w:pPr>
        <w:spacing w:line="360" w:lineRule="auto"/>
        <w:ind w:firstLine="413" w:firstLineChars="196"/>
        <w:rPr>
          <w:sz w:val="21"/>
          <w:szCs w:val="21"/>
        </w:rPr>
      </w:pPr>
      <w:r>
        <w:rPr>
          <w:rFonts w:hint="eastAsia"/>
          <w:b/>
          <w:bCs/>
          <w:sz w:val="21"/>
          <w:szCs w:val="21"/>
        </w:rPr>
        <w:t xml:space="preserve">2 </w:t>
      </w:r>
      <w:r>
        <w:rPr>
          <w:rFonts w:hint="eastAsia"/>
          <w:sz w:val="21"/>
          <w:szCs w:val="21"/>
        </w:rPr>
        <w:t>试验台座、门架、反力架等，其传力装置应具有足够的刚度、承载力和整体稳定性。试验台座应能承受竖向反力。试验台座提供反力部位的刚度不应小于试件刚度的10倍。</w:t>
      </w:r>
    </w:p>
    <w:p>
      <w:pPr>
        <w:spacing w:line="360" w:lineRule="auto"/>
        <w:ind w:firstLine="413" w:firstLineChars="196"/>
        <w:rPr>
          <w:sz w:val="21"/>
          <w:szCs w:val="21"/>
        </w:rPr>
      </w:pPr>
      <w:r>
        <w:rPr>
          <w:rFonts w:hint="eastAsia"/>
          <w:b/>
          <w:bCs/>
          <w:sz w:val="21"/>
          <w:szCs w:val="21"/>
        </w:rPr>
        <w:t>3</w:t>
      </w:r>
      <w:r>
        <w:rPr>
          <w:rFonts w:hint="eastAsia"/>
          <w:sz w:val="21"/>
          <w:szCs w:val="21"/>
        </w:rPr>
        <w:t xml:space="preserve"> 加载用千斤顶宜有稳压装置，保证试件在每一级加载或水平往复试验过程中的荷载值不变。</w:t>
      </w:r>
    </w:p>
    <w:p>
      <w:pPr>
        <w:spacing w:line="360" w:lineRule="auto"/>
        <w:ind w:firstLine="413" w:firstLineChars="196"/>
        <w:rPr>
          <w:sz w:val="21"/>
          <w:szCs w:val="21"/>
        </w:rPr>
      </w:pPr>
      <w:r>
        <w:rPr>
          <w:rFonts w:hint="eastAsia"/>
          <w:b/>
          <w:bCs/>
          <w:sz w:val="21"/>
          <w:szCs w:val="21"/>
        </w:rPr>
        <w:t>4</w:t>
      </w:r>
      <w:r>
        <w:rPr>
          <w:rFonts w:hint="eastAsia"/>
          <w:sz w:val="21"/>
          <w:szCs w:val="21"/>
        </w:rPr>
        <w:t xml:space="preserve"> 加载设备精度应满足试验要求。</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D.3.5 </w:t>
      </w:r>
      <w:r>
        <w:rPr>
          <w:rFonts w:hint="eastAsia"/>
          <w:sz w:val="21"/>
          <w:szCs w:val="21"/>
        </w:rPr>
        <w:t>量测装置的选择应符合下列规定：</w:t>
      </w:r>
    </w:p>
    <w:p>
      <w:pPr>
        <w:spacing w:line="360" w:lineRule="auto"/>
        <w:ind w:firstLine="422" w:firstLineChars="200"/>
        <w:rPr>
          <w:sz w:val="21"/>
          <w:szCs w:val="21"/>
        </w:rPr>
      </w:pPr>
      <w:r>
        <w:rPr>
          <w:rFonts w:hint="eastAsia"/>
          <w:b/>
          <w:bCs/>
          <w:sz w:val="21"/>
          <w:szCs w:val="21"/>
        </w:rPr>
        <w:t xml:space="preserve">1 </w:t>
      </w:r>
      <w:r>
        <w:rPr>
          <w:rFonts w:hint="eastAsia"/>
          <w:sz w:val="21"/>
          <w:szCs w:val="21"/>
        </w:rPr>
        <w:t>应根据试验目的选择测量仪表，仪表量程宜为试件极限破坏计算值的1.5倍，分辨率应满足最小荷载作用下的分辨能力；</w:t>
      </w:r>
    </w:p>
    <w:p>
      <w:pPr>
        <w:spacing w:line="360" w:lineRule="auto"/>
        <w:ind w:firstLine="422" w:firstLineChars="200"/>
        <w:rPr>
          <w:sz w:val="21"/>
          <w:szCs w:val="21"/>
        </w:rPr>
      </w:pPr>
      <w:r>
        <w:rPr>
          <w:rFonts w:hint="eastAsia"/>
          <w:b/>
          <w:bCs/>
          <w:sz w:val="21"/>
          <w:szCs w:val="21"/>
        </w:rPr>
        <w:t xml:space="preserve">2 </w:t>
      </w:r>
      <w:r>
        <w:rPr>
          <w:rFonts w:hint="eastAsia"/>
          <w:sz w:val="21"/>
          <w:szCs w:val="21"/>
        </w:rPr>
        <w:t>位移量测仪表的最小分度值不宜大于所测总位移的0.5％，示值允许误差应为满量程的±1.0％；</w:t>
      </w:r>
    </w:p>
    <w:p>
      <w:pPr>
        <w:spacing w:line="360" w:lineRule="auto"/>
        <w:ind w:firstLine="422" w:firstLineChars="200"/>
        <w:rPr>
          <w:sz w:val="21"/>
          <w:szCs w:val="21"/>
        </w:rPr>
      </w:pPr>
      <w:r>
        <w:rPr>
          <w:b/>
          <w:bCs/>
          <w:sz w:val="21"/>
          <w:szCs w:val="21"/>
        </w:rPr>
        <w:t>3</w:t>
      </w:r>
      <w:r>
        <w:rPr>
          <w:sz w:val="21"/>
          <w:szCs w:val="21"/>
        </w:rPr>
        <w:t xml:space="preserve"> 应变式传感器最小分度值不宜大于2με，示值允许误差</w:t>
      </w:r>
      <w:r>
        <w:rPr>
          <w:rFonts w:hint="eastAsia"/>
          <w:sz w:val="21"/>
          <w:szCs w:val="21"/>
        </w:rPr>
        <w:t>应</w:t>
      </w:r>
      <w:r>
        <w:rPr>
          <w:sz w:val="21"/>
          <w:szCs w:val="21"/>
        </w:rPr>
        <w:t>为满量程的</w:t>
      </w:r>
      <w:r>
        <w:rPr>
          <w:rFonts w:hint="eastAsia"/>
          <w:sz w:val="21"/>
          <w:szCs w:val="21"/>
        </w:rPr>
        <w:t>±</w:t>
      </w:r>
      <w:r>
        <w:rPr>
          <w:sz w:val="21"/>
          <w:szCs w:val="21"/>
        </w:rPr>
        <w:t>1.0</w:t>
      </w:r>
      <w:r>
        <w:rPr>
          <w:rFonts w:hint="eastAsia"/>
          <w:sz w:val="21"/>
          <w:szCs w:val="21"/>
        </w:rPr>
        <w:t>％</w:t>
      </w:r>
      <w:r>
        <w:rPr>
          <w:sz w:val="21"/>
          <w:szCs w:val="21"/>
        </w:rPr>
        <w:t>，量程不宜小于3000με；静态电阻应变仪的最小分度值不宜大于1με</w:t>
      </w:r>
      <w:r>
        <w:rPr>
          <w:rFonts w:hint="eastAsia"/>
          <w:sz w:val="21"/>
          <w:szCs w:val="21"/>
        </w:rPr>
        <w:t>；</w:t>
      </w:r>
    </w:p>
    <w:p>
      <w:pPr>
        <w:spacing w:line="360" w:lineRule="auto"/>
        <w:ind w:firstLine="422" w:firstLineChars="200"/>
        <w:rPr>
          <w:sz w:val="21"/>
          <w:szCs w:val="21"/>
        </w:rPr>
      </w:pPr>
      <w:r>
        <w:rPr>
          <w:rFonts w:hint="eastAsia"/>
          <w:b/>
          <w:bCs/>
          <w:sz w:val="21"/>
          <w:szCs w:val="21"/>
        </w:rPr>
        <w:t>4</w:t>
      </w:r>
      <w:r>
        <w:rPr>
          <w:rFonts w:hint="eastAsia"/>
          <w:sz w:val="21"/>
          <w:szCs w:val="21"/>
        </w:rPr>
        <w:t xml:space="preserve"> 数据采集系统的A/D转换精度不得低于12位。</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D.3.6 </w:t>
      </w:r>
      <w:r>
        <w:rPr>
          <w:rFonts w:hint="eastAsia"/>
          <w:sz w:val="21"/>
          <w:szCs w:val="21"/>
        </w:rPr>
        <w:t>试验前应进行预加载，检验支座是否平稳，仪表及加载设备是否正常，并对仪表设备进行调零。预加载值应控制试件在弹性范围内受力，不宜大于开裂荷载计算值的30％。</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D.3.7 </w:t>
      </w:r>
      <w:r>
        <w:rPr>
          <w:rFonts w:hint="eastAsia"/>
          <w:sz w:val="21"/>
          <w:szCs w:val="21"/>
        </w:rPr>
        <w:t>静载试验加载制度应符合下列规定：</w:t>
      </w:r>
    </w:p>
    <w:p>
      <w:pPr>
        <w:spacing w:line="360" w:lineRule="auto"/>
        <w:ind w:firstLine="422" w:firstLineChars="200"/>
        <w:rPr>
          <w:sz w:val="21"/>
          <w:szCs w:val="21"/>
        </w:rPr>
      </w:pPr>
      <w:r>
        <w:rPr>
          <w:rFonts w:hint="eastAsia"/>
          <w:b/>
          <w:bCs/>
          <w:sz w:val="21"/>
          <w:szCs w:val="21"/>
        </w:rPr>
        <w:t xml:space="preserve">1 </w:t>
      </w:r>
      <w:r>
        <w:rPr>
          <w:rFonts w:hint="eastAsia"/>
          <w:sz w:val="21"/>
          <w:szCs w:val="21"/>
        </w:rPr>
        <w:t>探索性试验的加载程序应根据试验目的及受力特点确定；验证性试验宜分级进行加载，荷载分级应包括各级临界试验荷载值。</w:t>
      </w:r>
    </w:p>
    <w:p>
      <w:pPr>
        <w:spacing w:line="360" w:lineRule="auto"/>
        <w:ind w:firstLine="422" w:firstLineChars="200"/>
        <w:rPr>
          <w:sz w:val="21"/>
          <w:szCs w:val="21"/>
        </w:rPr>
      </w:pPr>
      <w:r>
        <w:rPr>
          <w:rFonts w:hint="eastAsia"/>
          <w:b/>
          <w:bCs/>
          <w:sz w:val="21"/>
          <w:szCs w:val="21"/>
        </w:rPr>
        <w:t>2</w:t>
      </w:r>
      <w:r>
        <w:rPr>
          <w:rFonts w:hint="eastAsia"/>
          <w:sz w:val="21"/>
          <w:szCs w:val="21"/>
        </w:rPr>
        <w:t xml:space="preserve"> 每级荷载加载完成后的持荷时间不应少于5min～10min，且每级加载时间宜相等；在使用状态试验荷载值、开裂荷载计算值作用下，持荷时间不宜少于15min。</w:t>
      </w:r>
    </w:p>
    <w:p>
      <w:pPr>
        <w:spacing w:line="360" w:lineRule="auto"/>
        <w:ind w:firstLine="422" w:firstLineChars="200"/>
        <w:rPr>
          <w:sz w:val="21"/>
          <w:szCs w:val="21"/>
        </w:rPr>
      </w:pPr>
      <w:r>
        <w:rPr>
          <w:rFonts w:hint="eastAsia"/>
          <w:b/>
          <w:bCs/>
          <w:sz w:val="21"/>
          <w:szCs w:val="21"/>
        </w:rPr>
        <w:t>3</w:t>
      </w:r>
      <w:r>
        <w:rPr>
          <w:rFonts w:hint="eastAsia"/>
          <w:sz w:val="21"/>
          <w:szCs w:val="21"/>
        </w:rPr>
        <w:t xml:space="preserve"> 分级加载试验时，试验荷载的实测值确定原则：在持荷时间完成后出现试验标志时，取该级荷载值作为试验荷载实测值；在加载过程中出现试验标志时，取前一级荷载值作为试验荷载实测值；在持荷过程中出现试验标志时，取该级荷载和前一级荷载的平均值作为试验荷载实测值。</w:t>
      </w:r>
    </w:p>
    <w:p>
      <w:pPr>
        <w:spacing w:line="360" w:lineRule="auto"/>
        <w:ind w:firstLine="422" w:firstLineChars="200"/>
        <w:rPr>
          <w:sz w:val="21"/>
          <w:szCs w:val="21"/>
        </w:rPr>
      </w:pPr>
      <w:r>
        <w:rPr>
          <w:rFonts w:hint="eastAsia"/>
          <w:b/>
          <w:bCs/>
          <w:sz w:val="21"/>
          <w:szCs w:val="21"/>
        </w:rPr>
        <w:t>4</w:t>
      </w:r>
      <w:r>
        <w:rPr>
          <w:rFonts w:hint="eastAsia"/>
          <w:sz w:val="21"/>
          <w:szCs w:val="21"/>
        </w:rPr>
        <w:t xml:space="preserve"> 试件的自重和作用在其上的加载设备的重量，应作为试验荷载的一部分，并经计算后从加载值中扣除。试件自重和加载设备的重量应经实测或计算取得，并根据加载模式进行换算，对验证性试验其数值不宜大于使用状态试验荷载值的20％。</w:t>
      </w:r>
    </w:p>
    <w:p>
      <w:pPr>
        <w:spacing w:line="360" w:lineRule="auto"/>
        <w:ind w:firstLine="422" w:firstLineChars="200"/>
        <w:rPr>
          <w:sz w:val="21"/>
          <w:szCs w:val="21"/>
        </w:rPr>
      </w:pPr>
      <w:r>
        <w:rPr>
          <w:rFonts w:hint="eastAsia"/>
          <w:b/>
          <w:bCs/>
          <w:sz w:val="21"/>
          <w:szCs w:val="21"/>
        </w:rPr>
        <w:t xml:space="preserve">5 </w:t>
      </w:r>
      <w:r>
        <w:rPr>
          <w:rFonts w:hint="eastAsia"/>
          <w:sz w:val="21"/>
          <w:szCs w:val="21"/>
        </w:rPr>
        <w:t>对于需要研究试件恢复性能的试验，加载完成以后应按阶段分级卸载。</w:t>
      </w:r>
    </w:p>
    <w:p>
      <w:pPr>
        <w:spacing w:line="360" w:lineRule="auto"/>
        <w:ind w:firstLine="422" w:firstLineChars="200"/>
        <w:rPr>
          <w:sz w:val="21"/>
          <w:szCs w:val="21"/>
        </w:rPr>
      </w:pPr>
      <w:r>
        <w:rPr>
          <w:rFonts w:hint="eastAsia"/>
          <w:b/>
          <w:bCs/>
          <w:sz w:val="21"/>
          <w:szCs w:val="21"/>
        </w:rPr>
        <w:t xml:space="preserve">6 </w:t>
      </w:r>
      <w:r>
        <w:rPr>
          <w:rFonts w:hint="eastAsia"/>
          <w:sz w:val="21"/>
          <w:szCs w:val="21"/>
        </w:rPr>
        <w:t>当要求获得试件的实际承载力和破坏形态时，在试件出现承载力标志后，宜进行后期加载。后期加载应加载到荷载减退、试件断裂、结构解体等破坏状态，探讨试件的承载力裕量、破坏形态及实际的抗倒塌性能。后期加载的荷载等级及持荷时间应根据具体情况确定，可适当增大加载间隔，缩短持荷时间，也可进行连续慢速加载直至试件破坏。</w:t>
      </w:r>
    </w:p>
    <w:p>
      <w:pPr>
        <w:spacing w:line="360" w:lineRule="auto"/>
        <w:rPr>
          <w:b/>
          <w:bCs/>
          <w:sz w:val="21"/>
          <w:szCs w:val="21"/>
        </w:rPr>
      </w:pPr>
      <w:r>
        <w:rPr>
          <w:rFonts w:hint="eastAsia" w:ascii="黑体" w:hAnsi="黑体" w:eastAsia="黑体" w:cs="黑体"/>
          <w:b w:val="0"/>
          <w:bCs w:val="0"/>
          <w:kern w:val="2"/>
          <w:sz w:val="21"/>
          <w:szCs w:val="21"/>
          <w:lang w:val="en-US" w:eastAsia="zh-CN" w:bidi="ar-SA"/>
        </w:rPr>
        <w:t xml:space="preserve">D.3.8 </w:t>
      </w:r>
      <w:r>
        <w:rPr>
          <w:rFonts w:hint="eastAsia"/>
          <w:sz w:val="21"/>
          <w:szCs w:val="21"/>
        </w:rPr>
        <w:t>检验结果评定应符合下列规定：</w:t>
      </w:r>
    </w:p>
    <w:p>
      <w:pPr>
        <w:spacing w:line="360" w:lineRule="auto"/>
        <w:ind w:firstLine="517" w:firstLineChars="245"/>
        <w:rPr>
          <w:sz w:val="21"/>
          <w:szCs w:val="21"/>
        </w:rPr>
      </w:pPr>
      <w:r>
        <w:rPr>
          <w:rFonts w:hint="eastAsia"/>
          <w:b/>
          <w:bCs/>
          <w:sz w:val="21"/>
          <w:szCs w:val="21"/>
        </w:rPr>
        <w:t>1</w:t>
      </w:r>
      <w:r>
        <w:rPr>
          <w:rFonts w:hint="eastAsia"/>
          <w:sz w:val="21"/>
          <w:szCs w:val="21"/>
        </w:rPr>
        <w:t xml:space="preserve"> 叠合梁构件底部的预制构件合格性判定方法应由设计计算确定。</w:t>
      </w:r>
    </w:p>
    <w:p>
      <w:pPr>
        <w:spacing w:line="360" w:lineRule="auto"/>
        <w:ind w:firstLine="517" w:firstLineChars="245"/>
        <w:rPr>
          <w:sz w:val="21"/>
          <w:szCs w:val="21"/>
        </w:rPr>
      </w:pPr>
      <w:r>
        <w:rPr>
          <w:rFonts w:hint="eastAsia"/>
          <w:b/>
          <w:bCs/>
          <w:sz w:val="21"/>
          <w:szCs w:val="21"/>
        </w:rPr>
        <w:t>2</w:t>
      </w:r>
      <w:r>
        <w:rPr>
          <w:rFonts w:hint="eastAsia"/>
          <w:sz w:val="21"/>
          <w:szCs w:val="21"/>
        </w:rPr>
        <w:t xml:space="preserve"> 叠合梁构件整体结构性能检验的合格性判断方法，应根据《混凝土结构工程施工质量验收规范》GB 50204 附录B的有关规定确定。</w:t>
      </w:r>
    </w:p>
    <w:p>
      <w:pPr>
        <w:rPr>
          <w:rFonts w:hint="eastAsia"/>
        </w:rPr>
      </w:pPr>
      <w:r>
        <w:rPr>
          <w:rFonts w:hint="eastAsia"/>
        </w:rPr>
        <w:br w:type="page"/>
      </w:r>
    </w:p>
    <w:p>
      <w:pPr>
        <w:pStyle w:val="78"/>
        <w:spacing w:before="78" w:after="156"/>
      </w:pPr>
    </w:p>
    <w:p>
      <w:pPr>
        <w:pStyle w:val="244"/>
        <w:keepNext/>
        <w:keepLines w:val="0"/>
        <w:pageBreakBefore w:val="0"/>
        <w:widowControl/>
        <w:numPr>
          <w:ilvl w:val="0"/>
          <w:numId w:val="0"/>
        </w:numPr>
        <w:shd w:val="clear" w:color="FFFFFF" w:fill="FFFFFF"/>
        <w:kinsoku/>
        <w:wordWrap/>
        <w:overflowPunct/>
        <w:topLinePunct w:val="0"/>
        <w:autoSpaceDE/>
        <w:autoSpaceDN/>
        <w:bidi w:val="0"/>
        <w:adjustRightInd w:val="0"/>
        <w:snapToGrid/>
        <w:spacing w:before="280"/>
        <w:ind w:leftChars="0"/>
        <w:jc w:val="center"/>
        <w:textAlignment w:val="auto"/>
        <w:rPr>
          <w:rFonts w:hint="eastAsia"/>
        </w:rPr>
      </w:pPr>
      <w:bookmarkStart w:id="128" w:name="_Toc63589343"/>
      <w:r>
        <w:rPr>
          <w:rFonts w:hint="eastAsia"/>
        </w:rPr>
        <w:t>（规范性附录）</w:t>
      </w:r>
      <w:r>
        <w:rPr>
          <w:rFonts w:hint="eastAsia"/>
        </w:rPr>
        <w:br w:type="textWrapping"/>
      </w:r>
      <w:r>
        <w:rPr>
          <w:rFonts w:hint="eastAsia"/>
        </w:rPr>
        <w:t>预制混凝土叠合板表面粗糙度试验</w:t>
      </w:r>
      <w:bookmarkEnd w:id="128"/>
    </w:p>
    <w:p>
      <w:pPr>
        <w:pStyle w:val="213"/>
      </w:pPr>
      <w:r>
        <w:rPr>
          <w:rFonts w:hint="eastAsia"/>
          <w:b/>
          <w:bCs/>
          <w:sz w:val="21"/>
          <w:szCs w:val="21"/>
        </w:rPr>
        <w:t>检查仪器设备要求</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E.1.1 </w:t>
      </w:r>
      <w:r>
        <w:rPr>
          <w:rFonts w:hint="eastAsia"/>
          <w:sz w:val="21"/>
          <w:szCs w:val="21"/>
        </w:rPr>
        <w:t>激光扫描设备：激光扫描设备测量精度</w:t>
      </w:r>
      <w:r>
        <w:rPr>
          <w:sz w:val="21"/>
          <w:szCs w:val="21"/>
        </w:rPr>
        <w:t>0.1mm</w:t>
      </w:r>
      <w:r>
        <w:rPr>
          <w:rFonts w:hint="eastAsia"/>
          <w:sz w:val="21"/>
          <w:szCs w:val="21"/>
        </w:rPr>
        <w:t>。</w:t>
      </w:r>
    </w:p>
    <w:p>
      <w:pPr>
        <w:spacing w:line="360" w:lineRule="auto"/>
      </w:pPr>
      <w:r>
        <w:rPr>
          <w:rFonts w:hint="eastAsia" w:ascii="黑体" w:hAnsi="黑体" w:eastAsia="黑体" w:cs="黑体"/>
          <w:b w:val="0"/>
          <w:bCs w:val="0"/>
          <w:kern w:val="2"/>
          <w:sz w:val="21"/>
          <w:szCs w:val="21"/>
          <w:lang w:val="en-US" w:eastAsia="zh-CN" w:bidi="ar-SA"/>
        </w:rPr>
        <w:t xml:space="preserve">E.1.2 </w:t>
      </w:r>
      <w:r>
        <w:rPr>
          <w:rFonts w:hint="eastAsia"/>
          <w:sz w:val="21"/>
          <w:szCs w:val="21"/>
        </w:rPr>
        <w:t>钢卷尺：</w:t>
      </w:r>
      <w:r>
        <w:rPr>
          <w:sz w:val="21"/>
          <w:szCs w:val="21"/>
        </w:rPr>
        <w:t>5m</w:t>
      </w:r>
      <w:r>
        <w:rPr>
          <w:rFonts w:hint="eastAsia"/>
          <w:sz w:val="21"/>
          <w:szCs w:val="21"/>
        </w:rPr>
        <w:t>，最小分度值</w:t>
      </w:r>
      <w:r>
        <w:rPr>
          <w:sz w:val="21"/>
          <w:szCs w:val="21"/>
        </w:rPr>
        <w:t>1mm</w:t>
      </w:r>
      <w:r>
        <w:rPr>
          <w:rFonts w:hint="eastAsia"/>
          <w:sz w:val="21"/>
          <w:szCs w:val="21"/>
        </w:rPr>
        <w:t>。</w:t>
      </w:r>
    </w:p>
    <w:p>
      <w:pPr>
        <w:pStyle w:val="213"/>
      </w:pPr>
      <w:r>
        <w:rPr>
          <w:rFonts w:hint="eastAsia"/>
          <w:b/>
          <w:bCs/>
          <w:sz w:val="21"/>
          <w:szCs w:val="21"/>
        </w:rPr>
        <w:t>检测前准备</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E.2.1 </w:t>
      </w:r>
      <w:r>
        <w:rPr>
          <w:sz w:val="21"/>
          <w:szCs w:val="21"/>
        </w:rPr>
        <w:t>检查检测设备是否正常</w:t>
      </w:r>
      <w:r>
        <w:rPr>
          <w:rFonts w:hint="eastAsia"/>
          <w:sz w:val="21"/>
          <w:szCs w:val="21"/>
        </w:rPr>
        <w:t>，能够实时显示测量镜头与被测物表面选定点之间的距离。</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E.2.2 </w:t>
      </w:r>
      <w:r>
        <w:rPr>
          <w:rFonts w:hint="eastAsia"/>
          <w:sz w:val="21"/>
          <w:szCs w:val="21"/>
        </w:rPr>
        <w:t>预制叠合板构件水平放置，测试面应保持干燥状态，检测开始前将构件测试面清理干净，不得有砂子、松动的石子等杂物。</w:t>
      </w:r>
    </w:p>
    <w:p>
      <w:pPr>
        <w:pStyle w:val="213"/>
      </w:pPr>
      <w:r>
        <w:rPr>
          <w:rFonts w:hint="eastAsia"/>
          <w:b/>
          <w:bCs/>
          <w:sz w:val="21"/>
          <w:szCs w:val="21"/>
        </w:rPr>
        <w:t>检测时应按以下规定执行：</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E.3.1 </w:t>
      </w:r>
      <w:r>
        <w:rPr>
          <w:sz w:val="21"/>
          <w:szCs w:val="21"/>
        </w:rPr>
        <w:t>测区的选择原则</w:t>
      </w:r>
      <w:r>
        <w:rPr>
          <w:rFonts w:hint="eastAsia"/>
          <w:sz w:val="21"/>
          <w:szCs w:val="21"/>
        </w:rPr>
        <w:t>：</w:t>
      </w:r>
      <w:r>
        <w:rPr>
          <w:sz w:val="21"/>
          <w:szCs w:val="21"/>
        </w:rPr>
        <w:t>叠合板表面面积在3m</w:t>
      </w:r>
      <w:r>
        <w:rPr>
          <w:sz w:val="21"/>
          <w:szCs w:val="21"/>
          <w:vertAlign w:val="superscript"/>
        </w:rPr>
        <w:t>2</w:t>
      </w:r>
      <w:r>
        <w:rPr>
          <w:sz w:val="21"/>
          <w:szCs w:val="21"/>
        </w:rPr>
        <w:t>及以下时，布置不少于</w:t>
      </w:r>
      <w:r>
        <w:rPr>
          <w:rFonts w:hint="eastAsia"/>
          <w:sz w:val="21"/>
          <w:szCs w:val="21"/>
        </w:rPr>
        <w:t>1</w:t>
      </w:r>
      <w:r>
        <w:rPr>
          <w:sz w:val="21"/>
          <w:szCs w:val="21"/>
        </w:rPr>
        <w:t>0个测区，测区面积取100mm</w:t>
      </w:r>
      <w:r>
        <w:rPr>
          <w:rFonts w:hint="eastAsia"/>
          <w:sz w:val="21"/>
          <w:szCs w:val="21"/>
        </w:rPr>
        <w:t>×</w:t>
      </w:r>
      <w:r>
        <w:rPr>
          <w:sz w:val="21"/>
          <w:szCs w:val="21"/>
        </w:rPr>
        <w:t>100mm，每个测区应采集所有数据记录，取平均值</w:t>
      </w:r>
      <w:r>
        <w:rPr>
          <w:rFonts w:hint="eastAsia"/>
          <w:sz w:val="21"/>
          <w:szCs w:val="21"/>
        </w:rPr>
        <w:t>作为</w:t>
      </w:r>
      <w:r>
        <w:rPr>
          <w:sz w:val="21"/>
          <w:szCs w:val="21"/>
        </w:rPr>
        <w:t>该测区内的平均凹凸深度。每增加1m</w:t>
      </w:r>
      <w:r>
        <w:rPr>
          <w:sz w:val="21"/>
          <w:szCs w:val="21"/>
          <w:vertAlign w:val="superscript"/>
        </w:rPr>
        <w:t>2</w:t>
      </w:r>
      <w:r>
        <w:rPr>
          <w:sz w:val="21"/>
          <w:szCs w:val="21"/>
        </w:rPr>
        <w:t>时应增加</w:t>
      </w:r>
      <w:r>
        <w:rPr>
          <w:rFonts w:hint="eastAsia"/>
          <w:sz w:val="21"/>
          <w:szCs w:val="21"/>
        </w:rPr>
        <w:t>3</w:t>
      </w:r>
      <w:r>
        <w:rPr>
          <w:sz w:val="21"/>
          <w:szCs w:val="21"/>
        </w:rPr>
        <w:t>个测区，应选取有代表性的区域作为构件测区，测区应均匀分布，测区间距离不宜小于0.5m</w:t>
      </w:r>
      <w:r>
        <w:rPr>
          <w:rFonts w:hint="eastAsia"/>
          <w:sz w:val="21"/>
          <w:szCs w:val="21"/>
        </w:rPr>
        <w:t>；设置桁架筋的构件，测区宜布置在桁架</w:t>
      </w:r>
      <w:r>
        <w:rPr>
          <w:sz w:val="21"/>
          <w:szCs w:val="21"/>
        </w:rPr>
        <w:t>筋之间；测区应避开预埋件、预留洞等不利于部位，</w:t>
      </w:r>
      <w:r>
        <w:rPr>
          <w:rFonts w:hint="eastAsia"/>
          <w:sz w:val="21"/>
          <w:szCs w:val="21"/>
        </w:rPr>
        <w:t>取</w:t>
      </w:r>
      <w:r>
        <w:rPr>
          <w:sz w:val="21"/>
          <w:szCs w:val="21"/>
        </w:rPr>
        <w:t>所有测区的平均值作为预制混凝土叠合板表面的凹凸深度。</w:t>
      </w:r>
    </w:p>
    <w:p>
      <w:pPr>
        <w:spacing w:line="360" w:lineRule="auto"/>
        <w:rPr>
          <w:sz w:val="21"/>
          <w:szCs w:val="21"/>
        </w:rPr>
      </w:pPr>
      <w:r>
        <w:rPr>
          <w:rFonts w:hint="eastAsia" w:ascii="黑体" w:hAnsi="黑体" w:eastAsia="黑体" w:cs="黑体"/>
          <w:b w:val="0"/>
          <w:bCs w:val="0"/>
          <w:kern w:val="2"/>
          <w:sz w:val="21"/>
          <w:szCs w:val="21"/>
          <w:lang w:val="en-US" w:eastAsia="zh-CN" w:bidi="ar-SA"/>
        </w:rPr>
        <w:t xml:space="preserve">E.3.2 </w:t>
      </w:r>
      <w:r>
        <w:rPr>
          <w:rFonts w:hint="eastAsia"/>
          <w:sz w:val="21"/>
          <w:szCs w:val="21"/>
        </w:rPr>
        <w:t>采用水平支架对探头进行固定，探头距离测区的垂直高度在</w:t>
      </w:r>
      <w:r>
        <w:rPr>
          <w:sz w:val="21"/>
          <w:szCs w:val="21"/>
        </w:rPr>
        <w:t>50mm</w:t>
      </w:r>
      <w:r>
        <w:rPr>
          <w:rFonts w:hint="eastAsia"/>
          <w:sz w:val="21"/>
          <w:szCs w:val="21"/>
        </w:rPr>
        <w:t>~</w:t>
      </w:r>
      <w:r>
        <w:rPr>
          <w:sz w:val="21"/>
          <w:szCs w:val="21"/>
        </w:rPr>
        <w:t>100mm</w:t>
      </w:r>
      <w:r>
        <w:rPr>
          <w:rFonts w:hint="eastAsia"/>
          <w:sz w:val="21"/>
          <w:szCs w:val="21"/>
        </w:rPr>
        <w:t>之间，确保探头采集测区全部范围。通过激光扫描设备将预制混凝土叠合板表面凹凸程度转化为高程，在测区内任意选择十个点，取其高程平均值得出该测区内的平均凹凸深度。每个构件取不少于三个测区进行检测，以所有测区的平均值作为构件粗糙面的凹凸深度。</w:t>
      </w:r>
    </w:p>
    <w:p>
      <w:pPr>
        <w:spacing w:line="360" w:lineRule="auto"/>
        <w:rPr>
          <w:sz w:val="21"/>
          <w:szCs w:val="21"/>
        </w:rPr>
      </w:pPr>
      <w:bookmarkStart w:id="129" w:name="_Toc29556"/>
      <w:bookmarkStart w:id="130" w:name="_Toc17199324"/>
      <w:r>
        <w:rPr>
          <w:rFonts w:hint="eastAsia" w:ascii="黑体" w:hAnsi="黑体" w:eastAsia="黑体" w:cs="黑体"/>
          <w:b w:val="0"/>
          <w:bCs w:val="0"/>
          <w:kern w:val="2"/>
          <w:sz w:val="21"/>
          <w:szCs w:val="21"/>
          <w:lang w:val="en-US" w:eastAsia="zh-CN" w:bidi="ar-SA"/>
        </w:rPr>
        <w:t xml:space="preserve">E.3.3 </w:t>
      </w:r>
      <w:bookmarkStart w:id="131" w:name="_Hlk14163615"/>
      <w:r>
        <w:rPr>
          <w:rFonts w:hint="eastAsia"/>
          <w:sz w:val="21"/>
          <w:szCs w:val="21"/>
        </w:rPr>
        <w:t>预制混凝土叠合板表面粗糙度的计算</w:t>
      </w:r>
      <w:bookmarkEnd w:id="131"/>
      <w:r>
        <w:rPr>
          <w:rFonts w:hint="eastAsia"/>
          <w:sz w:val="21"/>
          <w:szCs w:val="21"/>
        </w:rPr>
        <w:t>方法</w:t>
      </w:r>
      <w:bookmarkEnd w:id="129"/>
      <w:bookmarkEnd w:id="130"/>
    </w:p>
    <w:p>
      <w:pPr>
        <w:spacing w:line="360" w:lineRule="auto"/>
        <w:ind w:firstLine="420" w:firstLineChars="200"/>
        <w:rPr>
          <w:sz w:val="21"/>
          <w:szCs w:val="21"/>
        </w:rPr>
      </w:pPr>
      <w:r>
        <w:rPr>
          <w:rFonts w:hint="eastAsia"/>
          <w:sz w:val="21"/>
          <w:szCs w:val="21"/>
        </w:rPr>
        <w:t>预制混凝土叠合板表面粗糙度可按下式计算（由数据处理系统进行）：</w:t>
      </w:r>
    </w:p>
    <w:p>
      <w:pPr>
        <w:spacing w:line="360" w:lineRule="auto"/>
        <w:jc w:val="right"/>
        <w:rPr>
          <w:sz w:val="21"/>
          <w:szCs w:val="21"/>
        </w:rPr>
      </w:pPr>
      <m:oMath>
        <m:sSub>
          <m:sSubPr>
            <m:ctrlPr>
              <w:rPr>
                <w:rFonts w:hint="default" w:ascii="Cambria Math" w:hAnsi="Cambria Math"/>
                <w:i/>
                <w:sz w:val="24"/>
              </w:rPr>
            </m:ctrlPr>
          </m:sSubPr>
          <m:e>
            <m:r>
              <m:rPr/>
              <w:rPr>
                <w:rFonts w:hint="default" w:ascii="Cambria Math" w:hAnsi="Cambria Math"/>
                <w:sz w:val="24"/>
              </w:rPr>
              <m:t>μ</m:t>
            </m:r>
            <m:ctrlPr>
              <w:rPr>
                <w:rFonts w:hint="default" w:ascii="Cambria Math" w:hAnsi="Cambria Math"/>
                <w:i/>
                <w:sz w:val="24"/>
              </w:rPr>
            </m:ctrlPr>
          </m:e>
          <m:sub>
            <m:r>
              <m:rPr/>
              <w:rPr>
                <w:rFonts w:hint="default" w:ascii="Cambria Math" w:hAnsi="Cambria Math"/>
                <w:sz w:val="24"/>
              </w:rPr>
              <m:t>c</m:t>
            </m:r>
            <m:ctrlPr>
              <w:rPr>
                <w:rFonts w:hint="default" w:ascii="Cambria Math" w:hAnsi="Cambria Math"/>
                <w:i/>
                <w:sz w:val="24"/>
              </w:rPr>
            </m:ctrlPr>
          </m:sub>
        </m:sSub>
        <m:r>
          <m:rPr/>
          <w:rPr>
            <w:rFonts w:hint="default" w:ascii="Cambria Math" w:hAnsi="Cambria Math"/>
            <w:sz w:val="24"/>
          </w:rPr>
          <m:t>=</m:t>
        </m:r>
        <m:f>
          <m:fPr>
            <m:ctrlPr>
              <w:rPr>
                <w:rFonts w:hint="default" w:ascii="Cambria Math" w:hAnsi="Cambria Math"/>
                <w:i/>
                <w:sz w:val="24"/>
              </w:rPr>
            </m:ctrlPr>
          </m:fPr>
          <m:num>
            <m:sSubSup>
              <m:sSubSupPr>
                <m:ctrlPr>
                  <w:rPr>
                    <w:rFonts w:hint="default" w:ascii="Cambria Math" w:hAnsi="Cambria Math"/>
                    <w:i/>
                    <w:sz w:val="24"/>
                  </w:rPr>
                </m:ctrlPr>
              </m:sSubSupPr>
              <m:e>
                <m:r>
                  <m:rPr/>
                  <w:rPr>
                    <w:rFonts w:hint="default" w:ascii="Cambria Math" w:hAnsi="Cambria Math"/>
                    <w:sz w:val="24"/>
                  </w:rPr>
                  <m:t>Σ</m:t>
                </m:r>
                <m:ctrlPr>
                  <w:rPr>
                    <w:rFonts w:hint="default" w:ascii="Cambria Math" w:hAnsi="Cambria Math"/>
                    <w:i/>
                    <w:sz w:val="24"/>
                  </w:rPr>
                </m:ctrlPr>
              </m:e>
              <m:sub>
                <m:r>
                  <m:rPr/>
                  <w:rPr>
                    <w:rFonts w:hint="default" w:ascii="Cambria Math" w:hAnsi="Cambria Math"/>
                    <w:sz w:val="24"/>
                  </w:rPr>
                  <m:t>1</m:t>
                </m:r>
                <m:ctrlPr>
                  <w:rPr>
                    <w:rFonts w:hint="default" w:ascii="Cambria Math" w:hAnsi="Cambria Math"/>
                    <w:i/>
                    <w:sz w:val="24"/>
                  </w:rPr>
                </m:ctrlPr>
              </m:sub>
              <m:sup>
                <m:r>
                  <m:rPr/>
                  <w:rPr>
                    <w:rFonts w:hint="default" w:ascii="Cambria Math" w:hAnsi="Cambria Math"/>
                    <w:sz w:val="24"/>
                  </w:rPr>
                  <m:t>n</m:t>
                </m:r>
                <m:ctrlPr>
                  <w:rPr>
                    <w:rFonts w:hint="default" w:ascii="Cambria Math" w:hAnsi="Cambria Math"/>
                    <w:i/>
                    <w:sz w:val="24"/>
                  </w:rPr>
                </m:ctrlPr>
              </m:sup>
            </m:sSubSup>
            <m:sSub>
              <m:sSubPr>
                <m:ctrlPr>
                  <w:rPr>
                    <w:rFonts w:hint="default" w:ascii="Cambria Math" w:hAnsi="Cambria Math"/>
                    <w:i/>
                    <w:sz w:val="24"/>
                  </w:rPr>
                </m:ctrlPr>
              </m:sSubPr>
              <m:e>
                <m:r>
                  <m:rPr/>
                  <w:rPr>
                    <w:rFonts w:hint="default" w:ascii="Cambria Math" w:hAnsi="Cambria Math"/>
                    <w:sz w:val="24"/>
                  </w:rPr>
                  <m:t>μ</m:t>
                </m:r>
                <m:ctrlPr>
                  <w:rPr>
                    <w:rFonts w:hint="default" w:ascii="Cambria Math" w:hAnsi="Cambria Math"/>
                    <w:i/>
                    <w:sz w:val="24"/>
                  </w:rPr>
                </m:ctrlPr>
              </m:e>
              <m:sub>
                <m:r>
                  <m:rPr/>
                  <w:rPr>
                    <w:rFonts w:hint="default" w:ascii="Cambria Math" w:hAnsi="Cambria Math"/>
                    <w:sz w:val="24"/>
                  </w:rPr>
                  <m:t>i</m:t>
                </m:r>
                <m:ctrlPr>
                  <w:rPr>
                    <w:rFonts w:hint="default" w:ascii="Cambria Math" w:hAnsi="Cambria Math"/>
                    <w:i/>
                    <w:sz w:val="24"/>
                  </w:rPr>
                </m:ctrlPr>
              </m:sub>
            </m:sSub>
            <m:ctrlPr>
              <w:rPr>
                <w:rFonts w:hint="default" w:ascii="Cambria Math" w:hAnsi="Cambria Math"/>
                <w:i/>
                <w:sz w:val="24"/>
              </w:rPr>
            </m:ctrlPr>
          </m:num>
          <m:den>
            <m:r>
              <m:rPr/>
              <w:rPr>
                <w:rFonts w:hint="default" w:ascii="Cambria Math" w:hAnsi="Cambria Math"/>
                <w:sz w:val="24"/>
              </w:rPr>
              <m:t>n</m:t>
            </m:r>
            <m:ctrlPr>
              <w:rPr>
                <w:rFonts w:hint="default" w:ascii="Cambria Math" w:hAnsi="Cambria Math"/>
                <w:i/>
                <w:sz w:val="24"/>
              </w:rPr>
            </m:ctrlPr>
          </m:den>
        </m:f>
        <m:r>
          <m:rPr/>
          <w:rPr>
            <w:rFonts w:hint="default" w:ascii="Cambria Math" w:hAnsi="Cambria Math"/>
            <w:sz w:val="24"/>
          </w:rPr>
          <m:t>,i=1~n</m:t>
        </m:r>
      </m:oMath>
      <w:r>
        <w:rPr>
          <w:sz w:val="21"/>
          <w:szCs w:val="21"/>
        </w:rPr>
        <w:t xml:space="preserve">                             </w:t>
      </w:r>
      <w:r>
        <w:rPr>
          <w:rFonts w:hint="eastAsia"/>
          <w:sz w:val="21"/>
          <w:szCs w:val="21"/>
        </w:rPr>
        <w:t>（</w:t>
      </w:r>
      <w:r>
        <w:rPr>
          <w:rFonts w:hint="eastAsia"/>
          <w:sz w:val="21"/>
          <w:szCs w:val="21"/>
          <w:lang w:eastAsia="zh-CN"/>
        </w:rPr>
        <w:t>E.</w:t>
      </w:r>
      <w:r>
        <w:rPr>
          <w:sz w:val="21"/>
          <w:szCs w:val="21"/>
        </w:rPr>
        <w:t>3.3-1</w:t>
      </w:r>
      <w:r>
        <w:rPr>
          <w:rFonts w:hint="eastAsia"/>
          <w:sz w:val="21"/>
          <w:szCs w:val="21"/>
        </w:rPr>
        <w:t>）</w:t>
      </w:r>
    </w:p>
    <w:p>
      <w:pPr>
        <w:spacing w:line="360" w:lineRule="auto"/>
        <w:jc w:val="right"/>
        <w:rPr>
          <w:sz w:val="21"/>
          <w:szCs w:val="21"/>
        </w:rPr>
      </w:pPr>
      <m:oMath>
        <m:r>
          <m:rPr/>
          <w:rPr>
            <w:rFonts w:hint="default" w:ascii="Cambria Math" w:hAnsi="Cambria Math"/>
            <w:sz w:val="24"/>
          </w:rPr>
          <m:t>μ=</m:t>
        </m:r>
        <m:f>
          <m:fPr>
            <m:ctrlPr>
              <w:rPr>
                <w:rFonts w:hint="default" w:ascii="Cambria Math" w:hAnsi="Cambria Math"/>
                <w:i/>
                <w:sz w:val="24"/>
              </w:rPr>
            </m:ctrlPr>
          </m:fPr>
          <m:num>
            <m:sSubSup>
              <m:sSubSupPr>
                <m:ctrlPr>
                  <w:rPr>
                    <w:rFonts w:hint="default" w:ascii="Cambria Math" w:hAnsi="Cambria Math"/>
                    <w:i/>
                    <w:sz w:val="24"/>
                  </w:rPr>
                </m:ctrlPr>
              </m:sSubSupPr>
              <m:e>
                <m:r>
                  <m:rPr/>
                  <w:rPr>
                    <w:rFonts w:hint="default" w:ascii="Cambria Math" w:hAnsi="Cambria Math"/>
                    <w:sz w:val="24"/>
                  </w:rPr>
                  <m:t>∑</m:t>
                </m:r>
                <m:ctrlPr>
                  <w:rPr>
                    <w:rFonts w:hint="default" w:ascii="Cambria Math" w:hAnsi="Cambria Math"/>
                    <w:i/>
                    <w:sz w:val="24"/>
                  </w:rPr>
                </m:ctrlPr>
              </m:e>
              <m:sub>
                <m:r>
                  <m:rPr/>
                  <w:rPr>
                    <w:rFonts w:hint="default" w:ascii="Cambria Math" w:hAnsi="Cambria Math"/>
                    <w:sz w:val="24"/>
                  </w:rPr>
                  <m:t>1</m:t>
                </m:r>
                <m:ctrlPr>
                  <w:rPr>
                    <w:rFonts w:hint="default" w:ascii="Cambria Math" w:hAnsi="Cambria Math"/>
                    <w:i/>
                    <w:sz w:val="24"/>
                  </w:rPr>
                </m:ctrlPr>
              </m:sub>
              <m:sup>
                <m:r>
                  <m:rPr/>
                  <w:rPr>
                    <w:rFonts w:hint="default" w:ascii="Cambria Math" w:hAnsi="Cambria Math"/>
                    <w:sz w:val="24"/>
                  </w:rPr>
                  <m:t>k</m:t>
                </m:r>
                <m:ctrlPr>
                  <w:rPr>
                    <w:rFonts w:hint="default" w:ascii="Cambria Math" w:hAnsi="Cambria Math"/>
                    <w:i/>
                    <w:sz w:val="24"/>
                  </w:rPr>
                </m:ctrlPr>
              </m:sup>
            </m:sSubSup>
            <m:sSub>
              <m:sSubPr>
                <m:ctrlPr>
                  <w:rPr>
                    <w:rFonts w:hint="default" w:ascii="Cambria Math" w:hAnsi="Cambria Math"/>
                    <w:i/>
                    <w:sz w:val="24"/>
                  </w:rPr>
                </m:ctrlPr>
              </m:sSubPr>
              <m:e>
                <m:r>
                  <m:rPr/>
                  <w:rPr>
                    <w:rFonts w:hint="default" w:ascii="Cambria Math" w:hAnsi="Cambria Math"/>
                    <w:sz w:val="24"/>
                  </w:rPr>
                  <m:t>μ</m:t>
                </m:r>
                <m:ctrlPr>
                  <w:rPr>
                    <w:rFonts w:hint="default" w:ascii="Cambria Math" w:hAnsi="Cambria Math"/>
                    <w:i/>
                    <w:sz w:val="24"/>
                  </w:rPr>
                </m:ctrlPr>
              </m:e>
              <m:sub>
                <m:r>
                  <m:rPr/>
                  <w:rPr>
                    <w:rFonts w:hint="default" w:ascii="Cambria Math" w:hAnsi="Cambria Math"/>
                    <w:sz w:val="24"/>
                  </w:rPr>
                  <m:t>c</m:t>
                </m:r>
                <m:ctrlPr>
                  <w:rPr>
                    <w:rFonts w:hint="default" w:ascii="Cambria Math" w:hAnsi="Cambria Math"/>
                    <w:i/>
                    <w:sz w:val="24"/>
                  </w:rPr>
                </m:ctrlPr>
              </m:sub>
            </m:sSub>
            <m:ctrlPr>
              <w:rPr>
                <w:rFonts w:hint="default" w:ascii="Cambria Math" w:hAnsi="Cambria Math"/>
                <w:i/>
                <w:sz w:val="24"/>
              </w:rPr>
            </m:ctrlPr>
          </m:num>
          <m:den>
            <m:r>
              <m:rPr/>
              <w:rPr>
                <w:rFonts w:hint="default" w:ascii="Cambria Math" w:hAnsi="Cambria Math"/>
                <w:sz w:val="24"/>
              </w:rPr>
              <m:t>k</m:t>
            </m:r>
            <m:ctrlPr>
              <w:rPr>
                <w:rFonts w:hint="default" w:ascii="Cambria Math" w:hAnsi="Cambria Math"/>
                <w:i/>
                <w:sz w:val="24"/>
              </w:rPr>
            </m:ctrlPr>
          </m:den>
        </m:f>
        <m:r>
          <m:rPr/>
          <w:rPr>
            <w:rFonts w:hint="default" w:ascii="Cambria Math" w:hAnsi="Cambria Math"/>
            <w:sz w:val="24"/>
          </w:rPr>
          <m:t>,c=1~k</m:t>
        </m:r>
      </m:oMath>
      <w:r>
        <w:rPr>
          <w:sz w:val="21"/>
          <w:szCs w:val="21"/>
        </w:rPr>
        <w:t xml:space="preserve">                             </w:t>
      </w:r>
      <w:r>
        <w:rPr>
          <w:rFonts w:hint="eastAsia"/>
          <w:sz w:val="21"/>
          <w:szCs w:val="21"/>
        </w:rPr>
        <w:t>（</w:t>
      </w:r>
      <w:r>
        <w:rPr>
          <w:rFonts w:hint="eastAsia"/>
          <w:sz w:val="21"/>
          <w:szCs w:val="21"/>
          <w:lang w:eastAsia="zh-CN"/>
        </w:rPr>
        <w:t>E.</w:t>
      </w:r>
      <w:r>
        <w:rPr>
          <w:sz w:val="21"/>
          <w:szCs w:val="21"/>
        </w:rPr>
        <w:t>3.3-2</w:t>
      </w:r>
      <w:r>
        <w:rPr>
          <w:rFonts w:hint="eastAsia"/>
          <w:sz w:val="21"/>
          <w:szCs w:val="21"/>
        </w:rPr>
        <w:t>）</w:t>
      </w:r>
    </w:p>
    <w:p>
      <w:pPr>
        <w:spacing w:line="360" w:lineRule="auto"/>
        <w:ind w:firstLine="420" w:firstLineChars="200"/>
        <w:rPr>
          <w:sz w:val="21"/>
          <w:szCs w:val="21"/>
        </w:rPr>
      </w:pPr>
      <w:r>
        <w:rPr>
          <w:rFonts w:hint="eastAsia"/>
          <w:sz w:val="21"/>
          <w:szCs w:val="21"/>
        </w:rPr>
        <w:t>式中：</w:t>
      </w:r>
    </w:p>
    <w:p>
      <w:pPr>
        <w:spacing w:line="360" w:lineRule="auto"/>
        <w:ind w:firstLine="480" w:firstLineChars="200"/>
        <w:rPr>
          <w:sz w:val="21"/>
          <w:szCs w:val="21"/>
        </w:rPr>
      </w:pPr>
      <m:oMath>
        <m:sSub>
          <m:sSubPr>
            <m:ctrlPr>
              <w:rPr>
                <w:rFonts w:hint="default" w:ascii="Cambria Math" w:hAnsi="Cambria Math"/>
                <w:i/>
                <w:sz w:val="24"/>
              </w:rPr>
            </m:ctrlPr>
          </m:sSubPr>
          <m:e>
            <m:r>
              <m:rPr/>
              <w:rPr>
                <w:rFonts w:hint="default" w:ascii="Cambria Math" w:hAnsi="Cambria Math"/>
                <w:sz w:val="24"/>
              </w:rPr>
              <m:t>μ</m:t>
            </m:r>
            <m:ctrlPr>
              <w:rPr>
                <w:rFonts w:hint="default" w:ascii="Cambria Math" w:hAnsi="Cambria Math"/>
                <w:i/>
                <w:sz w:val="24"/>
              </w:rPr>
            </m:ctrlPr>
          </m:e>
          <m:sub>
            <m:r>
              <m:rPr/>
              <w:rPr>
                <w:rFonts w:hint="default" w:ascii="Cambria Math" w:hAnsi="Cambria Math"/>
                <w:sz w:val="24"/>
              </w:rPr>
              <m:t>i</m:t>
            </m:r>
            <m:ctrlPr>
              <w:rPr>
                <w:rFonts w:hint="default" w:ascii="Cambria Math" w:hAnsi="Cambria Math"/>
                <w:i/>
                <w:sz w:val="24"/>
              </w:rPr>
            </m:ctrlPr>
          </m:sub>
        </m:sSub>
      </m:oMath>
      <w:r>
        <w:rPr>
          <w:rFonts w:hint="eastAsia"/>
          <w:sz w:val="21"/>
          <w:szCs w:val="21"/>
        </w:rPr>
        <w:t>—测区中各点的粗糙度（</w:t>
      </w:r>
      <w:r>
        <w:rPr>
          <w:sz w:val="21"/>
          <w:szCs w:val="21"/>
        </w:rPr>
        <w:t>mm</w:t>
      </w:r>
      <w:r>
        <w:rPr>
          <w:rFonts w:hint="eastAsia"/>
          <w:sz w:val="21"/>
          <w:szCs w:val="21"/>
        </w:rPr>
        <w:t>）；</w:t>
      </w:r>
    </w:p>
    <w:p>
      <w:pPr>
        <w:spacing w:line="360" w:lineRule="auto"/>
        <w:ind w:firstLine="480" w:firstLineChars="200"/>
        <w:rPr>
          <w:sz w:val="21"/>
          <w:szCs w:val="21"/>
        </w:rPr>
      </w:pPr>
      <m:oMath>
        <m:sSub>
          <m:sSubPr>
            <m:ctrlPr>
              <w:rPr>
                <w:rFonts w:hint="default" w:ascii="Cambria Math" w:hAnsi="Cambria Math"/>
                <w:i/>
                <w:sz w:val="24"/>
              </w:rPr>
            </m:ctrlPr>
          </m:sSubPr>
          <m:e>
            <m:r>
              <m:rPr/>
              <w:rPr>
                <w:rFonts w:hint="default" w:ascii="Cambria Math" w:hAnsi="Cambria Math"/>
                <w:sz w:val="24"/>
              </w:rPr>
              <m:t>μ</m:t>
            </m:r>
            <m:ctrlPr>
              <w:rPr>
                <w:rFonts w:hint="default" w:ascii="Cambria Math" w:hAnsi="Cambria Math"/>
                <w:i/>
                <w:sz w:val="24"/>
              </w:rPr>
            </m:ctrlPr>
          </m:e>
          <m:sub>
            <m:r>
              <m:rPr/>
              <w:rPr>
                <w:rFonts w:hint="default" w:ascii="Cambria Math" w:hAnsi="Cambria Math"/>
                <w:sz w:val="24"/>
              </w:rPr>
              <m:t>c</m:t>
            </m:r>
            <m:ctrlPr>
              <w:rPr>
                <w:rFonts w:hint="default" w:ascii="Cambria Math" w:hAnsi="Cambria Math"/>
                <w:i/>
                <w:sz w:val="24"/>
              </w:rPr>
            </m:ctrlPr>
          </m:sub>
        </m:sSub>
      </m:oMath>
      <w:r>
        <w:rPr>
          <w:rFonts w:hint="eastAsia"/>
          <w:sz w:val="21"/>
          <w:szCs w:val="21"/>
        </w:rPr>
        <w:t>—每个测区的平均粗糙度（</w:t>
      </w:r>
      <w:r>
        <w:rPr>
          <w:sz w:val="21"/>
          <w:szCs w:val="21"/>
        </w:rPr>
        <w:t>mm</w:t>
      </w:r>
      <w:r>
        <w:rPr>
          <w:rFonts w:hint="eastAsia"/>
          <w:sz w:val="21"/>
          <w:szCs w:val="21"/>
        </w:rPr>
        <w:t>）；</w:t>
      </w:r>
    </w:p>
    <w:p>
      <w:pPr>
        <w:spacing w:line="360" w:lineRule="auto"/>
        <w:ind w:firstLine="480" w:firstLineChars="200"/>
        <w:rPr>
          <w:sz w:val="21"/>
          <w:szCs w:val="21"/>
        </w:rPr>
      </w:pPr>
      <m:oMath>
        <m:r>
          <m:rPr/>
          <w:rPr>
            <w:rFonts w:hint="default" w:ascii="Cambria Math" w:hAnsi="Cambria Math"/>
            <w:sz w:val="24"/>
          </w:rPr>
          <m:t>μ</m:t>
        </m:r>
      </m:oMath>
      <w:r>
        <w:rPr>
          <w:rFonts w:hint="eastAsia"/>
          <w:sz w:val="21"/>
          <w:szCs w:val="21"/>
        </w:rPr>
        <w:t>—预制叠合板表面粗糙度（</w:t>
      </w:r>
      <w:r>
        <w:rPr>
          <w:sz w:val="21"/>
          <w:szCs w:val="21"/>
        </w:rPr>
        <w:t>mm</w:t>
      </w:r>
      <w:r>
        <w:rPr>
          <w:rFonts w:hint="eastAsia"/>
          <w:sz w:val="21"/>
          <w:szCs w:val="21"/>
        </w:rPr>
        <w:t>）；</w:t>
      </w:r>
    </w:p>
    <w:p>
      <w:pPr>
        <w:spacing w:line="360" w:lineRule="auto"/>
        <w:ind w:firstLine="420" w:firstLineChars="200"/>
        <w:rPr>
          <w:sz w:val="21"/>
          <w:szCs w:val="21"/>
        </w:rPr>
      </w:pPr>
      <w:r>
        <w:rPr>
          <w:sz w:val="21"/>
          <w:szCs w:val="21"/>
        </w:rPr>
        <w:t>n—</w:t>
      </w:r>
      <w:r>
        <w:rPr>
          <w:rFonts w:hint="eastAsia"/>
          <w:sz w:val="21"/>
          <w:szCs w:val="21"/>
        </w:rPr>
        <w:t>每个测区中采集的点数；</w:t>
      </w:r>
    </w:p>
    <w:p>
      <w:pPr>
        <w:spacing w:line="360" w:lineRule="auto"/>
        <w:ind w:firstLine="420" w:firstLineChars="200"/>
      </w:pPr>
      <w:r>
        <w:rPr>
          <w:sz w:val="21"/>
          <w:szCs w:val="21"/>
        </w:rPr>
        <w:t>k—</w:t>
      </w:r>
      <w:r>
        <w:rPr>
          <w:rFonts w:hint="eastAsia"/>
          <w:sz w:val="21"/>
          <w:szCs w:val="21"/>
        </w:rPr>
        <w:t>总测区数。</w:t>
      </w:r>
    </w:p>
    <w:p>
      <w:pPr>
        <w:pStyle w:val="213"/>
        <w:numPr>
          <w:ilvl w:val="1"/>
          <w:numId w:val="0"/>
        </w:numPr>
        <w:ind w:leftChars="0"/>
      </w:pPr>
    </w:p>
    <w:p>
      <w:r>
        <w:br w:type="page"/>
      </w:r>
    </w:p>
    <w:p>
      <w:pPr>
        <w:pStyle w:val="78"/>
        <w:spacing w:before="78" w:after="156"/>
      </w:pPr>
    </w:p>
    <w:p>
      <w:pPr>
        <w:pStyle w:val="78"/>
        <w:numPr>
          <w:ilvl w:val="0"/>
          <w:numId w:val="0"/>
        </w:numPr>
        <w:spacing w:before="78" w:after="156"/>
        <w:ind w:leftChars="0"/>
        <w:jc w:val="center"/>
        <w:rPr>
          <w:rFonts w:hint="eastAsia"/>
          <w:bCs/>
        </w:rPr>
      </w:pPr>
      <w:bookmarkStart w:id="132" w:name="_Toc32084836"/>
      <w:bookmarkStart w:id="133" w:name="_Toc63589340"/>
      <w:r>
        <w:rPr>
          <w:rFonts w:hint="eastAsia"/>
        </w:rPr>
        <w:t>（规范性附录）</w:t>
      </w:r>
      <w:r>
        <w:br w:type="textWrapping"/>
      </w:r>
      <w:bookmarkEnd w:id="132"/>
      <w:bookmarkEnd w:id="133"/>
      <w:r>
        <w:rPr>
          <w:rFonts w:hint="eastAsia"/>
          <w:bCs/>
        </w:rPr>
        <w:t>预制构件生产质量资料核查记录</w:t>
      </w:r>
    </w:p>
    <w:tbl>
      <w:tblPr>
        <w:tblStyle w:val="28"/>
        <w:tblW w:w="8638" w:type="dxa"/>
        <w:tblInd w:w="53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8"/>
        <w:gridCol w:w="709"/>
        <w:gridCol w:w="2160"/>
        <w:gridCol w:w="2021"/>
        <w:gridCol w:w="720"/>
        <w:gridCol w:w="1147"/>
        <w:gridCol w:w="11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417" w:type="dxa"/>
            <w:gridSpan w:val="2"/>
            <w:noWrap w:val="0"/>
            <w:vAlign w:val="center"/>
          </w:tcPr>
          <w:p>
            <w:pPr>
              <w:spacing w:before="120" w:beforeLines="50"/>
              <w:jc w:val="center"/>
              <w:rPr>
                <w:szCs w:val="21"/>
              </w:rPr>
            </w:pPr>
            <w:r>
              <w:rPr>
                <w:rFonts w:hint="eastAsia"/>
                <w:szCs w:val="21"/>
              </w:rPr>
              <w:t>工程名称</w:t>
            </w:r>
          </w:p>
        </w:tc>
        <w:tc>
          <w:tcPr>
            <w:tcW w:w="2160" w:type="dxa"/>
            <w:noWrap w:val="0"/>
            <w:vAlign w:val="center"/>
          </w:tcPr>
          <w:p>
            <w:pPr>
              <w:spacing w:before="120" w:beforeLines="50"/>
              <w:jc w:val="center"/>
              <w:rPr>
                <w:szCs w:val="21"/>
              </w:rPr>
            </w:pPr>
          </w:p>
        </w:tc>
        <w:tc>
          <w:tcPr>
            <w:tcW w:w="2021" w:type="dxa"/>
            <w:noWrap w:val="0"/>
            <w:vAlign w:val="center"/>
          </w:tcPr>
          <w:p>
            <w:pPr>
              <w:spacing w:before="120" w:beforeLines="50"/>
              <w:jc w:val="center"/>
              <w:rPr>
                <w:szCs w:val="21"/>
              </w:rPr>
            </w:pPr>
            <w:r>
              <w:rPr>
                <w:rFonts w:hint="eastAsia"/>
                <w:szCs w:val="21"/>
              </w:rPr>
              <w:t>生产单位</w:t>
            </w:r>
          </w:p>
        </w:tc>
        <w:tc>
          <w:tcPr>
            <w:tcW w:w="3040" w:type="dxa"/>
            <w:gridSpan w:val="3"/>
            <w:noWrap w:val="0"/>
            <w:vAlign w:val="center"/>
          </w:tcPr>
          <w:p>
            <w:pPr>
              <w:spacing w:before="120" w:beforeLines="5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rFonts w:hint="eastAsia"/>
                <w:szCs w:val="21"/>
              </w:rPr>
              <w:t>序号</w:t>
            </w:r>
          </w:p>
        </w:tc>
        <w:tc>
          <w:tcPr>
            <w:tcW w:w="709" w:type="dxa"/>
            <w:noWrap w:val="0"/>
            <w:vAlign w:val="top"/>
          </w:tcPr>
          <w:p>
            <w:pPr>
              <w:spacing w:before="72" w:beforeLines="30"/>
              <w:ind w:left="-42" w:leftChars="-20" w:right="-42" w:rightChars="-20"/>
              <w:jc w:val="center"/>
              <w:rPr>
                <w:szCs w:val="21"/>
              </w:rPr>
            </w:pPr>
            <w:r>
              <w:rPr>
                <w:rFonts w:hint="eastAsia"/>
                <w:szCs w:val="21"/>
              </w:rPr>
              <w:t>项目</w:t>
            </w:r>
          </w:p>
        </w:tc>
        <w:tc>
          <w:tcPr>
            <w:tcW w:w="4181" w:type="dxa"/>
            <w:gridSpan w:val="2"/>
            <w:noWrap w:val="0"/>
            <w:vAlign w:val="top"/>
          </w:tcPr>
          <w:p>
            <w:pPr>
              <w:spacing w:before="72" w:beforeLines="30"/>
              <w:jc w:val="center"/>
              <w:rPr>
                <w:szCs w:val="21"/>
              </w:rPr>
            </w:pPr>
            <w:r>
              <w:rPr>
                <w:rFonts w:hint="eastAsia"/>
                <w:szCs w:val="21"/>
              </w:rPr>
              <w:t>资</w:t>
            </w:r>
            <w:r>
              <w:rPr>
                <w:szCs w:val="21"/>
              </w:rPr>
              <w:t xml:space="preserve">  </w:t>
            </w:r>
            <w:r>
              <w:rPr>
                <w:rFonts w:hint="eastAsia"/>
                <w:szCs w:val="21"/>
              </w:rPr>
              <w:t>料</w:t>
            </w:r>
            <w:r>
              <w:rPr>
                <w:szCs w:val="21"/>
              </w:rPr>
              <w:t xml:space="preserve">  </w:t>
            </w:r>
            <w:r>
              <w:rPr>
                <w:rFonts w:hint="eastAsia"/>
                <w:szCs w:val="21"/>
              </w:rPr>
              <w:t>名</w:t>
            </w:r>
            <w:r>
              <w:rPr>
                <w:szCs w:val="21"/>
              </w:rPr>
              <w:t xml:space="preserve">  </w:t>
            </w:r>
            <w:r>
              <w:rPr>
                <w:rFonts w:hint="eastAsia"/>
                <w:szCs w:val="21"/>
              </w:rPr>
              <w:t>称</w:t>
            </w:r>
          </w:p>
        </w:tc>
        <w:tc>
          <w:tcPr>
            <w:tcW w:w="720" w:type="dxa"/>
            <w:noWrap w:val="0"/>
            <w:vAlign w:val="top"/>
          </w:tcPr>
          <w:p>
            <w:pPr>
              <w:spacing w:before="72" w:beforeLines="30"/>
              <w:jc w:val="center"/>
              <w:rPr>
                <w:szCs w:val="21"/>
              </w:rPr>
            </w:pPr>
            <w:r>
              <w:rPr>
                <w:rFonts w:hint="eastAsia"/>
                <w:szCs w:val="21"/>
              </w:rPr>
              <w:t>份数</w:t>
            </w:r>
          </w:p>
        </w:tc>
        <w:tc>
          <w:tcPr>
            <w:tcW w:w="1147" w:type="dxa"/>
            <w:noWrap w:val="0"/>
            <w:vAlign w:val="top"/>
          </w:tcPr>
          <w:p>
            <w:pPr>
              <w:spacing w:before="72" w:beforeLines="30"/>
              <w:jc w:val="center"/>
              <w:rPr>
                <w:szCs w:val="21"/>
              </w:rPr>
            </w:pPr>
            <w:r>
              <w:rPr>
                <w:rFonts w:hint="eastAsia"/>
                <w:szCs w:val="21"/>
              </w:rPr>
              <w:t>检查意见</w:t>
            </w:r>
          </w:p>
        </w:tc>
        <w:tc>
          <w:tcPr>
            <w:tcW w:w="1173" w:type="dxa"/>
            <w:noWrap w:val="0"/>
            <w:vAlign w:val="top"/>
          </w:tcPr>
          <w:p>
            <w:pPr>
              <w:spacing w:before="72" w:beforeLines="30"/>
              <w:jc w:val="center"/>
              <w:rPr>
                <w:szCs w:val="21"/>
              </w:rPr>
            </w:pPr>
            <w:r>
              <w:rPr>
                <w:rFonts w:hint="eastAsia"/>
                <w:szCs w:val="21"/>
              </w:rPr>
              <w:t>核</w:t>
            </w:r>
            <w:r>
              <w:rPr>
                <w:szCs w:val="21"/>
              </w:rPr>
              <w:t xml:space="preserve"> </w:t>
            </w:r>
            <w:r>
              <w:rPr>
                <w:rFonts w:hint="eastAsia"/>
                <w:szCs w:val="21"/>
              </w:rPr>
              <w:t>查</w:t>
            </w:r>
            <w:r>
              <w:rPr>
                <w:szCs w:val="21"/>
              </w:rPr>
              <w:t xml:space="preserve"> </w:t>
            </w:r>
            <w:r>
              <w:rPr>
                <w:rFonts w:hint="eastAsia"/>
                <w:szCs w:val="21"/>
              </w:rPr>
              <w:t>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1</w:t>
            </w:r>
          </w:p>
        </w:tc>
        <w:tc>
          <w:tcPr>
            <w:tcW w:w="709" w:type="dxa"/>
            <w:vMerge w:val="restart"/>
            <w:noWrap w:val="0"/>
            <w:vAlign w:val="center"/>
          </w:tcPr>
          <w:p>
            <w:pPr>
              <w:spacing w:before="72" w:beforeLines="30"/>
              <w:rPr>
                <w:szCs w:val="21"/>
              </w:rPr>
            </w:pPr>
            <w:r>
              <w:rPr>
                <w:rFonts w:hint="eastAsia"/>
                <w:szCs w:val="21"/>
              </w:rPr>
              <w:t>设计</w:t>
            </w:r>
          </w:p>
        </w:tc>
        <w:tc>
          <w:tcPr>
            <w:tcW w:w="4181" w:type="dxa"/>
            <w:gridSpan w:val="2"/>
            <w:noWrap w:val="0"/>
            <w:vAlign w:val="top"/>
          </w:tcPr>
          <w:p>
            <w:pPr>
              <w:spacing w:before="72" w:beforeLines="30"/>
              <w:jc w:val="left"/>
              <w:rPr>
                <w:szCs w:val="21"/>
              </w:rPr>
            </w:pPr>
            <w:r>
              <w:rPr>
                <w:rFonts w:hint="eastAsia"/>
                <w:szCs w:val="21"/>
              </w:rPr>
              <w:t>施工图设计文件</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restart"/>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2</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rPr>
              <w:t>混凝土构件加工图</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3</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rPr>
              <w:t>设计变更或交底文件</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1</w:t>
            </w:r>
          </w:p>
        </w:tc>
        <w:tc>
          <w:tcPr>
            <w:tcW w:w="709" w:type="dxa"/>
            <w:vMerge w:val="restart"/>
            <w:noWrap w:val="0"/>
            <w:vAlign w:val="center"/>
          </w:tcPr>
          <w:p>
            <w:pPr>
              <w:spacing w:before="72" w:beforeLines="30"/>
              <w:jc w:val="center"/>
              <w:rPr>
                <w:szCs w:val="21"/>
              </w:rPr>
            </w:pPr>
            <w:r>
              <w:rPr>
                <w:rFonts w:hint="eastAsia"/>
                <w:szCs w:val="21"/>
              </w:rPr>
              <w:t>管理</w:t>
            </w:r>
          </w:p>
        </w:tc>
        <w:tc>
          <w:tcPr>
            <w:tcW w:w="4181" w:type="dxa"/>
            <w:gridSpan w:val="2"/>
            <w:noWrap w:val="0"/>
            <w:vAlign w:val="top"/>
          </w:tcPr>
          <w:p>
            <w:pPr>
              <w:spacing w:before="72" w:beforeLines="30"/>
              <w:jc w:val="left"/>
              <w:rPr>
                <w:szCs w:val="21"/>
              </w:rPr>
            </w:pPr>
            <w:r>
              <w:rPr>
                <w:rFonts w:hint="eastAsia"/>
                <w:szCs w:val="21"/>
              </w:rPr>
              <w:t>生产方案</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2</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rPr>
              <w:t>质量计划</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708" w:type="dxa"/>
            <w:noWrap w:val="0"/>
            <w:vAlign w:val="top"/>
          </w:tcPr>
          <w:p>
            <w:pPr>
              <w:spacing w:before="72" w:beforeLines="30"/>
              <w:jc w:val="center"/>
              <w:rPr>
                <w:szCs w:val="21"/>
              </w:rPr>
            </w:pPr>
            <w:r>
              <w:rPr>
                <w:szCs w:val="21"/>
              </w:rPr>
              <w:t>1</w:t>
            </w:r>
          </w:p>
        </w:tc>
        <w:tc>
          <w:tcPr>
            <w:tcW w:w="709" w:type="dxa"/>
            <w:vMerge w:val="restart"/>
            <w:noWrap w:val="0"/>
            <w:vAlign w:val="center"/>
          </w:tcPr>
          <w:p>
            <w:pPr>
              <w:spacing w:before="72" w:beforeLines="30"/>
              <w:jc w:val="center"/>
              <w:rPr>
                <w:szCs w:val="21"/>
              </w:rPr>
            </w:pPr>
            <w:r>
              <w:rPr>
                <w:rFonts w:hint="eastAsia"/>
              </w:rPr>
              <w:t>原材</w:t>
            </w:r>
          </w:p>
          <w:p>
            <w:pPr>
              <w:spacing w:before="72" w:beforeLines="30"/>
              <w:jc w:val="center"/>
              <w:rPr>
                <w:szCs w:val="21"/>
              </w:rPr>
            </w:pPr>
            <w:r>
              <w:rPr>
                <w:rFonts w:hint="eastAsia"/>
              </w:rPr>
              <w:t>料</w:t>
            </w:r>
          </w:p>
        </w:tc>
        <w:tc>
          <w:tcPr>
            <w:tcW w:w="4181" w:type="dxa"/>
            <w:gridSpan w:val="2"/>
            <w:noWrap w:val="0"/>
            <w:vAlign w:val="top"/>
          </w:tcPr>
          <w:p>
            <w:pPr>
              <w:spacing w:before="72" w:beforeLines="30"/>
              <w:jc w:val="left"/>
              <w:rPr>
                <w:szCs w:val="21"/>
              </w:rPr>
            </w:pPr>
            <w:r>
              <w:rPr>
                <w:rFonts w:hint="eastAsia"/>
                <w:szCs w:val="21"/>
              </w:rPr>
              <w:t>钢筋质保书与复试或</w:t>
            </w:r>
            <w:r>
              <w:rPr>
                <w:rFonts w:hint="eastAsia"/>
              </w:rPr>
              <w:t>试验报告</w:t>
            </w:r>
          </w:p>
        </w:tc>
        <w:tc>
          <w:tcPr>
            <w:tcW w:w="720" w:type="dxa"/>
            <w:vMerge w:val="restart"/>
            <w:noWrap w:val="0"/>
            <w:vAlign w:val="top"/>
          </w:tcPr>
          <w:p>
            <w:pPr>
              <w:spacing w:before="72" w:beforeLines="30"/>
              <w:jc w:val="center"/>
              <w:rPr>
                <w:szCs w:val="21"/>
              </w:rPr>
            </w:pPr>
          </w:p>
        </w:tc>
        <w:tc>
          <w:tcPr>
            <w:tcW w:w="1147" w:type="dxa"/>
            <w:vMerge w:val="restart"/>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08" w:type="dxa"/>
            <w:noWrap w:val="0"/>
            <w:vAlign w:val="top"/>
          </w:tcPr>
          <w:p>
            <w:pPr>
              <w:spacing w:before="72" w:beforeLines="30"/>
              <w:jc w:val="center"/>
              <w:rPr>
                <w:szCs w:val="21"/>
              </w:rPr>
            </w:pPr>
            <w:r>
              <w:rPr>
                <w:szCs w:val="21"/>
              </w:rPr>
              <w:t>2</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lang w:val="en-US" w:eastAsia="zh-CN"/>
              </w:rPr>
              <w:t>预应力材料</w:t>
            </w:r>
            <w:r>
              <w:rPr>
                <w:rFonts w:hint="eastAsia"/>
                <w:szCs w:val="21"/>
              </w:rPr>
              <w:t>质保书与复试或</w:t>
            </w:r>
            <w:r>
              <w:rPr>
                <w:rFonts w:hint="eastAsia"/>
              </w:rPr>
              <w:t>试验报告</w:t>
            </w:r>
          </w:p>
        </w:tc>
        <w:tc>
          <w:tcPr>
            <w:tcW w:w="720" w:type="dxa"/>
            <w:vMerge w:val="continue"/>
            <w:noWrap w:val="0"/>
            <w:vAlign w:val="top"/>
          </w:tcPr>
          <w:p>
            <w:pPr>
              <w:spacing w:before="72" w:beforeLines="30"/>
              <w:jc w:val="center"/>
              <w:rPr>
                <w:szCs w:val="21"/>
              </w:rPr>
            </w:pPr>
          </w:p>
        </w:tc>
        <w:tc>
          <w:tcPr>
            <w:tcW w:w="1147" w:type="dxa"/>
            <w:vMerge w:val="continue"/>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3</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rPr>
              <w:t>连接</w:t>
            </w:r>
            <w:r>
              <w:rPr>
                <w:rFonts w:hint="eastAsia"/>
                <w:szCs w:val="21"/>
                <w:lang w:val="en-US" w:eastAsia="zh-CN"/>
              </w:rPr>
              <w:t>件材料</w:t>
            </w:r>
            <w:r>
              <w:rPr>
                <w:rFonts w:hint="eastAsia"/>
                <w:szCs w:val="21"/>
              </w:rPr>
              <w:t>质保书与复试或</w:t>
            </w:r>
            <w:r>
              <w:rPr>
                <w:rFonts w:hint="eastAsia"/>
              </w:rPr>
              <w:t>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4</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lang w:val="en-US" w:eastAsia="zh-CN"/>
              </w:rPr>
              <w:t>预埋件材料</w:t>
            </w:r>
            <w:r>
              <w:rPr>
                <w:rFonts w:hint="eastAsia"/>
                <w:szCs w:val="21"/>
              </w:rPr>
              <w:t>质保书或</w:t>
            </w:r>
            <w:r>
              <w:rPr>
                <w:rFonts w:hint="eastAsia"/>
              </w:rPr>
              <w:t>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1</w:t>
            </w:r>
          </w:p>
        </w:tc>
        <w:tc>
          <w:tcPr>
            <w:tcW w:w="709" w:type="dxa"/>
            <w:vMerge w:val="restart"/>
            <w:noWrap w:val="0"/>
            <w:vAlign w:val="center"/>
          </w:tcPr>
          <w:p>
            <w:pPr>
              <w:spacing w:before="72" w:beforeLines="30"/>
              <w:jc w:val="center"/>
              <w:rPr>
                <w:szCs w:val="21"/>
              </w:rPr>
            </w:pPr>
            <w:r>
              <w:rPr>
                <w:rFonts w:hint="eastAsia"/>
              </w:rPr>
              <w:t>混凝土</w:t>
            </w:r>
          </w:p>
          <w:p>
            <w:pPr>
              <w:spacing w:before="120" w:beforeLines="50"/>
              <w:jc w:val="center"/>
              <w:rPr>
                <w:szCs w:val="21"/>
              </w:rPr>
            </w:pPr>
          </w:p>
        </w:tc>
        <w:tc>
          <w:tcPr>
            <w:tcW w:w="4181" w:type="dxa"/>
            <w:gridSpan w:val="2"/>
            <w:noWrap w:val="0"/>
            <w:vAlign w:val="top"/>
          </w:tcPr>
          <w:p>
            <w:pPr>
              <w:spacing w:before="72" w:beforeLines="30"/>
              <w:jc w:val="left"/>
              <w:rPr>
                <w:spacing w:val="-10"/>
                <w:szCs w:val="21"/>
              </w:rPr>
            </w:pPr>
            <w:r>
              <w:rPr>
                <w:rFonts w:hint="eastAsia"/>
                <w:spacing w:val="-10"/>
                <w:szCs w:val="21"/>
              </w:rPr>
              <w:t>水泥</w:t>
            </w:r>
            <w:r>
              <w:rPr>
                <w:rFonts w:hint="eastAsia"/>
                <w:szCs w:val="21"/>
              </w:rPr>
              <w:t>质保书与复试或</w:t>
            </w:r>
            <w:r>
              <w:rPr>
                <w:rFonts w:hint="eastAsia"/>
              </w:rPr>
              <w:t>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restart"/>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2</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rPr>
              <w:t>外加剂质保书与复试或</w:t>
            </w:r>
            <w:r>
              <w:rPr>
                <w:rFonts w:hint="eastAsia"/>
              </w:rPr>
              <w:t>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3</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szCs w:val="21"/>
              </w:rPr>
              <w:t>粗、细骨料质保书或</w:t>
            </w:r>
            <w:r>
              <w:rPr>
                <w:rFonts w:hint="eastAsia"/>
              </w:rPr>
              <w:t>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4</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rFonts w:hint="eastAsia"/>
              </w:rPr>
            </w:pPr>
            <w:r>
              <w:rPr>
                <w:rFonts w:hint="eastAsia"/>
              </w:rPr>
              <w:t>掺和料质保书与复试或试验报告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5</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rFonts w:hint="default"/>
                <w:lang w:val="en-US" w:eastAsia="zh-CN"/>
              </w:rPr>
            </w:pPr>
            <w:r>
              <w:rPr>
                <w:rFonts w:hint="eastAsia"/>
                <w:lang w:val="en-US" w:eastAsia="zh-CN"/>
              </w:rPr>
              <w:t>预拌混凝土质量证明文件及抽检报告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6</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rFonts w:hint="eastAsia"/>
                <w:lang w:val="en-US" w:eastAsia="zh-CN"/>
              </w:rPr>
            </w:pPr>
            <w:r>
              <w:rPr>
                <w:rFonts w:hint="eastAsia"/>
              </w:rPr>
              <w:t>混凝土配合比通知单</w:t>
            </w:r>
            <w:r>
              <w:rPr>
                <w:rFonts w:hint="eastAsia"/>
                <w:lang w:val="en-US" w:eastAsia="zh-CN"/>
              </w:rPr>
              <w:t>及</w:t>
            </w:r>
            <w:r>
              <w:rPr>
                <w:rFonts w:hint="eastAsia"/>
              </w:rPr>
              <w:t>混凝土开盘鉴定资料</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rFonts w:hint="eastAsia" w:eastAsia="宋体"/>
                <w:szCs w:val="21"/>
                <w:lang w:val="en-US" w:eastAsia="zh-CN"/>
              </w:rPr>
            </w:pPr>
            <w:r>
              <w:rPr>
                <w:rFonts w:hint="eastAsia"/>
                <w:szCs w:val="21"/>
                <w:lang w:val="en-US" w:eastAsia="zh-CN"/>
              </w:rPr>
              <w:t>7</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rFonts w:hint="eastAsia"/>
              </w:rPr>
            </w:pPr>
            <w:r>
              <w:rPr>
                <w:rFonts w:hint="eastAsia"/>
              </w:rPr>
              <w:t>混凝土强度报告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1</w:t>
            </w:r>
          </w:p>
        </w:tc>
        <w:tc>
          <w:tcPr>
            <w:tcW w:w="709" w:type="dxa"/>
            <w:vMerge w:val="restart"/>
            <w:noWrap w:val="0"/>
            <w:vAlign w:val="center"/>
          </w:tcPr>
          <w:p>
            <w:pPr>
              <w:spacing w:before="120" w:beforeLines="50"/>
              <w:rPr>
                <w:szCs w:val="21"/>
              </w:rPr>
            </w:pPr>
            <w:r>
              <w:rPr>
                <w:rFonts w:hint="eastAsia"/>
              </w:rPr>
              <w:t>过程检验</w:t>
            </w:r>
          </w:p>
        </w:tc>
        <w:tc>
          <w:tcPr>
            <w:tcW w:w="4181" w:type="dxa"/>
            <w:gridSpan w:val="2"/>
            <w:noWrap w:val="0"/>
            <w:vAlign w:val="top"/>
          </w:tcPr>
          <w:p>
            <w:pPr>
              <w:spacing w:before="72" w:beforeLines="30"/>
              <w:jc w:val="left"/>
              <w:rPr>
                <w:rFonts w:hint="eastAsia"/>
              </w:rPr>
            </w:pPr>
            <w:r>
              <w:rPr>
                <w:rFonts w:hint="eastAsia"/>
              </w:rPr>
              <w:t>钢筋机械连接接头试验报告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restart"/>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2</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rFonts w:hint="eastAsia"/>
              </w:rPr>
            </w:pPr>
            <w:r>
              <w:rPr>
                <w:rFonts w:hint="eastAsia"/>
              </w:rPr>
              <w:t>钢筋焊接连接接头试验报告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3</w:t>
            </w:r>
          </w:p>
        </w:tc>
        <w:tc>
          <w:tcPr>
            <w:tcW w:w="709" w:type="dxa"/>
            <w:vMerge w:val="continue"/>
            <w:noWrap w:val="0"/>
            <w:vAlign w:val="center"/>
          </w:tcPr>
          <w:p>
            <w:pPr>
              <w:spacing w:before="72" w:beforeLines="30"/>
              <w:jc w:val="center"/>
              <w:rPr>
                <w:szCs w:val="21"/>
              </w:rPr>
            </w:pPr>
          </w:p>
        </w:tc>
        <w:tc>
          <w:tcPr>
            <w:tcW w:w="4181" w:type="dxa"/>
            <w:gridSpan w:val="2"/>
            <w:noWrap w:val="0"/>
            <w:vAlign w:val="top"/>
          </w:tcPr>
          <w:p>
            <w:pPr>
              <w:spacing w:before="72" w:beforeLines="30"/>
              <w:jc w:val="left"/>
              <w:rPr>
                <w:rFonts w:hint="default"/>
                <w:lang w:val="en-US" w:eastAsia="zh-CN"/>
              </w:rPr>
            </w:pPr>
            <w:r>
              <w:rPr>
                <w:rFonts w:hint="eastAsia"/>
              </w:rPr>
              <w:t>套筒</w:t>
            </w:r>
            <w:r>
              <w:rPr>
                <w:rFonts w:hint="eastAsia"/>
                <w:lang w:val="en-US" w:eastAsia="zh-CN"/>
              </w:rPr>
              <w:t>与匹配灌浆料的抗拉强度试验报告</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 w:hRule="atLeast"/>
        </w:trPr>
        <w:tc>
          <w:tcPr>
            <w:tcW w:w="708" w:type="dxa"/>
            <w:noWrap w:val="0"/>
            <w:vAlign w:val="top"/>
          </w:tcPr>
          <w:p>
            <w:pPr>
              <w:spacing w:before="72" w:beforeLines="30"/>
              <w:jc w:val="center"/>
              <w:rPr>
                <w:szCs w:val="21"/>
              </w:rPr>
            </w:pPr>
            <w:r>
              <w:rPr>
                <w:szCs w:val="21"/>
              </w:rPr>
              <w:t>1</w:t>
            </w:r>
          </w:p>
        </w:tc>
        <w:tc>
          <w:tcPr>
            <w:tcW w:w="709" w:type="dxa"/>
            <w:vMerge w:val="restart"/>
            <w:noWrap w:val="0"/>
            <w:vAlign w:val="center"/>
          </w:tcPr>
          <w:p>
            <w:pPr>
              <w:spacing w:before="72" w:beforeLines="30"/>
              <w:jc w:val="center"/>
              <w:rPr>
                <w:szCs w:val="21"/>
              </w:rPr>
            </w:pPr>
            <w:r>
              <w:rPr>
                <w:rFonts w:hint="eastAsia"/>
              </w:rPr>
              <w:t>生产</w:t>
            </w:r>
          </w:p>
          <w:p>
            <w:pPr>
              <w:spacing w:before="72" w:beforeLines="30"/>
              <w:jc w:val="center"/>
              <w:rPr>
                <w:szCs w:val="21"/>
              </w:rPr>
            </w:pPr>
            <w:r>
              <w:rPr>
                <w:rFonts w:hint="eastAsia"/>
              </w:rPr>
              <w:t>验收</w:t>
            </w:r>
          </w:p>
        </w:tc>
        <w:tc>
          <w:tcPr>
            <w:tcW w:w="4181" w:type="dxa"/>
            <w:gridSpan w:val="2"/>
            <w:noWrap w:val="0"/>
            <w:vAlign w:val="top"/>
          </w:tcPr>
          <w:p>
            <w:pPr>
              <w:spacing w:before="72" w:beforeLines="30"/>
              <w:jc w:val="left"/>
              <w:rPr>
                <w:szCs w:val="21"/>
              </w:rPr>
            </w:pPr>
            <w:r>
              <w:rPr>
                <w:rFonts w:hint="eastAsia"/>
              </w:rPr>
              <w:t>模具检验资料</w:t>
            </w:r>
          </w:p>
        </w:tc>
        <w:tc>
          <w:tcPr>
            <w:tcW w:w="720" w:type="dxa"/>
            <w:vMerge w:val="restart"/>
            <w:noWrap w:val="0"/>
            <w:vAlign w:val="top"/>
          </w:tcPr>
          <w:p>
            <w:pPr>
              <w:spacing w:before="72" w:beforeLines="30"/>
              <w:jc w:val="center"/>
              <w:rPr>
                <w:szCs w:val="21"/>
              </w:rPr>
            </w:pPr>
          </w:p>
        </w:tc>
        <w:tc>
          <w:tcPr>
            <w:tcW w:w="1147" w:type="dxa"/>
            <w:vMerge w:val="restart"/>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708" w:type="dxa"/>
            <w:noWrap w:val="0"/>
            <w:vAlign w:val="top"/>
          </w:tcPr>
          <w:p>
            <w:pPr>
              <w:spacing w:before="72" w:beforeLines="30"/>
              <w:jc w:val="center"/>
              <w:rPr>
                <w:szCs w:val="21"/>
              </w:rPr>
            </w:pPr>
            <w:r>
              <w:rPr>
                <w:szCs w:val="21"/>
              </w:rPr>
              <w:t>2</w:t>
            </w:r>
          </w:p>
        </w:tc>
        <w:tc>
          <w:tcPr>
            <w:tcW w:w="709" w:type="dxa"/>
            <w:vMerge w:val="continue"/>
            <w:noWrap w:val="0"/>
            <w:vAlign w:val="top"/>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rPr>
              <w:t>隐蔽验收记录</w:t>
            </w:r>
          </w:p>
        </w:tc>
        <w:tc>
          <w:tcPr>
            <w:tcW w:w="720" w:type="dxa"/>
            <w:vMerge w:val="continue"/>
            <w:noWrap w:val="0"/>
            <w:vAlign w:val="top"/>
          </w:tcPr>
          <w:p>
            <w:pPr>
              <w:spacing w:before="72" w:beforeLines="30"/>
              <w:jc w:val="center"/>
              <w:rPr>
                <w:szCs w:val="21"/>
              </w:rPr>
            </w:pPr>
          </w:p>
        </w:tc>
        <w:tc>
          <w:tcPr>
            <w:tcW w:w="1147" w:type="dxa"/>
            <w:vMerge w:val="continue"/>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3</w:t>
            </w:r>
          </w:p>
        </w:tc>
        <w:tc>
          <w:tcPr>
            <w:tcW w:w="709" w:type="dxa"/>
            <w:vMerge w:val="continue"/>
            <w:noWrap w:val="0"/>
            <w:vAlign w:val="top"/>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rPr>
              <w:t>预应力施工记录</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4</w:t>
            </w:r>
          </w:p>
        </w:tc>
        <w:tc>
          <w:tcPr>
            <w:tcW w:w="709" w:type="dxa"/>
            <w:vMerge w:val="continue"/>
            <w:noWrap w:val="0"/>
            <w:vAlign w:val="top"/>
          </w:tcPr>
          <w:p>
            <w:pPr>
              <w:spacing w:before="72" w:beforeLines="30"/>
              <w:jc w:val="center"/>
              <w:rPr>
                <w:szCs w:val="21"/>
              </w:rPr>
            </w:pPr>
          </w:p>
        </w:tc>
        <w:tc>
          <w:tcPr>
            <w:tcW w:w="4181" w:type="dxa"/>
            <w:gridSpan w:val="2"/>
            <w:noWrap w:val="0"/>
            <w:vAlign w:val="top"/>
          </w:tcPr>
          <w:p>
            <w:pPr>
              <w:spacing w:before="72" w:beforeLines="30"/>
              <w:jc w:val="left"/>
            </w:pPr>
            <w:r>
              <w:rPr>
                <w:rFonts w:hint="eastAsia"/>
              </w:rPr>
              <w:t>混凝土浇筑记录</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5</w:t>
            </w:r>
          </w:p>
        </w:tc>
        <w:tc>
          <w:tcPr>
            <w:tcW w:w="709" w:type="dxa"/>
            <w:vMerge w:val="continue"/>
            <w:noWrap w:val="0"/>
            <w:vAlign w:val="top"/>
          </w:tcPr>
          <w:p>
            <w:pPr>
              <w:spacing w:before="72" w:beforeLines="30"/>
              <w:jc w:val="center"/>
              <w:rPr>
                <w:szCs w:val="21"/>
              </w:rPr>
            </w:pPr>
          </w:p>
        </w:tc>
        <w:tc>
          <w:tcPr>
            <w:tcW w:w="4181" w:type="dxa"/>
            <w:gridSpan w:val="2"/>
            <w:noWrap w:val="0"/>
            <w:vAlign w:val="top"/>
          </w:tcPr>
          <w:p>
            <w:pPr>
              <w:spacing w:before="72" w:beforeLines="30"/>
              <w:jc w:val="left"/>
            </w:pPr>
            <w:r>
              <w:rPr>
                <w:rFonts w:hint="eastAsia"/>
              </w:rPr>
              <w:t>混凝土养护记录</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6</w:t>
            </w:r>
          </w:p>
        </w:tc>
        <w:tc>
          <w:tcPr>
            <w:tcW w:w="709" w:type="dxa"/>
            <w:vMerge w:val="continue"/>
            <w:noWrap w:val="0"/>
            <w:vAlign w:val="top"/>
          </w:tcPr>
          <w:p>
            <w:pPr>
              <w:spacing w:before="72" w:beforeLines="30"/>
              <w:jc w:val="center"/>
              <w:rPr>
                <w:szCs w:val="21"/>
              </w:rPr>
            </w:pPr>
          </w:p>
        </w:tc>
        <w:tc>
          <w:tcPr>
            <w:tcW w:w="4181" w:type="dxa"/>
            <w:gridSpan w:val="2"/>
            <w:noWrap w:val="0"/>
            <w:vAlign w:val="top"/>
          </w:tcPr>
          <w:p>
            <w:pPr>
              <w:spacing w:before="72" w:beforeLines="30"/>
              <w:jc w:val="left"/>
            </w:pPr>
            <w:r>
              <w:rPr>
                <w:rFonts w:hint="eastAsia"/>
              </w:rPr>
              <w:t>构件检验记录</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7</w:t>
            </w:r>
          </w:p>
        </w:tc>
        <w:tc>
          <w:tcPr>
            <w:tcW w:w="709" w:type="dxa"/>
            <w:vMerge w:val="continue"/>
            <w:noWrap w:val="0"/>
            <w:vAlign w:val="top"/>
          </w:tcPr>
          <w:p>
            <w:pPr>
              <w:spacing w:before="72" w:beforeLines="30"/>
              <w:jc w:val="center"/>
              <w:rPr>
                <w:szCs w:val="21"/>
              </w:rPr>
            </w:pPr>
          </w:p>
        </w:tc>
        <w:tc>
          <w:tcPr>
            <w:tcW w:w="4181" w:type="dxa"/>
            <w:gridSpan w:val="2"/>
            <w:noWrap w:val="0"/>
            <w:vAlign w:val="top"/>
          </w:tcPr>
          <w:p>
            <w:pPr>
              <w:spacing w:before="72" w:beforeLines="30"/>
              <w:jc w:val="left"/>
              <w:rPr>
                <w:szCs w:val="21"/>
              </w:rPr>
            </w:pPr>
            <w:r>
              <w:rPr>
                <w:rFonts w:hint="eastAsia"/>
              </w:rPr>
              <w:t>构件出厂合格证</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rFonts w:hint="eastAsia"/>
                <w:szCs w:val="21"/>
              </w:rPr>
              <w:t>8</w:t>
            </w:r>
          </w:p>
        </w:tc>
        <w:tc>
          <w:tcPr>
            <w:tcW w:w="709" w:type="dxa"/>
            <w:vMerge w:val="continue"/>
            <w:noWrap w:val="0"/>
            <w:vAlign w:val="top"/>
          </w:tcPr>
          <w:p>
            <w:pPr>
              <w:spacing w:before="72" w:beforeLines="30"/>
              <w:jc w:val="center"/>
              <w:rPr>
                <w:szCs w:val="21"/>
              </w:rPr>
            </w:pPr>
          </w:p>
        </w:tc>
        <w:tc>
          <w:tcPr>
            <w:tcW w:w="4181" w:type="dxa"/>
            <w:gridSpan w:val="2"/>
            <w:noWrap w:val="0"/>
            <w:vAlign w:val="top"/>
          </w:tcPr>
          <w:p>
            <w:pPr>
              <w:spacing w:before="72" w:beforeLines="30"/>
              <w:jc w:val="left"/>
            </w:pPr>
            <w:r>
              <w:rPr>
                <w:rFonts w:hint="eastAsia"/>
              </w:rPr>
              <w:t>构件性能检测报告等</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vMerge w:val="continue"/>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1</w:t>
            </w:r>
          </w:p>
        </w:tc>
        <w:tc>
          <w:tcPr>
            <w:tcW w:w="4890" w:type="dxa"/>
            <w:gridSpan w:val="3"/>
            <w:noWrap w:val="0"/>
            <w:vAlign w:val="top"/>
          </w:tcPr>
          <w:p>
            <w:pPr>
              <w:spacing w:before="72" w:beforeLines="30"/>
              <w:jc w:val="left"/>
            </w:pPr>
            <w:r>
              <w:rPr>
                <w:rFonts w:hint="eastAsia"/>
              </w:rPr>
              <w:t>质量问题、质量事故的分析和处理资料</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08" w:type="dxa"/>
            <w:noWrap w:val="0"/>
            <w:vAlign w:val="top"/>
          </w:tcPr>
          <w:p>
            <w:pPr>
              <w:spacing w:before="72" w:beforeLines="30"/>
              <w:jc w:val="center"/>
              <w:rPr>
                <w:szCs w:val="21"/>
              </w:rPr>
            </w:pPr>
            <w:r>
              <w:rPr>
                <w:szCs w:val="21"/>
              </w:rPr>
              <w:t>2</w:t>
            </w:r>
          </w:p>
        </w:tc>
        <w:tc>
          <w:tcPr>
            <w:tcW w:w="4890" w:type="dxa"/>
            <w:gridSpan w:val="3"/>
            <w:noWrap w:val="0"/>
            <w:vAlign w:val="top"/>
          </w:tcPr>
          <w:p>
            <w:pPr>
              <w:spacing w:before="72" w:beforeLines="30"/>
              <w:jc w:val="left"/>
            </w:pPr>
            <w:r>
              <w:rPr>
                <w:rFonts w:hint="eastAsia"/>
              </w:rPr>
              <w:t>其他与部品部件生产和质量有关的资料</w:t>
            </w:r>
          </w:p>
        </w:tc>
        <w:tc>
          <w:tcPr>
            <w:tcW w:w="720" w:type="dxa"/>
            <w:noWrap w:val="0"/>
            <w:vAlign w:val="top"/>
          </w:tcPr>
          <w:p>
            <w:pPr>
              <w:spacing w:before="72" w:beforeLines="30"/>
              <w:jc w:val="center"/>
              <w:rPr>
                <w:szCs w:val="21"/>
              </w:rPr>
            </w:pPr>
          </w:p>
        </w:tc>
        <w:tc>
          <w:tcPr>
            <w:tcW w:w="1147" w:type="dxa"/>
            <w:noWrap w:val="0"/>
            <w:vAlign w:val="top"/>
          </w:tcPr>
          <w:p>
            <w:pPr>
              <w:spacing w:before="72" w:beforeLines="30"/>
              <w:jc w:val="center"/>
              <w:rPr>
                <w:szCs w:val="21"/>
              </w:rPr>
            </w:pPr>
          </w:p>
        </w:tc>
        <w:tc>
          <w:tcPr>
            <w:tcW w:w="1173" w:type="dxa"/>
            <w:noWrap w:val="0"/>
            <w:vAlign w:val="top"/>
          </w:tcPr>
          <w:p>
            <w:pPr>
              <w:spacing w:before="72" w:beforeLines="3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8638" w:type="dxa"/>
            <w:gridSpan w:val="7"/>
            <w:noWrap w:val="0"/>
            <w:vAlign w:val="top"/>
          </w:tcPr>
          <w:p>
            <w:pPr>
              <w:ind w:right="357"/>
              <w:jc w:val="left"/>
              <w:rPr>
                <w:szCs w:val="21"/>
              </w:rPr>
            </w:pPr>
            <w:r>
              <w:rPr>
                <w:rFonts w:hint="eastAsia"/>
                <w:szCs w:val="21"/>
              </w:rPr>
              <w:t>结论：</w:t>
            </w:r>
            <w:r>
              <w:rPr>
                <w:szCs w:val="21"/>
              </w:rPr>
              <w:t xml:space="preserve">               </w:t>
            </w:r>
          </w:p>
          <w:p>
            <w:pPr>
              <w:spacing w:after="120" w:afterLines="50"/>
              <w:ind w:right="357"/>
              <w:jc w:val="left"/>
              <w:rPr>
                <w:szCs w:val="21"/>
              </w:rPr>
            </w:pPr>
            <w:r>
              <w:rPr>
                <w:rFonts w:hint="eastAsia"/>
                <w:szCs w:val="21"/>
              </w:rPr>
              <w:t>生产单位质量技术负责：</w:t>
            </w:r>
            <w:r>
              <w:rPr>
                <w:szCs w:val="21"/>
              </w:rPr>
              <w:t xml:space="preserve">      </w:t>
            </w:r>
            <w:r>
              <w:rPr>
                <w:rFonts w:hint="eastAsia"/>
                <w:szCs w:val="21"/>
              </w:rPr>
              <w:t>合同委托单位项目负责：</w:t>
            </w:r>
            <w:r>
              <w:rPr>
                <w:szCs w:val="21"/>
              </w:rPr>
              <w:t xml:space="preserve">     </w:t>
            </w:r>
            <w:r>
              <w:rPr>
                <w:rFonts w:hint="eastAsia"/>
                <w:szCs w:val="21"/>
              </w:rPr>
              <w:t>监理单位项目负责：</w:t>
            </w:r>
            <w:r>
              <w:rPr>
                <w:szCs w:val="21"/>
              </w:rPr>
              <w:t xml:space="preserve">                                     </w:t>
            </w:r>
            <w:r>
              <w:rPr>
                <w:rFonts w:hint="eastAsia"/>
                <w:szCs w:val="21"/>
              </w:rPr>
              <w:t>（生产单位公章）</w:t>
            </w:r>
            <w:r>
              <w:rPr>
                <w:szCs w:val="21"/>
              </w:rPr>
              <w:t xml:space="preserve">           </w:t>
            </w:r>
            <w:r>
              <w:rPr>
                <w:rFonts w:hint="eastAsia"/>
                <w:szCs w:val="21"/>
              </w:rPr>
              <w:t>（合同委托单位公章）</w:t>
            </w:r>
            <w:r>
              <w:rPr>
                <w:szCs w:val="21"/>
              </w:rPr>
              <w:t xml:space="preserve">       </w:t>
            </w:r>
            <w:r>
              <w:rPr>
                <w:rFonts w:hint="eastAsia"/>
                <w:szCs w:val="21"/>
              </w:rPr>
              <w:t>（监理单位项目公章）</w:t>
            </w:r>
          </w:p>
          <w:p>
            <w:pPr>
              <w:spacing w:before="72" w:beforeLines="30"/>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pPr>
        <w:pStyle w:val="58"/>
      </w:pPr>
    </w:p>
    <w:bookmarkEnd w:id="112"/>
    <w:p/>
    <w:sectPr>
      <w:pgSz w:w="11906" w:h="16838"/>
      <w:pgMar w:top="567"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83" w:usb1="288F0000" w:usb2="0000000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DB32/XXXXX—XXXX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pPr>
    <w:r>
      <w:fldChar w:fldCharType="begin"/>
    </w:r>
    <w:r>
      <w:instrText xml:space="preserve"> STYLEREF  标准文件_文件编号  \* MERGEFORMAT </w:instrText>
    </w:r>
    <w:r>
      <w:fldChar w:fldCharType="separate"/>
    </w:r>
    <w:r>
      <w:t>DB32/XXXXX—XXXX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x1lBxwIjK3dsGX3P9OkSQ20/4SCWP0BZykAwASDWJIE2OYG0accPb05kxb8S5hWr/co+KddlS7S&#10;tmeY3N+hSg=====" w:salt="E9VBTr73K7tu5B6uq5s5f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2BC"/>
    <w:rsid w:val="0000040A"/>
    <w:rsid w:val="00000A94"/>
    <w:rsid w:val="00001972"/>
    <w:rsid w:val="00001D9A"/>
    <w:rsid w:val="00007B3A"/>
    <w:rsid w:val="000107E0"/>
    <w:rsid w:val="00011FDE"/>
    <w:rsid w:val="00012FFD"/>
    <w:rsid w:val="00014162"/>
    <w:rsid w:val="00014340"/>
    <w:rsid w:val="00016A9C"/>
    <w:rsid w:val="000172D0"/>
    <w:rsid w:val="00022184"/>
    <w:rsid w:val="00022762"/>
    <w:rsid w:val="000238E0"/>
    <w:rsid w:val="000249DB"/>
    <w:rsid w:val="0002595E"/>
    <w:rsid w:val="000303C3"/>
    <w:rsid w:val="000331D3"/>
    <w:rsid w:val="000346A5"/>
    <w:rsid w:val="000359C3"/>
    <w:rsid w:val="00035A7D"/>
    <w:rsid w:val="000365ED"/>
    <w:rsid w:val="0004249A"/>
    <w:rsid w:val="00043282"/>
    <w:rsid w:val="00043F32"/>
    <w:rsid w:val="00044286"/>
    <w:rsid w:val="00047F28"/>
    <w:rsid w:val="000503AA"/>
    <w:rsid w:val="000506A1"/>
    <w:rsid w:val="000515DD"/>
    <w:rsid w:val="0005265A"/>
    <w:rsid w:val="000539DD"/>
    <w:rsid w:val="00053BD3"/>
    <w:rsid w:val="000556ED"/>
    <w:rsid w:val="00055FE2"/>
    <w:rsid w:val="0005616F"/>
    <w:rsid w:val="00056C5C"/>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ECE"/>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F82"/>
    <w:rsid w:val="000E4C9E"/>
    <w:rsid w:val="000E5F82"/>
    <w:rsid w:val="000E6FD7"/>
    <w:rsid w:val="000F06E1"/>
    <w:rsid w:val="000F0E3C"/>
    <w:rsid w:val="000F19D5"/>
    <w:rsid w:val="000F4AD3"/>
    <w:rsid w:val="000F4AEA"/>
    <w:rsid w:val="000F633F"/>
    <w:rsid w:val="000F67E9"/>
    <w:rsid w:val="00104926"/>
    <w:rsid w:val="001053D9"/>
    <w:rsid w:val="00105D57"/>
    <w:rsid w:val="00107F7E"/>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0C5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59F"/>
    <w:rsid w:val="00195C34"/>
    <w:rsid w:val="001968A4"/>
    <w:rsid w:val="00196EF5"/>
    <w:rsid w:val="001A1A53"/>
    <w:rsid w:val="001A234A"/>
    <w:rsid w:val="001A3E18"/>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AC"/>
    <w:rsid w:val="001D2DE7"/>
    <w:rsid w:val="001D411C"/>
    <w:rsid w:val="001D4EB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5CF0"/>
    <w:rsid w:val="00246021"/>
    <w:rsid w:val="0024666E"/>
    <w:rsid w:val="00247BB4"/>
    <w:rsid w:val="00247F52"/>
    <w:rsid w:val="00250B25"/>
    <w:rsid w:val="00250BBE"/>
    <w:rsid w:val="002515C2"/>
    <w:rsid w:val="0025194F"/>
    <w:rsid w:val="0025470A"/>
    <w:rsid w:val="0026148A"/>
    <w:rsid w:val="00262696"/>
    <w:rsid w:val="00263D25"/>
    <w:rsid w:val="002643C3"/>
    <w:rsid w:val="00264A0C"/>
    <w:rsid w:val="00266EEB"/>
    <w:rsid w:val="00267EF4"/>
    <w:rsid w:val="00270CB8"/>
    <w:rsid w:val="00271FD7"/>
    <w:rsid w:val="00272B08"/>
    <w:rsid w:val="00273781"/>
    <w:rsid w:val="00281304"/>
    <w:rsid w:val="00281BB8"/>
    <w:rsid w:val="00281E9E"/>
    <w:rsid w:val="00282405"/>
    <w:rsid w:val="00285170"/>
    <w:rsid w:val="00285361"/>
    <w:rsid w:val="00292D60"/>
    <w:rsid w:val="00293B30"/>
    <w:rsid w:val="00294D34"/>
    <w:rsid w:val="00294E3B"/>
    <w:rsid w:val="00296193"/>
    <w:rsid w:val="00296C66"/>
    <w:rsid w:val="00296EBE"/>
    <w:rsid w:val="002974E3"/>
    <w:rsid w:val="00297A05"/>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199"/>
    <w:rsid w:val="002D42B5"/>
    <w:rsid w:val="002D4F1A"/>
    <w:rsid w:val="002D6EC6"/>
    <w:rsid w:val="002D79AC"/>
    <w:rsid w:val="002E039D"/>
    <w:rsid w:val="002E4D5A"/>
    <w:rsid w:val="002E6326"/>
    <w:rsid w:val="002F30E0"/>
    <w:rsid w:val="002F35E4"/>
    <w:rsid w:val="002F3730"/>
    <w:rsid w:val="002F38E1"/>
    <w:rsid w:val="002F6F83"/>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71C"/>
    <w:rsid w:val="003C5A43"/>
    <w:rsid w:val="003C70AA"/>
    <w:rsid w:val="003D0519"/>
    <w:rsid w:val="003D0FF6"/>
    <w:rsid w:val="003D262C"/>
    <w:rsid w:val="003D6D61"/>
    <w:rsid w:val="003E01E8"/>
    <w:rsid w:val="003E091D"/>
    <w:rsid w:val="003E0C33"/>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62A"/>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2BC"/>
    <w:rsid w:val="00470775"/>
    <w:rsid w:val="004746B1"/>
    <w:rsid w:val="0047583F"/>
    <w:rsid w:val="00475DE8"/>
    <w:rsid w:val="00481C44"/>
    <w:rsid w:val="00484936"/>
    <w:rsid w:val="00485C89"/>
    <w:rsid w:val="00486BE3"/>
    <w:rsid w:val="004905E4"/>
    <w:rsid w:val="00490A89"/>
    <w:rsid w:val="00490AB4"/>
    <w:rsid w:val="00492F02"/>
    <w:rsid w:val="004939AE"/>
    <w:rsid w:val="0049649A"/>
    <w:rsid w:val="004A12DF"/>
    <w:rsid w:val="004A17E6"/>
    <w:rsid w:val="004A1BA8"/>
    <w:rsid w:val="004A4B57"/>
    <w:rsid w:val="004A63FA"/>
    <w:rsid w:val="004B0272"/>
    <w:rsid w:val="004B2701"/>
    <w:rsid w:val="004B2E1B"/>
    <w:rsid w:val="004B3AA8"/>
    <w:rsid w:val="004B3E93"/>
    <w:rsid w:val="004C1FBC"/>
    <w:rsid w:val="004C3F1D"/>
    <w:rsid w:val="004C458D"/>
    <w:rsid w:val="004C45D0"/>
    <w:rsid w:val="004C7556"/>
    <w:rsid w:val="004C7E8B"/>
    <w:rsid w:val="004C7E9D"/>
    <w:rsid w:val="004C7F67"/>
    <w:rsid w:val="004D076D"/>
    <w:rsid w:val="004D0EF1"/>
    <w:rsid w:val="004D2253"/>
    <w:rsid w:val="004D4406"/>
    <w:rsid w:val="004D6538"/>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076"/>
    <w:rsid w:val="00541853"/>
    <w:rsid w:val="00543BDA"/>
    <w:rsid w:val="005441CC"/>
    <w:rsid w:val="005479DA"/>
    <w:rsid w:val="00547BCC"/>
    <w:rsid w:val="0055013B"/>
    <w:rsid w:val="00551F6F"/>
    <w:rsid w:val="00555044"/>
    <w:rsid w:val="005577B4"/>
    <w:rsid w:val="00561475"/>
    <w:rsid w:val="00563986"/>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999"/>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4F82"/>
    <w:rsid w:val="006015CE"/>
    <w:rsid w:val="00604784"/>
    <w:rsid w:val="00606419"/>
    <w:rsid w:val="00606C7E"/>
    <w:rsid w:val="00607D29"/>
    <w:rsid w:val="00612952"/>
    <w:rsid w:val="00614CC1"/>
    <w:rsid w:val="00615A9D"/>
    <w:rsid w:val="00617387"/>
    <w:rsid w:val="006205D6"/>
    <w:rsid w:val="006252D8"/>
    <w:rsid w:val="006259BC"/>
    <w:rsid w:val="0062636B"/>
    <w:rsid w:val="00627159"/>
    <w:rsid w:val="00632182"/>
    <w:rsid w:val="00632AE0"/>
    <w:rsid w:val="00633C17"/>
    <w:rsid w:val="00634D9E"/>
    <w:rsid w:val="00636E3E"/>
    <w:rsid w:val="006379F7"/>
    <w:rsid w:val="00637E4D"/>
    <w:rsid w:val="00640620"/>
    <w:rsid w:val="00640F8B"/>
    <w:rsid w:val="00641A1F"/>
    <w:rsid w:val="00645904"/>
    <w:rsid w:val="00651ACB"/>
    <w:rsid w:val="00651C47"/>
    <w:rsid w:val="00652AB2"/>
    <w:rsid w:val="00653FED"/>
    <w:rsid w:val="00654EC0"/>
    <w:rsid w:val="00654EFE"/>
    <w:rsid w:val="0065525B"/>
    <w:rsid w:val="00655D4F"/>
    <w:rsid w:val="00656D29"/>
    <w:rsid w:val="006640E5"/>
    <w:rsid w:val="006646F1"/>
    <w:rsid w:val="00664929"/>
    <w:rsid w:val="00664F62"/>
    <w:rsid w:val="006650DC"/>
    <w:rsid w:val="006655E1"/>
    <w:rsid w:val="00672060"/>
    <w:rsid w:val="00672BFD"/>
    <w:rsid w:val="006770F4"/>
    <w:rsid w:val="00677A84"/>
    <w:rsid w:val="0068026D"/>
    <w:rsid w:val="00680A27"/>
    <w:rsid w:val="006816A4"/>
    <w:rsid w:val="006819B8"/>
    <w:rsid w:val="006840A6"/>
    <w:rsid w:val="006850CD"/>
    <w:rsid w:val="00685AAB"/>
    <w:rsid w:val="00694F8A"/>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74EE"/>
    <w:rsid w:val="006D04EA"/>
    <w:rsid w:val="006D16C4"/>
    <w:rsid w:val="006D3E96"/>
    <w:rsid w:val="006D4515"/>
    <w:rsid w:val="006D478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934"/>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22"/>
    <w:rsid w:val="00765C43"/>
    <w:rsid w:val="00765EFB"/>
    <w:rsid w:val="007671CA"/>
    <w:rsid w:val="00767C61"/>
    <w:rsid w:val="0077008A"/>
    <w:rsid w:val="0077130C"/>
    <w:rsid w:val="00773841"/>
    <w:rsid w:val="00773C1F"/>
    <w:rsid w:val="00774DA4"/>
    <w:rsid w:val="00776599"/>
    <w:rsid w:val="0078114B"/>
    <w:rsid w:val="00781DD2"/>
    <w:rsid w:val="00783ECF"/>
    <w:rsid w:val="0078413A"/>
    <w:rsid w:val="00786C8B"/>
    <w:rsid w:val="00790A2D"/>
    <w:rsid w:val="007959E8"/>
    <w:rsid w:val="00795E9C"/>
    <w:rsid w:val="007A0521"/>
    <w:rsid w:val="007A2E12"/>
    <w:rsid w:val="007A3475"/>
    <w:rsid w:val="007A41C8"/>
    <w:rsid w:val="007A41D6"/>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8F6"/>
    <w:rsid w:val="00823303"/>
    <w:rsid w:val="008233B2"/>
    <w:rsid w:val="00823A9F"/>
    <w:rsid w:val="00823C85"/>
    <w:rsid w:val="00823F88"/>
    <w:rsid w:val="008249F8"/>
    <w:rsid w:val="00825138"/>
    <w:rsid w:val="008269DD"/>
    <w:rsid w:val="00830621"/>
    <w:rsid w:val="0083348C"/>
    <w:rsid w:val="008373D3"/>
    <w:rsid w:val="00840617"/>
    <w:rsid w:val="00840F84"/>
    <w:rsid w:val="00842A47"/>
    <w:rsid w:val="00843C13"/>
    <w:rsid w:val="008454F8"/>
    <w:rsid w:val="0085173A"/>
    <w:rsid w:val="008529C6"/>
    <w:rsid w:val="00856316"/>
    <w:rsid w:val="008603CE"/>
    <w:rsid w:val="008620FC"/>
    <w:rsid w:val="008627A5"/>
    <w:rsid w:val="00863E05"/>
    <w:rsid w:val="00864301"/>
    <w:rsid w:val="00865ACA"/>
    <w:rsid w:val="00865D28"/>
    <w:rsid w:val="00865F85"/>
    <w:rsid w:val="00867C10"/>
    <w:rsid w:val="00870439"/>
    <w:rsid w:val="00870DA1"/>
    <w:rsid w:val="008736C9"/>
    <w:rsid w:val="00877595"/>
    <w:rsid w:val="00883F93"/>
    <w:rsid w:val="00884DB3"/>
    <w:rsid w:val="00885A9D"/>
    <w:rsid w:val="008864F6"/>
    <w:rsid w:val="0089049D"/>
    <w:rsid w:val="00890FE6"/>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5E9"/>
    <w:rsid w:val="008D2D1D"/>
    <w:rsid w:val="008D3A61"/>
    <w:rsid w:val="008D453D"/>
    <w:rsid w:val="008D53AD"/>
    <w:rsid w:val="008D562B"/>
    <w:rsid w:val="008D5733"/>
    <w:rsid w:val="008D622B"/>
    <w:rsid w:val="008D666C"/>
    <w:rsid w:val="008D7B54"/>
    <w:rsid w:val="008E0957"/>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2A98"/>
    <w:rsid w:val="00905AC2"/>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DCB"/>
    <w:rsid w:val="00953604"/>
    <w:rsid w:val="0095496B"/>
    <w:rsid w:val="00957263"/>
    <w:rsid w:val="009610DC"/>
    <w:rsid w:val="00961490"/>
    <w:rsid w:val="0096381A"/>
    <w:rsid w:val="00965E04"/>
    <w:rsid w:val="009674AD"/>
    <w:rsid w:val="00970CDC"/>
    <w:rsid w:val="00977010"/>
    <w:rsid w:val="00977D02"/>
    <w:rsid w:val="009809BB"/>
    <w:rsid w:val="0098364B"/>
    <w:rsid w:val="0098377D"/>
    <w:rsid w:val="009911AF"/>
    <w:rsid w:val="00991875"/>
    <w:rsid w:val="00991F92"/>
    <w:rsid w:val="00992985"/>
    <w:rsid w:val="00993889"/>
    <w:rsid w:val="0099551B"/>
    <w:rsid w:val="00997BF1"/>
    <w:rsid w:val="009A089C"/>
    <w:rsid w:val="009A09BD"/>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70F"/>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29C3"/>
    <w:rsid w:val="00A632CB"/>
    <w:rsid w:val="00A648CD"/>
    <w:rsid w:val="00A6537A"/>
    <w:rsid w:val="00A67866"/>
    <w:rsid w:val="00A67E15"/>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1C83"/>
    <w:rsid w:val="00B4346D"/>
    <w:rsid w:val="00B440F4"/>
    <w:rsid w:val="00B447A5"/>
    <w:rsid w:val="00B4654C"/>
    <w:rsid w:val="00B47293"/>
    <w:rsid w:val="00B4775B"/>
    <w:rsid w:val="00B50E50"/>
    <w:rsid w:val="00B52120"/>
    <w:rsid w:val="00B52CBE"/>
    <w:rsid w:val="00B54ABC"/>
    <w:rsid w:val="00B54DDE"/>
    <w:rsid w:val="00B56FBE"/>
    <w:rsid w:val="00B60ACF"/>
    <w:rsid w:val="00B62B58"/>
    <w:rsid w:val="00B65149"/>
    <w:rsid w:val="00B66567"/>
    <w:rsid w:val="00B66F52"/>
    <w:rsid w:val="00B66FE5"/>
    <w:rsid w:val="00B67A08"/>
    <w:rsid w:val="00B72833"/>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400"/>
    <w:rsid w:val="00BF51E5"/>
    <w:rsid w:val="00BF74A6"/>
    <w:rsid w:val="00C013AD"/>
    <w:rsid w:val="00C040E4"/>
    <w:rsid w:val="00C04904"/>
    <w:rsid w:val="00C056B3"/>
    <w:rsid w:val="00C103E5"/>
    <w:rsid w:val="00C13319"/>
    <w:rsid w:val="00C13EE9"/>
    <w:rsid w:val="00C17157"/>
    <w:rsid w:val="00C21540"/>
    <w:rsid w:val="00C21906"/>
    <w:rsid w:val="00C21BFA"/>
    <w:rsid w:val="00C22148"/>
    <w:rsid w:val="00C24C8D"/>
    <w:rsid w:val="00C25FE2"/>
    <w:rsid w:val="00C26B53"/>
    <w:rsid w:val="00C279B2"/>
    <w:rsid w:val="00C33E50"/>
    <w:rsid w:val="00C34C20"/>
    <w:rsid w:val="00C35A3E"/>
    <w:rsid w:val="00C41A1B"/>
    <w:rsid w:val="00C42130"/>
    <w:rsid w:val="00C423A4"/>
    <w:rsid w:val="00C44BF5"/>
    <w:rsid w:val="00C45FF4"/>
    <w:rsid w:val="00C521D6"/>
    <w:rsid w:val="00C55232"/>
    <w:rsid w:val="00C553A4"/>
    <w:rsid w:val="00C55A06"/>
    <w:rsid w:val="00C55D03"/>
    <w:rsid w:val="00C601BC"/>
    <w:rsid w:val="00C6329F"/>
    <w:rsid w:val="00C63340"/>
    <w:rsid w:val="00C643F9"/>
    <w:rsid w:val="00C64E95"/>
    <w:rsid w:val="00C71372"/>
    <w:rsid w:val="00C72410"/>
    <w:rsid w:val="00C7287F"/>
    <w:rsid w:val="00C7322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6A5B"/>
    <w:rsid w:val="00CA6E53"/>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8BF"/>
    <w:rsid w:val="00CC6E4E"/>
    <w:rsid w:val="00CC6FE8"/>
    <w:rsid w:val="00CC7202"/>
    <w:rsid w:val="00CD2808"/>
    <w:rsid w:val="00CD28BF"/>
    <w:rsid w:val="00CD4092"/>
    <w:rsid w:val="00CD4A20"/>
    <w:rsid w:val="00CD50A1"/>
    <w:rsid w:val="00CD519E"/>
    <w:rsid w:val="00CD7C9A"/>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865"/>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6E1"/>
    <w:rsid w:val="00DB38EE"/>
    <w:rsid w:val="00DB498B"/>
    <w:rsid w:val="00DB66CA"/>
    <w:rsid w:val="00DB6BCA"/>
    <w:rsid w:val="00DB73F7"/>
    <w:rsid w:val="00DC0321"/>
    <w:rsid w:val="00DC23ED"/>
    <w:rsid w:val="00DC3067"/>
    <w:rsid w:val="00DC370B"/>
    <w:rsid w:val="00DC5B90"/>
    <w:rsid w:val="00DC5C19"/>
    <w:rsid w:val="00DD00FF"/>
    <w:rsid w:val="00DD0619"/>
    <w:rsid w:val="00DD07FB"/>
    <w:rsid w:val="00DD2114"/>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27934"/>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64B"/>
    <w:rsid w:val="00EA681A"/>
    <w:rsid w:val="00EA735B"/>
    <w:rsid w:val="00EA77F0"/>
    <w:rsid w:val="00EB17DE"/>
    <w:rsid w:val="00EB1E69"/>
    <w:rsid w:val="00EB2086"/>
    <w:rsid w:val="00EB5EDF"/>
    <w:rsid w:val="00EB60FE"/>
    <w:rsid w:val="00EB74DB"/>
    <w:rsid w:val="00EC5359"/>
    <w:rsid w:val="00EC562A"/>
    <w:rsid w:val="00ED03BA"/>
    <w:rsid w:val="00ED067A"/>
    <w:rsid w:val="00ED2B50"/>
    <w:rsid w:val="00EE0350"/>
    <w:rsid w:val="00EE0719"/>
    <w:rsid w:val="00EE0E80"/>
    <w:rsid w:val="00EE54A6"/>
    <w:rsid w:val="00EE613F"/>
    <w:rsid w:val="00EE7295"/>
    <w:rsid w:val="00EE7869"/>
    <w:rsid w:val="00EF054A"/>
    <w:rsid w:val="00EF2D19"/>
    <w:rsid w:val="00EF3235"/>
    <w:rsid w:val="00EF7E72"/>
    <w:rsid w:val="00F02A97"/>
    <w:rsid w:val="00F04EED"/>
    <w:rsid w:val="00F06D37"/>
    <w:rsid w:val="00F07B9D"/>
    <w:rsid w:val="00F11586"/>
    <w:rsid w:val="00F1183B"/>
    <w:rsid w:val="00F11C9F"/>
    <w:rsid w:val="00F120D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6B3"/>
    <w:rsid w:val="00F6194E"/>
    <w:rsid w:val="00F623AC"/>
    <w:rsid w:val="00F6412A"/>
    <w:rsid w:val="00F65893"/>
    <w:rsid w:val="00F659BC"/>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BCD"/>
    <w:rsid w:val="00FA4DAC"/>
    <w:rsid w:val="00FA662D"/>
    <w:rsid w:val="00FA73B1"/>
    <w:rsid w:val="00FB0CB9"/>
    <w:rsid w:val="00FB231D"/>
    <w:rsid w:val="00FB309C"/>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38C7B7A"/>
    <w:rsid w:val="40974B50"/>
    <w:rsid w:val="43BF3B3F"/>
    <w:rsid w:val="530B6115"/>
    <w:rsid w:val="53F361F6"/>
    <w:rsid w:val="593477A7"/>
    <w:rsid w:val="59A90A36"/>
    <w:rsid w:val="74393C45"/>
    <w:rsid w:val="764F1884"/>
    <w:rsid w:val="788A0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qFormat/>
    <w:uiPriority w:val="99"/>
    <w:rPr>
      <w:rFonts w:cs="Times New Roman"/>
      <w:sz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basedOn w:val="29"/>
    <w:link w:val="2"/>
    <w:qFormat/>
    <w:uiPriority w:val="0"/>
    <w:rPr>
      <w:rFonts w:ascii="Times New Roman" w:hAnsi="Times New Roman" w:eastAsia="宋体" w:cs="Times New Roman"/>
      <w:b/>
      <w:bCs/>
      <w:kern w:val="44"/>
      <w:sz w:val="44"/>
      <w:szCs w:val="44"/>
    </w:rPr>
  </w:style>
  <w:style w:type="character" w:customStyle="1" w:styleId="37">
    <w:name w:val="标题 2 Char"/>
    <w:link w:val="3"/>
    <w:qFormat/>
    <w:uiPriority w:val="0"/>
    <w:rPr>
      <w:rFonts w:ascii="Arial" w:hAnsi="Arial" w:eastAsia="黑体" w:cs="Times New Roman"/>
      <w:b/>
      <w:bCs/>
      <w:sz w:val="32"/>
      <w:szCs w:val="32"/>
    </w:rPr>
  </w:style>
  <w:style w:type="character" w:customStyle="1" w:styleId="38">
    <w:name w:val="标题 3 Char"/>
    <w:link w:val="4"/>
    <w:qFormat/>
    <w:uiPriority w:val="0"/>
    <w:rPr>
      <w:rFonts w:ascii="Times New Roman" w:hAnsi="Times New Roman" w:eastAsia="宋体" w:cs="Times New Roman"/>
      <w:b/>
      <w:bCs/>
      <w:sz w:val="32"/>
      <w:szCs w:val="32"/>
    </w:rPr>
  </w:style>
  <w:style w:type="character" w:customStyle="1" w:styleId="39">
    <w:name w:val="标题 4 Char"/>
    <w:link w:val="5"/>
    <w:qFormat/>
    <w:uiPriority w:val="0"/>
    <w:rPr>
      <w:rFonts w:ascii="Arial" w:hAnsi="Arial" w:eastAsia="黑体" w:cs="Times New Roman"/>
      <w:b/>
      <w:bCs/>
      <w:sz w:val="28"/>
      <w:szCs w:val="28"/>
    </w:rPr>
  </w:style>
  <w:style w:type="character" w:customStyle="1" w:styleId="40">
    <w:name w:val="标题 5 Char"/>
    <w:link w:val="6"/>
    <w:qFormat/>
    <w:uiPriority w:val="0"/>
    <w:rPr>
      <w:rFonts w:ascii="Times New Roman" w:hAnsi="Times New Roman" w:eastAsia="宋体" w:cs="Times New Roman"/>
      <w:b/>
      <w:bCs/>
      <w:sz w:val="28"/>
      <w:szCs w:val="28"/>
    </w:rPr>
  </w:style>
  <w:style w:type="character" w:customStyle="1" w:styleId="41">
    <w:name w:val="标题 6 Char"/>
    <w:link w:val="7"/>
    <w:qFormat/>
    <w:uiPriority w:val="0"/>
    <w:rPr>
      <w:rFonts w:ascii="Arial" w:hAnsi="Arial" w:eastAsia="黑体" w:cs="Times New Roman"/>
      <w:b/>
      <w:bCs/>
      <w:sz w:val="24"/>
      <w:szCs w:val="24"/>
    </w:rPr>
  </w:style>
  <w:style w:type="character" w:customStyle="1" w:styleId="42">
    <w:name w:val="标题 7 Char"/>
    <w:link w:val="8"/>
    <w:qFormat/>
    <w:uiPriority w:val="0"/>
    <w:rPr>
      <w:rFonts w:ascii="Times New Roman" w:hAnsi="Times New Roman" w:eastAsia="宋体" w:cs="Times New Roman"/>
      <w:b/>
      <w:bCs/>
      <w:sz w:val="24"/>
      <w:szCs w:val="24"/>
    </w:rPr>
  </w:style>
  <w:style w:type="character" w:customStyle="1" w:styleId="43">
    <w:name w:val="标题 8 Char"/>
    <w:link w:val="9"/>
    <w:qFormat/>
    <w:uiPriority w:val="0"/>
    <w:rPr>
      <w:rFonts w:ascii="Arial" w:hAnsi="Arial" w:eastAsia="黑体" w:cs="Times New Roman"/>
      <w:sz w:val="24"/>
      <w:szCs w:val="24"/>
    </w:rPr>
  </w:style>
  <w:style w:type="character" w:customStyle="1" w:styleId="44">
    <w:name w:val="标题 9 Char"/>
    <w:link w:val="10"/>
    <w:qFormat/>
    <w:uiPriority w:val="0"/>
    <w:rPr>
      <w:rFonts w:ascii="Arial" w:hAnsi="Arial" w:eastAsia="黑体" w:cs="Times New Roman"/>
      <w:szCs w:val="21"/>
    </w:rPr>
  </w:style>
  <w:style w:type="character" w:customStyle="1" w:styleId="45">
    <w:name w:val="页眉 Char"/>
    <w:link w:val="19"/>
    <w:qFormat/>
    <w:uiPriority w:val="99"/>
    <w:rPr>
      <w:rFonts w:ascii="Times New Roman" w:hAnsi="Times New Roman" w:eastAsia="宋体" w:cs="Times New Roman"/>
      <w:sz w:val="18"/>
      <w:szCs w:val="18"/>
    </w:rPr>
  </w:style>
  <w:style w:type="character" w:customStyle="1" w:styleId="46">
    <w:name w:val="页脚 Char"/>
    <w:link w:val="18"/>
    <w:qFormat/>
    <w:uiPriority w:val="99"/>
    <w:rPr>
      <w:rFonts w:ascii="宋体" w:hAnsi="Times New Roman" w:eastAsia="宋体" w:cs="Times New Roman"/>
      <w:sz w:val="18"/>
      <w:szCs w:val="18"/>
    </w:rPr>
  </w:style>
  <w:style w:type="character" w:customStyle="1" w:styleId="47">
    <w:name w:val="批注框文本 Char"/>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rPr>
  </w:style>
  <w:style w:type="character" w:customStyle="1" w:styleId="50">
    <w:name w:val="标题 Char"/>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文档结构图 Char"/>
    <w:basedOn w:val="29"/>
    <w:link w:val="13"/>
    <w:semiHidden/>
    <w:qFormat/>
    <w:uiPriority w:val="99"/>
    <w:rPr>
      <w:rFonts w:ascii="宋体"/>
      <w:kern w:val="2"/>
      <w:sz w:val="18"/>
      <w:szCs w:val="18"/>
    </w:rPr>
  </w:style>
  <w:style w:type="paragraph" w:customStyle="1" w:styleId="233">
    <w:name w:val="段"/>
    <w:link w:val="2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4">
    <w:name w:val="段 Char"/>
    <w:link w:val="233"/>
    <w:qFormat/>
    <w:uiPriority w:val="0"/>
    <w:rPr>
      <w:rFonts w:ascii="宋体" w:hAnsi="Times New Roman"/>
      <w:sz w:val="21"/>
    </w:rPr>
  </w:style>
  <w:style w:type="paragraph" w:customStyle="1" w:styleId="235">
    <w:name w:val="数字编号列项（二级）"/>
    <w:qFormat/>
    <w:uiPriority w:val="99"/>
    <w:pPr>
      <w:tabs>
        <w:tab w:val="left" w:pos="1259"/>
      </w:tabs>
      <w:ind w:left="1259" w:hanging="420"/>
      <w:jc w:val="both"/>
    </w:pPr>
    <w:rPr>
      <w:rFonts w:ascii="宋体" w:hAnsi="Times New Roman" w:eastAsia="宋体" w:cs="Times New Roman"/>
      <w:sz w:val="21"/>
      <w:lang w:val="en-US" w:eastAsia="zh-CN" w:bidi="ar-SA"/>
    </w:rPr>
  </w:style>
  <w:style w:type="paragraph" w:customStyle="1" w:styleId="236">
    <w:name w:val="字母编号列项（一级）"/>
    <w:qFormat/>
    <w:uiPriority w:val="99"/>
    <w:pPr>
      <w:tabs>
        <w:tab w:val="left" w:pos="839"/>
      </w:tabs>
      <w:ind w:left="839" w:hanging="419"/>
      <w:jc w:val="both"/>
    </w:pPr>
    <w:rPr>
      <w:rFonts w:ascii="宋体" w:hAnsi="Times New Roman" w:eastAsia="宋体" w:cs="Times New Roman"/>
      <w:sz w:val="21"/>
      <w:lang w:val="en-US" w:eastAsia="zh-CN" w:bidi="ar-SA"/>
    </w:rPr>
  </w:style>
  <w:style w:type="paragraph" w:customStyle="1" w:styleId="237">
    <w:name w:val="编号列项（三级）"/>
    <w:qFormat/>
    <w:uiPriority w:val="99"/>
    <w:pPr>
      <w:tabs>
        <w:tab w:val="left" w:pos="0"/>
      </w:tabs>
      <w:ind w:left="1678" w:hanging="419"/>
    </w:pPr>
    <w:rPr>
      <w:rFonts w:ascii="宋体" w:hAnsi="Times New Roman" w:eastAsia="宋体" w:cs="Times New Roman"/>
      <w:sz w:val="21"/>
      <w:lang w:val="en-US" w:eastAsia="zh-CN" w:bidi="ar-SA"/>
    </w:rPr>
  </w:style>
  <w:style w:type="character" w:customStyle="1" w:styleId="238">
    <w:name w:val="font81"/>
    <w:qFormat/>
    <w:uiPriority w:val="0"/>
    <w:rPr>
      <w:rFonts w:hint="eastAsia" w:ascii="宋体" w:hAnsi="宋体" w:eastAsia="宋体" w:cs="宋体"/>
      <w:color w:val="000000"/>
      <w:sz w:val="22"/>
      <w:szCs w:val="22"/>
      <w:u w:val="none"/>
    </w:rPr>
  </w:style>
  <w:style w:type="character" w:customStyle="1" w:styleId="239">
    <w:name w:val="font71"/>
    <w:qFormat/>
    <w:uiPriority w:val="0"/>
    <w:rPr>
      <w:rFonts w:hint="eastAsia" w:ascii="宋体" w:hAnsi="宋体" w:eastAsia="宋体" w:cs="宋体"/>
      <w:color w:val="000000"/>
      <w:sz w:val="22"/>
      <w:szCs w:val="22"/>
      <w:u w:val="none"/>
    </w:rPr>
  </w:style>
  <w:style w:type="paragraph" w:customStyle="1" w:styleId="240">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41">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42">
    <w:name w:val="标准正文"/>
    <w:basedOn w:val="1"/>
    <w:qFormat/>
    <w:uiPriority w:val="0"/>
    <w:pPr>
      <w:tabs>
        <w:tab w:val="left" w:pos="540"/>
        <w:tab w:val="left" w:pos="720"/>
        <w:tab w:val="left" w:pos="900"/>
        <w:tab w:val="left" w:pos="1080"/>
      </w:tabs>
      <w:snapToGrid w:val="0"/>
      <w:spacing w:line="288" w:lineRule="auto"/>
    </w:pPr>
    <w:rPr>
      <w:rFonts w:ascii="宋体" w:hAnsi="宋体"/>
      <w:color w:val="000000"/>
      <w:szCs w:val="21"/>
    </w:rPr>
  </w:style>
  <w:style w:type="character" w:customStyle="1" w:styleId="243">
    <w:name w:val="apple-converted-space"/>
    <w:basedOn w:val="29"/>
    <w:qFormat/>
    <w:uiPriority w:val="0"/>
  </w:style>
  <w:style w:type="paragraph" w:customStyle="1" w:styleId="244">
    <w:name w:val="附录标识"/>
    <w:basedOn w:val="1"/>
    <w:next w:val="233"/>
    <w:qFormat/>
    <w:uiPriority w:val="0"/>
    <w:pPr>
      <w:keepNext/>
      <w:widowControl/>
      <w:numPr>
        <w:ilvl w:val="0"/>
        <w:numId w:val="4"/>
      </w:numPr>
      <w:shd w:val="clear" w:color="FFFFFF" w:fill="FFFFFF"/>
      <w:tabs>
        <w:tab w:val="left" w:pos="360"/>
        <w:tab w:val="left" w:pos="6405"/>
      </w:tabs>
      <w:spacing w:before="640" w:after="280"/>
      <w:jc w:val="center"/>
      <w:outlineLvl w:val="0"/>
    </w:pPr>
    <w:rPr>
      <w:rFonts w:ascii="黑体"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4.png"/><Relationship Id="rId21" Type="http://schemas.openxmlformats.org/officeDocument/2006/relationships/image" Target="media/image3.pn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B9AC1DAF4D94C6BB6F8661462FD8D92"/>
        <w:style w:val=""/>
        <w:category>
          <w:name w:val="常规"/>
          <w:gallery w:val="placeholder"/>
        </w:category>
        <w:types>
          <w:type w:val="bbPlcHdr"/>
        </w:types>
        <w:behaviors>
          <w:behavior w:val="content"/>
        </w:behaviors>
        <w:description w:val=""/>
        <w:guid w:val="{844E74E8-7FF2-4998-A554-7F6AD7D13ECE}"/>
      </w:docPartPr>
      <w:docPartBody>
        <w:p>
          <w:pPr>
            <w:pStyle w:val="5"/>
          </w:pPr>
          <w:r>
            <w:rPr>
              <w:rStyle w:val="4"/>
              <w:rFonts w:hint="eastAsia"/>
            </w:rPr>
            <w:t>单击或点击此处输入文字。</w:t>
          </w:r>
        </w:p>
      </w:docPartBody>
    </w:docPart>
    <w:docPart>
      <w:docPartPr>
        <w:name w:val="B61532C5FF6E4BFBA109D27D2165E622"/>
        <w:style w:val=""/>
        <w:category>
          <w:name w:val="常规"/>
          <w:gallery w:val="placeholder"/>
        </w:category>
        <w:types>
          <w:type w:val="bbPlcHdr"/>
        </w:types>
        <w:behaviors>
          <w:behavior w:val="content"/>
        </w:behaviors>
        <w:description w:val=""/>
        <w:guid w:val="{BAE927CE-8238-46B4-A7A5-287E33D469AA}"/>
      </w:docPartPr>
      <w:docPartBody>
        <w:p>
          <w:pPr>
            <w:pStyle w:val="6"/>
          </w:pPr>
          <w:r>
            <w:rPr>
              <w:rStyle w:val="4"/>
              <w:rFonts w:hint="eastAsia"/>
            </w:rPr>
            <w:t>选择一项。</w:t>
          </w:r>
        </w:p>
      </w:docPartBody>
    </w:docPart>
    <w:docPart>
      <w:docPartPr>
        <w:name w:val="CCC8D6C67D014AA0ADC4A6423145A28D"/>
        <w:style w:val=""/>
        <w:category>
          <w:name w:val="常规"/>
          <w:gallery w:val="placeholder"/>
        </w:category>
        <w:types>
          <w:type w:val="bbPlcHdr"/>
        </w:types>
        <w:behaviors>
          <w:behavior w:val="content"/>
        </w:behaviors>
        <w:description w:val=""/>
        <w:guid w:val="{446E6100-1F5A-4C30-9EC1-70D381F1263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630C9"/>
    <w:rsid w:val="0039284D"/>
    <w:rsid w:val="007A36B5"/>
    <w:rsid w:val="009A4CFE"/>
    <w:rsid w:val="009E6D14"/>
    <w:rsid w:val="00B31329"/>
    <w:rsid w:val="00F41A14"/>
    <w:rsid w:val="00F630C9"/>
    <w:rsid w:val="00FA57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B9AC1DAF4D94C6BB6F8661462FD8D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61532C5FF6E4BFBA109D27D2165E6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CC8D6C67D014AA0ADC4A6423145A28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E6B58B-A30C-4F38-B723-7E88504CC12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42</Pages>
  <Words>24599</Words>
  <Characters>26519</Characters>
  <Lines>181</Lines>
  <Paragraphs>51</Paragraphs>
  <TotalTime>6</TotalTime>
  <ScaleCrop>false</ScaleCrop>
  <LinksUpToDate>false</LinksUpToDate>
  <CharactersWithSpaces>29527</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2021-05-06T00:17:00Z</dcterms:created>
  <dc:creator>胥文婷</dc:creator>
  <dc:description>&lt;config cover="true" show_menu="true" version="1.0.0" doctype="SDKXY"&gt;_x000d_
&lt;/config&gt;</dc:description>
  <cp:lastModifiedBy>Rook1e</cp:lastModifiedBy>
  <cp:lastPrinted>2020-08-30T10:00:00Z</cp:lastPrinted>
  <dcterms:modified xsi:type="dcterms:W3CDTF">2021-05-16T13:56:03Z</dcterms:modified>
  <dc:title>地方标准</dc:title>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false</vt:lpwstr>
  </property>
  <property fmtid="{D5CDD505-2E9C-101B-9397-08002B2CF9AE}" pid="15" name="KSOProductBuildVer">
    <vt:lpwstr>2052-11.1.0.10495</vt:lpwstr>
  </property>
  <property fmtid="{D5CDD505-2E9C-101B-9397-08002B2CF9AE}" pid="16" name="ICV">
    <vt:lpwstr>25F47B94ECD04DC482982F5377C06941</vt:lpwstr>
  </property>
</Properties>
</file>