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43.080.01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w:t>
            </w:r>
            <w:r>
              <w:rPr>
                <w:rFonts w:ascii="黑体" w:hAnsi="黑体" w:eastAsia="黑体"/>
                <w:sz w:val="21"/>
                <w:szCs w:val="21"/>
              </w:rPr>
              <w:t xml:space="preserve"> 47</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framePr w:wrap="around"/>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28382</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代替 GB/T 28382</w:t>
      </w:r>
      <w:r>
        <w:rPr>
          <w:rFonts w:hint="eastAsia" w:hAnsi="黑体"/>
        </w:rPr>
        <w:t>—</w:t>
      </w:r>
      <w:r>
        <w:rPr>
          <w:rFonts w:hAnsi="黑体"/>
        </w:rPr>
        <w:t>2012</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纯电动乘用车 技术条件</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Battery electric passenger cars</w:t>
      </w:r>
      <w:r>
        <w:rPr>
          <w:rFonts w:hint="eastAsia" w:eastAsia="黑体"/>
          <w:szCs w:val="28"/>
        </w:rPr>
        <w:t>—Specifications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89"/>
        <w:spacing w:after="468"/>
      </w:pPr>
      <w:bookmarkStart w:id="19"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本文件代替GB/T 28382—2012《纯电动乘用车 技术条件》，本文件的发布实施不影响已发布标准、政策等文件对纯电动乘用车范围的界定。</w:t>
      </w:r>
    </w:p>
    <w:p>
      <w:pPr>
        <w:pStyle w:val="56"/>
        <w:ind w:firstLine="420"/>
      </w:pPr>
      <w:r>
        <w:rPr>
          <w:rFonts w:hint="eastAsia"/>
        </w:rPr>
        <w:t>与GB/T 28382—2012相比，主要技术变化如下：</w:t>
      </w:r>
    </w:p>
    <w:p>
      <w:pPr>
        <w:pStyle w:val="56"/>
        <w:ind w:firstLine="420"/>
      </w:pPr>
      <w:r>
        <w:t>a)</w:t>
      </w:r>
      <w:r>
        <w:rPr>
          <w:rFonts w:hint="eastAsia"/>
        </w:rPr>
        <w:t>增加了纯电动乘用车、微型低速纯电动乘用车的术语（见3</w:t>
      </w:r>
      <w:r>
        <w:t>.1</w:t>
      </w:r>
      <w:r>
        <w:rPr>
          <w:rFonts w:hint="eastAsia"/>
        </w:rPr>
        <w:t>、3</w:t>
      </w:r>
      <w:r>
        <w:t>.2</w:t>
      </w:r>
      <w:r>
        <w:rPr>
          <w:rFonts w:hint="eastAsia"/>
        </w:rPr>
        <w:t>）；</w:t>
      </w:r>
    </w:p>
    <w:p>
      <w:pPr>
        <w:pStyle w:val="56"/>
        <w:ind w:firstLine="420"/>
      </w:pPr>
      <w:r>
        <w:rPr>
          <w:rFonts w:hint="eastAsia"/>
        </w:rPr>
        <w:t>b</w:t>
      </w:r>
      <w:r>
        <w:t>)</w:t>
      </w:r>
      <w:r>
        <w:rPr>
          <w:rFonts w:hint="eastAsia"/>
        </w:rPr>
        <w:t>增加了微型低速纯电动乘用车的技术要求，包括外廓尺寸、整车整备质量、轮胎、电安全、超速限制、制动性能、稳定性、动力性能、可靠性的要求（见4</w:t>
      </w:r>
      <w:r>
        <w:t>.2</w:t>
      </w:r>
      <w:r>
        <w:rPr>
          <w:rFonts w:hint="eastAsia"/>
        </w:rPr>
        <w:t>、4</w:t>
      </w:r>
      <w:r>
        <w:t>.3</w:t>
      </w:r>
      <w:r>
        <w:rPr>
          <w:rFonts w:hint="eastAsia"/>
        </w:rPr>
        <w:t>、4</w:t>
      </w:r>
      <w:r>
        <w:t>.4</w:t>
      </w:r>
      <w:r>
        <w:rPr>
          <w:rFonts w:hint="eastAsia"/>
        </w:rPr>
        <w:t>、4</w:t>
      </w:r>
      <w:r>
        <w:t>.5</w:t>
      </w:r>
      <w:r>
        <w:rPr>
          <w:rFonts w:hint="eastAsia"/>
        </w:rPr>
        <w:t>、4</w:t>
      </w:r>
      <w:r>
        <w:t>.8</w:t>
      </w:r>
      <w:r>
        <w:rPr>
          <w:rFonts w:hint="eastAsia"/>
        </w:rPr>
        <w:t>、4</w:t>
      </w:r>
      <w:r>
        <w:t>.9</w:t>
      </w:r>
      <w:r>
        <w:rPr>
          <w:rFonts w:hint="eastAsia"/>
        </w:rPr>
        <w:t>、4</w:t>
      </w:r>
      <w:r>
        <w:t>.10.2</w:t>
      </w:r>
      <w:r>
        <w:rPr>
          <w:rFonts w:hint="eastAsia"/>
        </w:rPr>
        <w:t>、4</w:t>
      </w:r>
      <w:r>
        <w:t>.11</w:t>
      </w:r>
      <w:r>
        <w:rPr>
          <w:rFonts w:hint="eastAsia"/>
        </w:rPr>
        <w:t>、4</w:t>
      </w:r>
      <w:r>
        <w:t>.17</w:t>
      </w:r>
      <w:r>
        <w:rPr>
          <w:rFonts w:hint="eastAsia"/>
        </w:rPr>
        <w:t>）；</w:t>
      </w:r>
    </w:p>
    <w:p>
      <w:pPr>
        <w:pStyle w:val="56"/>
        <w:ind w:left="993" w:leftChars="209" w:hanging="554" w:hangingChars="264"/>
      </w:pPr>
      <w:r>
        <w:t>c)</w:t>
      </w:r>
      <w:r>
        <w:rPr>
          <w:rFonts w:hint="eastAsia"/>
        </w:rPr>
        <w:t>增加了充电接口的要求和标志标识要求（见4</w:t>
      </w:r>
      <w:r>
        <w:t>.15</w:t>
      </w:r>
      <w:r>
        <w:rPr>
          <w:rFonts w:hint="eastAsia"/>
        </w:rPr>
        <w:t>、4</w:t>
      </w:r>
      <w:r>
        <w:t>.16</w:t>
      </w:r>
      <w:r>
        <w:rPr>
          <w:rFonts w:hint="eastAsia"/>
        </w:rPr>
        <w:t>）；</w:t>
      </w:r>
    </w:p>
    <w:p>
      <w:pPr>
        <w:pStyle w:val="56"/>
        <w:ind w:left="840" w:leftChars="200" w:hanging="420" w:hangingChars="200"/>
      </w:pPr>
      <w:r>
        <w:rPr>
          <w:rFonts w:hint="eastAsia"/>
        </w:rPr>
        <w:t>d</w:t>
      </w:r>
      <w:r>
        <w:t>)</w:t>
      </w:r>
      <w:r>
        <w:rPr>
          <w:rFonts w:hint="eastAsia"/>
        </w:rPr>
        <w:t>更改了车辆碰撞安全要求（见4</w:t>
      </w:r>
      <w:r>
        <w:t>.6</w:t>
      </w:r>
      <w:r>
        <w:rPr>
          <w:rFonts w:hint="eastAsia"/>
        </w:rPr>
        <w:t>，2</w:t>
      </w:r>
      <w:r>
        <w:t>012</w:t>
      </w:r>
      <w:r>
        <w:rPr>
          <w:rFonts w:hint="eastAsia"/>
        </w:rPr>
        <w:t>年版的4</w:t>
      </w:r>
      <w:r>
        <w:t>.4</w:t>
      </w:r>
      <w:r>
        <w:rPr>
          <w:rFonts w:hint="eastAsia"/>
        </w:rPr>
        <w:t>）；</w:t>
      </w:r>
    </w:p>
    <w:p>
      <w:pPr>
        <w:pStyle w:val="56"/>
        <w:ind w:left="840" w:leftChars="200" w:hanging="420" w:hangingChars="200"/>
      </w:pPr>
      <w:r>
        <w:rPr>
          <w:rFonts w:hint="eastAsia"/>
        </w:rPr>
        <w:t>e)更改了车辆低速提示音要求（见4</w:t>
      </w:r>
      <w:r>
        <w:t>.7</w:t>
      </w:r>
      <w:r>
        <w:rPr>
          <w:rFonts w:hint="eastAsia"/>
        </w:rPr>
        <w:t>,2</w:t>
      </w:r>
      <w:r>
        <w:t>012</w:t>
      </w:r>
      <w:r>
        <w:rPr>
          <w:rFonts w:hint="eastAsia"/>
        </w:rPr>
        <w:t>年版的4</w:t>
      </w:r>
      <w:r>
        <w:t>.4</w:t>
      </w:r>
      <w:r>
        <w:rPr>
          <w:rFonts w:hint="eastAsia"/>
        </w:rPr>
        <w:t>）；</w:t>
      </w:r>
    </w:p>
    <w:p>
      <w:pPr>
        <w:pStyle w:val="56"/>
        <w:ind w:left="840" w:leftChars="200" w:hanging="420" w:hangingChars="200"/>
      </w:pPr>
      <w:r>
        <w:rPr>
          <w:rFonts w:hint="eastAsia"/>
        </w:rPr>
        <w:t>f</w:t>
      </w:r>
      <w:r>
        <w:t>)</w:t>
      </w:r>
      <w:r>
        <w:rPr>
          <w:rFonts w:hint="eastAsia"/>
        </w:rPr>
        <w:t>更改了车辆最高车速的要求（见4</w:t>
      </w:r>
      <w:r>
        <w:t>.11.1</w:t>
      </w:r>
      <w:r>
        <w:rPr>
          <w:rFonts w:hint="eastAsia"/>
        </w:rPr>
        <w:t>,2</w:t>
      </w:r>
      <w:r>
        <w:t>012</w:t>
      </w:r>
      <w:r>
        <w:rPr>
          <w:rFonts w:hint="eastAsia"/>
        </w:rPr>
        <w:t>年版的4</w:t>
      </w:r>
      <w:r>
        <w:t>.5.1</w:t>
      </w:r>
      <w:r>
        <w:rPr>
          <w:rFonts w:hint="eastAsia"/>
        </w:rPr>
        <w:t>）；</w:t>
      </w:r>
    </w:p>
    <w:p>
      <w:pPr>
        <w:pStyle w:val="56"/>
        <w:ind w:left="840" w:leftChars="200" w:hanging="420" w:hangingChars="200"/>
      </w:pPr>
      <w:r>
        <w:rPr>
          <w:rFonts w:hint="eastAsia"/>
        </w:rPr>
        <w:t>g</w:t>
      </w:r>
      <w:r>
        <w:t>)</w:t>
      </w:r>
      <w:r>
        <w:rPr>
          <w:rFonts w:hint="eastAsia"/>
        </w:rPr>
        <w:t>更改了车辆爬坡性能的要求（见4</w:t>
      </w:r>
      <w:r>
        <w:t>.11.3</w:t>
      </w:r>
      <w:r>
        <w:rPr>
          <w:rFonts w:hint="eastAsia"/>
        </w:rPr>
        <w:t>,2</w:t>
      </w:r>
      <w:r>
        <w:t>012</w:t>
      </w:r>
      <w:r>
        <w:rPr>
          <w:rFonts w:hint="eastAsia"/>
        </w:rPr>
        <w:t>年版的4</w:t>
      </w:r>
      <w:r>
        <w:t>.5.3</w:t>
      </w:r>
      <w:r>
        <w:rPr>
          <w:rFonts w:hint="eastAsia"/>
        </w:rPr>
        <w:t>）；</w:t>
      </w:r>
    </w:p>
    <w:p>
      <w:pPr>
        <w:pStyle w:val="56"/>
        <w:ind w:left="840" w:leftChars="200" w:hanging="420" w:hangingChars="200"/>
      </w:pPr>
      <w:r>
        <w:rPr>
          <w:rFonts w:hint="eastAsia"/>
        </w:rPr>
        <w:t>h)更改了车辆续驶里程的要求（见4</w:t>
      </w:r>
      <w:r>
        <w:t>.13</w:t>
      </w:r>
      <w:r>
        <w:rPr>
          <w:rFonts w:hint="eastAsia"/>
        </w:rPr>
        <w:t>,2</w:t>
      </w:r>
      <w:r>
        <w:t>012</w:t>
      </w:r>
      <w:r>
        <w:rPr>
          <w:rFonts w:hint="eastAsia"/>
        </w:rPr>
        <w:t>年版的4</w:t>
      </w:r>
      <w:r>
        <w:t>.7</w:t>
      </w:r>
      <w:r>
        <w:rPr>
          <w:rFonts w:hint="eastAsia"/>
        </w:rPr>
        <w:t>）；</w:t>
      </w:r>
    </w:p>
    <w:p>
      <w:pPr>
        <w:pStyle w:val="56"/>
        <w:ind w:firstLine="420"/>
      </w:pPr>
      <w:r>
        <w:rPr>
          <w:rFonts w:hint="eastAsia"/>
        </w:rPr>
        <w:t>i</w:t>
      </w:r>
      <w:r>
        <w:t>)</w:t>
      </w:r>
      <w:r>
        <w:rPr>
          <w:rFonts w:hint="eastAsia"/>
        </w:rPr>
        <w:t>更改了车辆上安装的动力蓄电池的要求（见4</w:t>
      </w:r>
      <w:r>
        <w:t>.14</w:t>
      </w:r>
      <w:r>
        <w:rPr>
          <w:rFonts w:hint="eastAsia"/>
        </w:rPr>
        <w:t>,</w:t>
      </w:r>
      <w:r>
        <w:t xml:space="preserve"> </w:t>
      </w:r>
      <w:r>
        <w:rPr>
          <w:rFonts w:hint="eastAsia"/>
        </w:rPr>
        <w:t>2</w:t>
      </w:r>
      <w:r>
        <w:t>012</w:t>
      </w:r>
      <w:r>
        <w:rPr>
          <w:rFonts w:hint="eastAsia"/>
        </w:rPr>
        <w:t>年版的4</w:t>
      </w:r>
      <w:r>
        <w:t>.10</w:t>
      </w:r>
      <w:r>
        <w:rPr>
          <w:rFonts w:hint="eastAsia"/>
        </w:rPr>
        <w:t>）；</w:t>
      </w:r>
    </w:p>
    <w:p>
      <w:pPr>
        <w:pStyle w:val="56"/>
        <w:ind w:firstLine="420"/>
      </w:pPr>
      <w:r>
        <w:rPr>
          <w:rFonts w:hint="eastAsia"/>
        </w:rPr>
        <w:t>j</w:t>
      </w:r>
      <w:r>
        <w:t>)</w:t>
      </w:r>
      <w:r>
        <w:rPr>
          <w:rFonts w:hint="eastAsia"/>
        </w:rPr>
        <w:t>删除了车辆质量分配与行李箱容积的要求（见2</w:t>
      </w:r>
      <w:r>
        <w:t>012</w:t>
      </w:r>
      <w:r>
        <w:rPr>
          <w:rFonts w:hint="eastAsia"/>
        </w:rPr>
        <w:t>年版的4</w:t>
      </w:r>
      <w:r>
        <w:t>.2</w:t>
      </w:r>
      <w:r>
        <w:rPr>
          <w:rFonts w:hint="eastAsia"/>
        </w:rPr>
        <w:t>和4</w:t>
      </w:r>
      <w:r>
        <w:t>.3</w:t>
      </w:r>
      <w:r>
        <w:rPr>
          <w:rFonts w:hint="eastAsia"/>
        </w:rPr>
        <w:t>）；</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本文件由中华人民共和国工业和信息化部提出。</w:t>
      </w:r>
    </w:p>
    <w:p>
      <w:pPr>
        <w:pStyle w:val="56"/>
        <w:ind w:firstLine="420"/>
      </w:pPr>
      <w:r>
        <w:rPr>
          <w:rFonts w:hint="eastAsia"/>
        </w:rPr>
        <w:t>本文件由全国汽车标准化技术委员会（SAC/</w:t>
      </w:r>
      <w:r>
        <w:t>TC114</w:t>
      </w:r>
      <w:r>
        <w:rPr>
          <w:rFonts w:hint="eastAsia"/>
        </w:rPr>
        <w:t>）归口。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r>
        <w:rPr>
          <w:rFonts w:hint="eastAsia"/>
        </w:rPr>
        <w:t>本文件及其所代替文件的历次版本发布情况为：</w:t>
      </w:r>
    </w:p>
    <w:p>
      <w:pPr>
        <w:pStyle w:val="56"/>
        <w:ind w:firstLine="0" w:firstLineChars="0"/>
      </w:pPr>
      <w:r>
        <w:rPr>
          <w:rFonts w:hint="eastAsia"/>
        </w:rPr>
        <w:t xml:space="preserve"> </w:t>
      </w:r>
      <w:r>
        <w:t xml:space="preserve">   </w:t>
      </w:r>
      <w:r>
        <w:rPr>
          <w:rFonts w:hint="eastAsia"/>
        </w:rPr>
        <w:t>——2</w:t>
      </w:r>
      <w:r>
        <w:t>012</w:t>
      </w:r>
      <w:r>
        <w:rPr>
          <w:rFonts w:hint="eastAsia"/>
        </w:rPr>
        <w:t>年首次发布为GB</w:t>
      </w:r>
      <w:r>
        <w:t>/T 28382-2012</w:t>
      </w:r>
      <w:r>
        <w:rPr>
          <w:rFonts w:hint="eastAsia"/>
        </w:rPr>
        <w:t>；</w:t>
      </w:r>
    </w:p>
    <w:p>
      <w:pPr>
        <w:pStyle w:val="56"/>
        <w:ind w:firstLine="0" w:firstLineChars="0"/>
      </w:pPr>
      <w:r>
        <w:rPr>
          <w:rFonts w:hint="eastAsia"/>
        </w:rPr>
        <w:t xml:space="preserve"> </w:t>
      </w:r>
      <w:r>
        <w:t xml:space="preserve">   </w:t>
      </w:r>
      <w:r>
        <w:rPr>
          <w:rFonts w:hint="eastAsia"/>
        </w:rPr>
        <w:t>——本次为第一次修订</w:t>
      </w:r>
    </w:p>
    <w:p>
      <w:pPr>
        <w:pStyle w:val="56"/>
        <w:ind w:firstLine="0" w:firstLineChars="0"/>
        <w:sectPr>
          <w:headerReference r:id="rId7" w:type="default"/>
          <w:footerReference r:id="rId9" w:type="default"/>
          <w:headerReference r:id="rId8" w:type="even"/>
          <w:pgSz w:w="11906" w:h="16838"/>
          <w:pgMar w:top="567" w:right="1134" w:bottom="1134" w:left="1134" w:header="1418" w:footer="1134" w:gutter="284"/>
          <w:pgNumType w:fmt="upperRoman" w:start="1"/>
          <w:cols w:space="425" w:num="1"/>
          <w:formProt w:val="0"/>
          <w:docGrid w:type="lines" w:linePitch="312" w:charSpace="0"/>
        </w:sectPr>
      </w:pPr>
      <w:r>
        <w:t xml:space="preserve">     </w:t>
      </w:r>
    </w:p>
    <w:bookmarkEnd w:id="19"/>
    <w:p>
      <w:pPr>
        <w:spacing w:line="20" w:lineRule="exact"/>
        <w:jc w:val="center"/>
        <w:rPr>
          <w:rFonts w:ascii="黑体" w:hAnsi="黑体" w:eastAsia="黑体"/>
          <w:sz w:val="32"/>
          <w:szCs w:val="32"/>
        </w:rPr>
      </w:pPr>
      <w:bookmarkStart w:id="20" w:name="BookMark4"/>
    </w:p>
    <w:sdt>
      <w:sdtPr>
        <w:tag w:val="NEW_STAND_NAME"/>
        <w:id w:val="595910757"/>
        <w:lock w:val="sdtLocked"/>
        <w:placeholder>
          <w:docPart w:val="A368DCD5722149D1A5784CAC08C5DD92"/>
        </w:placeholder>
      </w:sdtPr>
      <w:sdtContent>
        <w:p>
          <w:pPr>
            <w:pStyle w:val="177"/>
            <w:spacing w:before="312" w:beforeLines="100" w:after="686" w:afterLines="220"/>
          </w:pPr>
          <w:bookmarkStart w:id="21" w:name="NEW_STAND_NAME"/>
          <w:r>
            <w:rPr>
              <w:rFonts w:hint="eastAsia"/>
            </w:rPr>
            <w:t>纯电动乘用车</w:t>
          </w:r>
          <w:r>
            <w:t xml:space="preserve"> 技术条件</w:t>
          </w:r>
        </w:p>
      </w:sdtContent>
    </w:sdt>
    <w:bookmarkEnd w:id="21"/>
    <w:p>
      <w:pPr>
        <w:pStyle w:val="104"/>
        <w:spacing w:before="312" w:after="312"/>
      </w:pPr>
      <w:bookmarkStart w:id="22" w:name="_Toc17233325"/>
      <w:bookmarkStart w:id="23" w:name="_Toc17233333"/>
      <w:bookmarkStart w:id="24" w:name="_Toc26718930"/>
      <w:bookmarkStart w:id="25" w:name="_Toc24884218"/>
      <w:bookmarkStart w:id="26" w:name="_Toc24884211"/>
      <w:bookmarkStart w:id="27" w:name="_Toc26648465"/>
      <w:bookmarkStart w:id="28" w:name="_Toc26986771"/>
      <w:bookmarkStart w:id="29" w:name="_Toc26986530"/>
      <w:r>
        <w:rPr>
          <w:rFonts w:hint="eastAsia"/>
        </w:rPr>
        <w:t>范围</w:t>
      </w:r>
      <w:bookmarkEnd w:id="22"/>
      <w:bookmarkEnd w:id="23"/>
      <w:bookmarkEnd w:id="24"/>
      <w:bookmarkEnd w:id="25"/>
      <w:bookmarkEnd w:id="26"/>
      <w:bookmarkEnd w:id="27"/>
      <w:bookmarkEnd w:id="28"/>
      <w:bookmarkEnd w:id="29"/>
    </w:p>
    <w:p>
      <w:pPr>
        <w:pStyle w:val="56"/>
        <w:ind w:firstLine="420"/>
      </w:pPr>
      <w:bookmarkStart w:id="30" w:name="_Toc24884219"/>
      <w:bookmarkStart w:id="31" w:name="_Toc26648466"/>
      <w:bookmarkStart w:id="32" w:name="_Toc17233326"/>
      <w:bookmarkStart w:id="33" w:name="_Toc17233334"/>
      <w:bookmarkStart w:id="34" w:name="_Toc24884212"/>
      <w:r>
        <w:rPr>
          <w:rFonts w:hint="eastAsia"/>
        </w:rPr>
        <w:t>本文件规定了座位数在5座及以下纯电动乘用车的术语和定义、要求和试验方法。</w:t>
      </w:r>
    </w:p>
    <w:p>
      <w:pPr>
        <w:pStyle w:val="56"/>
        <w:ind w:firstLine="420"/>
      </w:pPr>
      <w:r>
        <w:rPr>
          <w:rFonts w:hint="eastAsia"/>
        </w:rPr>
        <w:t>本文件适用于使用动力蓄电池驱动的座位数在5座及以下的纯电动乘用车（以下简称“车辆”）。</w:t>
      </w:r>
    </w:p>
    <w:p>
      <w:pPr>
        <w:pStyle w:val="104"/>
        <w:spacing w:before="312" w:after="312"/>
      </w:pPr>
      <w:bookmarkStart w:id="35" w:name="_Toc26986531"/>
      <w:bookmarkStart w:id="36" w:name="_Toc26986772"/>
      <w:bookmarkStart w:id="37" w:name="_Toc267189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921EF9E1CE35467F8B4355EAA615A0F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B</w:t>
      </w:r>
      <w:r>
        <w:rPr>
          <w:rFonts w:hint="eastAsia"/>
        </w:rPr>
        <w:t>/</w:t>
      </w:r>
      <w:r>
        <w:t xml:space="preserve">T 3730.1 </w:t>
      </w:r>
      <w:r>
        <w:rPr>
          <w:rFonts w:hint="eastAsia"/>
        </w:rPr>
        <w:t>汽车和挂车类型的术语和定义</w:t>
      </w:r>
    </w:p>
    <w:p>
      <w:pPr>
        <w:pStyle w:val="56"/>
        <w:ind w:firstLine="420"/>
      </w:pPr>
      <w:r>
        <w:rPr>
          <w:rFonts w:hint="eastAsia"/>
        </w:rPr>
        <w:t>GB/T 6323 汽车操纵稳定性试验方法</w:t>
      </w:r>
    </w:p>
    <w:p>
      <w:pPr>
        <w:pStyle w:val="56"/>
        <w:ind w:firstLine="420"/>
      </w:pPr>
      <w:r>
        <w:rPr>
          <w:rFonts w:hint="eastAsia"/>
        </w:rPr>
        <w:t>GB 9743 轿车轮胎</w:t>
      </w:r>
    </w:p>
    <w:p>
      <w:pPr>
        <w:pStyle w:val="56"/>
        <w:ind w:firstLine="420"/>
      </w:pPr>
      <w:r>
        <w:rPr>
          <w:rFonts w:hint="eastAsia"/>
        </w:rPr>
        <w:t>GB/T 14172</w:t>
      </w:r>
      <w:r>
        <w:t xml:space="preserve"> </w:t>
      </w:r>
      <w:r>
        <w:rPr>
          <w:rFonts w:hint="eastAsia"/>
        </w:rPr>
        <w:t>汽车静侧翻稳定性台架试验方法</w:t>
      </w:r>
    </w:p>
    <w:p>
      <w:pPr>
        <w:pStyle w:val="56"/>
        <w:ind w:firstLine="420"/>
      </w:pPr>
      <w:r>
        <w:rPr>
          <w:rFonts w:hint="eastAsia"/>
        </w:rPr>
        <w:t>GB 18384</w:t>
      </w:r>
      <w:r>
        <w:t xml:space="preserve"> </w:t>
      </w:r>
      <w:r>
        <w:rPr>
          <w:rFonts w:hint="eastAsia"/>
        </w:rPr>
        <w:t xml:space="preserve">电动汽车安全要求 </w:t>
      </w:r>
    </w:p>
    <w:p>
      <w:pPr>
        <w:pStyle w:val="56"/>
        <w:ind w:firstLine="420"/>
      </w:pPr>
      <w:r>
        <w:rPr>
          <w:rFonts w:hint="eastAsia"/>
        </w:rPr>
        <w:t xml:space="preserve">GB/T 18385 电动汽车 动力性能 试验方法 </w:t>
      </w:r>
    </w:p>
    <w:p>
      <w:pPr>
        <w:pStyle w:val="56"/>
        <w:ind w:firstLine="420"/>
      </w:pPr>
      <w:r>
        <w:rPr>
          <w:rFonts w:hint="eastAsia"/>
        </w:rPr>
        <w:t>GB/T 18386.</w:t>
      </w:r>
      <w:r>
        <w:t>1</w:t>
      </w:r>
      <w:r>
        <w:rPr>
          <w:rFonts w:hint="eastAsia"/>
        </w:rPr>
        <w:t xml:space="preserve"> 电动汽车能量消耗量和续驶里程试验方法 第1部分：轻型汽车</w:t>
      </w:r>
    </w:p>
    <w:p>
      <w:pPr>
        <w:pStyle w:val="56"/>
        <w:ind w:firstLine="420"/>
      </w:pPr>
      <w:r>
        <w:rPr>
          <w:rFonts w:hint="eastAsia"/>
        </w:rPr>
        <w:t>GB/T 18411 道路车辆 产品标牌</w:t>
      </w:r>
    </w:p>
    <w:p>
      <w:pPr>
        <w:pStyle w:val="56"/>
        <w:ind w:firstLine="420"/>
      </w:pPr>
      <w:r>
        <w:rPr>
          <w:rFonts w:hint="eastAsia"/>
        </w:rPr>
        <w:t>GB</w:t>
      </w:r>
      <w:r>
        <w:t xml:space="preserve">/T 18833 </w:t>
      </w:r>
      <w:r>
        <w:rPr>
          <w:rFonts w:hint="eastAsia"/>
        </w:rPr>
        <w:t>公路交通标志反光膜</w:t>
      </w:r>
    </w:p>
    <w:p>
      <w:pPr>
        <w:pStyle w:val="56"/>
        <w:ind w:firstLine="420"/>
      </w:pPr>
      <w:r>
        <w:rPr>
          <w:rFonts w:hint="eastAsia"/>
        </w:rPr>
        <w:t>GB/T 19596 电动汽车术语</w:t>
      </w:r>
    </w:p>
    <w:p>
      <w:pPr>
        <w:pStyle w:val="56"/>
        <w:ind w:firstLine="420"/>
      </w:pPr>
      <w:r>
        <w:rPr>
          <w:rFonts w:hint="eastAsia"/>
        </w:rPr>
        <w:t>GB/T 19750 混合动力电动汽车 定型试验规程</w:t>
      </w:r>
    </w:p>
    <w:p>
      <w:pPr>
        <w:pStyle w:val="56"/>
        <w:ind w:firstLine="420"/>
      </w:pPr>
      <w:r>
        <w:rPr>
          <w:rFonts w:hint="eastAsia"/>
        </w:rPr>
        <w:t>GB/T 20234(所有部分) 电动汽车传导充电用连接装置</w:t>
      </w:r>
    </w:p>
    <w:p>
      <w:pPr>
        <w:pStyle w:val="56"/>
        <w:ind w:firstLine="420"/>
      </w:pPr>
      <w:r>
        <w:rPr>
          <w:rFonts w:hint="eastAsia"/>
        </w:rPr>
        <w:t>GB 21670 乘用车制动系统技术要求及试验方法</w:t>
      </w:r>
    </w:p>
    <w:p>
      <w:pPr>
        <w:pStyle w:val="56"/>
        <w:ind w:firstLine="420"/>
      </w:pPr>
      <w:r>
        <w:rPr>
          <w:rFonts w:hint="eastAsia"/>
        </w:rPr>
        <w:t>GB 24545 车辆车速限制系统技术要求</w:t>
      </w:r>
    </w:p>
    <w:p>
      <w:pPr>
        <w:pStyle w:val="56"/>
        <w:ind w:firstLine="420"/>
      </w:pPr>
      <w:r>
        <w:rPr>
          <w:rFonts w:hint="eastAsia"/>
        </w:rPr>
        <w:t>GB/T 25978 道路车辆 标牌和标签</w:t>
      </w:r>
    </w:p>
    <w:p>
      <w:pPr>
        <w:pStyle w:val="56"/>
        <w:ind w:firstLine="420"/>
      </w:pPr>
      <w:r>
        <w:rPr>
          <w:rFonts w:hint="eastAsia"/>
        </w:rPr>
        <w:t>GB/T 31484 电动汽车用动力蓄电池循环寿命要求及试验方法</w:t>
      </w:r>
    </w:p>
    <w:p>
      <w:pPr>
        <w:pStyle w:val="56"/>
        <w:ind w:firstLine="420"/>
      </w:pPr>
      <w:r>
        <w:rPr>
          <w:rFonts w:hint="eastAsia"/>
        </w:rPr>
        <w:t>GB/T 31486 电动汽车用动力蓄电池电性能要求及试验方法</w:t>
      </w:r>
    </w:p>
    <w:p>
      <w:pPr>
        <w:pStyle w:val="56"/>
        <w:ind w:firstLine="420"/>
      </w:pPr>
      <w:r>
        <w:rPr>
          <w:rFonts w:hint="eastAsia"/>
        </w:rPr>
        <w:t>GB/T 31498 电动汽车碰撞后安全要求</w:t>
      </w:r>
    </w:p>
    <w:p>
      <w:pPr>
        <w:pStyle w:val="56"/>
        <w:ind w:firstLine="420"/>
      </w:pPr>
      <w:r>
        <w:rPr>
          <w:rFonts w:hint="eastAsia"/>
        </w:rPr>
        <w:t>GB/T 37153 电动汽车低速提示音</w:t>
      </w:r>
    </w:p>
    <w:p>
      <w:pPr>
        <w:pStyle w:val="56"/>
        <w:ind w:firstLine="420"/>
      </w:pPr>
      <w:r>
        <w:rPr>
          <w:rFonts w:hint="eastAsia"/>
        </w:rPr>
        <w:t>GB 38031 电动汽车用动力蓄电池安全要求</w:t>
      </w:r>
    </w:p>
    <w:p>
      <w:pPr>
        <w:pStyle w:val="56"/>
        <w:ind w:firstLine="420"/>
      </w:pPr>
      <w:r>
        <w:rPr>
          <w:rFonts w:hint="eastAsia"/>
        </w:rPr>
        <w:t>QC/T 480汽车操纵稳定性试验方法</w:t>
      </w:r>
    </w:p>
    <w:p>
      <w:pPr>
        <w:pStyle w:val="104"/>
        <w:spacing w:before="312" w:after="312"/>
      </w:pPr>
      <w:r>
        <w:rPr>
          <w:rFonts w:hint="eastAsia"/>
          <w:szCs w:val="21"/>
        </w:rPr>
        <w:t>术语和定义</w:t>
      </w:r>
    </w:p>
    <w:sdt>
      <w:sdtPr>
        <w:rPr>
          <w:rFonts w:hint="eastAsia" w:hAnsi="宋体"/>
        </w:rPr>
        <w:id w:val="-1909835108"/>
        <w:placeholder>
          <w:docPart w:val="921EF9E1CE35467F8B4355EAA615A0F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rPr>
      </w:sdtEndPr>
      <w:sdtContent>
        <w:p>
          <w:pPr>
            <w:pStyle w:val="56"/>
            <w:ind w:firstLine="420"/>
          </w:pPr>
          <w:bookmarkStart w:id="38" w:name="_Toc26986532"/>
          <w:bookmarkEnd w:id="38"/>
          <w:r>
            <w:rPr>
              <w:rFonts w:hint="eastAsia" w:hAnsi="宋体"/>
            </w:rPr>
            <w:t>GB/T</w:t>
          </w:r>
          <w:r>
            <w:rPr>
              <w:rFonts w:hAnsi="宋体"/>
            </w:rPr>
            <w:t xml:space="preserve"> </w:t>
          </w:r>
          <w:r>
            <w:rPr>
              <w:rFonts w:hint="eastAsia" w:hAnsi="宋体"/>
            </w:rPr>
            <w:t>3730.1、GB/T 19596界定的以及下列术语和定义适用于本文件。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纯电动乘用车 </w:t>
      </w:r>
      <w:r>
        <w:rPr>
          <w:rFonts w:ascii="黑体" w:hAnsi="黑体" w:eastAsia="黑体"/>
        </w:rPr>
        <w:t xml:space="preserve">battery electric </w:t>
      </w:r>
      <w:r>
        <w:rPr>
          <w:rFonts w:hint="eastAsia" w:ascii="黑体" w:hAnsi="黑体" w:eastAsia="黑体"/>
        </w:rPr>
        <w:t>passenger car</w:t>
      </w:r>
    </w:p>
    <w:p>
      <w:pPr>
        <w:pStyle w:val="230"/>
      </w:pPr>
      <w:r>
        <w:rPr>
          <w:rFonts w:hint="eastAsia"/>
        </w:rPr>
        <w:t>驱动能量完全由电能提供的、由电机驱动的乘用车。</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微型低速纯电动乘用车 </w:t>
      </w:r>
      <w:r>
        <w:rPr>
          <w:rFonts w:hint="eastAsia" w:ascii="黑体" w:hAnsi="黑体" w:eastAsia="黑体"/>
          <w:szCs w:val="21"/>
        </w:rPr>
        <w:t>low</w:t>
      </w:r>
      <w:r>
        <w:rPr>
          <w:rFonts w:ascii="黑体" w:hAnsi="黑体" w:eastAsia="黑体"/>
          <w:szCs w:val="21"/>
        </w:rPr>
        <w:t xml:space="preserve"> </w:t>
      </w:r>
      <w:r>
        <w:rPr>
          <w:rFonts w:hint="eastAsia" w:ascii="黑体" w:hAnsi="黑体" w:eastAsia="黑体"/>
          <w:szCs w:val="21"/>
        </w:rPr>
        <w:t>speed</w:t>
      </w:r>
      <w:r>
        <w:rPr>
          <w:rFonts w:ascii="黑体" w:hAnsi="黑体" w:eastAsia="黑体"/>
          <w:szCs w:val="21"/>
        </w:rPr>
        <w:t xml:space="preserve"> battery electric</w:t>
      </w:r>
      <w:r>
        <w:rPr>
          <w:rFonts w:hint="eastAsia" w:ascii="黑体" w:hAnsi="黑体" w:eastAsia="黑体"/>
        </w:rPr>
        <w:t xml:space="preserve"> </w:t>
      </w:r>
      <w:r>
        <w:rPr>
          <w:rFonts w:ascii="黑体" w:hAnsi="黑体" w:eastAsia="黑体"/>
          <w:szCs w:val="21"/>
        </w:rPr>
        <w:t>passenger car</w:t>
      </w:r>
    </w:p>
    <w:p>
      <w:pPr>
        <w:pStyle w:val="230"/>
        <w:rPr>
          <w:rFonts w:hAnsi="宋体"/>
        </w:rPr>
      </w:pPr>
      <w:r>
        <w:rPr>
          <w:rFonts w:hint="eastAsia" w:hAnsi="宋体"/>
          <w:szCs w:val="21"/>
        </w:rPr>
        <w:t>座位数在4座及以下、最高车速小于70 km/h</w:t>
      </w:r>
      <w:r>
        <w:rPr>
          <w:rFonts w:hint="eastAsia"/>
        </w:rPr>
        <w:t>的</w:t>
      </w:r>
      <w:r>
        <w:rPr>
          <w:rFonts w:hint="eastAsia" w:hAnsi="宋体"/>
        </w:rPr>
        <w:t>纯电动乘用车。</w:t>
      </w:r>
      <w:r>
        <w:rPr>
          <w:rFonts w:hAnsi="宋体"/>
        </w:rPr>
        <w:t xml:space="preserve"> </w:t>
      </w:r>
    </w:p>
    <w:p>
      <w:pPr>
        <w:pStyle w:val="104"/>
        <w:spacing w:before="312" w:after="312"/>
      </w:pPr>
      <w:r>
        <w:rPr>
          <w:rFonts w:hint="eastAsia"/>
        </w:rPr>
        <w:t>要求</w:t>
      </w:r>
    </w:p>
    <w:p>
      <w:pPr>
        <w:pStyle w:val="105"/>
        <w:spacing w:before="156" w:after="156"/>
      </w:pPr>
      <w:r>
        <w:rPr>
          <w:rFonts w:hint="eastAsia"/>
        </w:rPr>
        <w:t>通则</w:t>
      </w:r>
    </w:p>
    <w:p>
      <w:pPr>
        <w:pStyle w:val="56"/>
        <w:ind w:firstLine="420"/>
      </w:pPr>
      <w:r>
        <w:rPr>
          <w:rFonts w:hint="eastAsia"/>
        </w:rPr>
        <w:t>车辆应按照经过规定程序批准的图样及设计文件制造。</w:t>
      </w:r>
    </w:p>
    <w:p>
      <w:pPr>
        <w:pStyle w:val="105"/>
        <w:spacing w:before="156" w:after="156"/>
      </w:pPr>
      <w:r>
        <w:rPr>
          <w:rFonts w:hint="eastAsia"/>
        </w:rPr>
        <w:t>外廓尺寸</w:t>
      </w:r>
    </w:p>
    <w:p>
      <w:pPr>
        <w:pStyle w:val="56"/>
        <w:ind w:firstLine="420"/>
      </w:pPr>
      <w:r>
        <w:rPr>
          <w:rFonts w:hint="eastAsia"/>
        </w:rPr>
        <w:t>微型低速纯电动乘用车的长</w:t>
      </w:r>
      <w:r>
        <w:rPr>
          <w:rFonts w:hint="eastAsia"/>
          <w:color w:val="000000"/>
        </w:rPr>
        <w:t>度应不大于3500mm，宽度</w:t>
      </w:r>
      <w:r>
        <w:rPr>
          <w:rFonts w:hint="eastAsia"/>
        </w:rPr>
        <w:t>应不大于1500mm，高度应不大于1</w:t>
      </w:r>
      <w:r>
        <w:t>700</w:t>
      </w:r>
      <w:r>
        <w:rPr>
          <w:rFonts w:hint="eastAsia"/>
        </w:rPr>
        <w:t>mm。</w:t>
      </w:r>
    </w:p>
    <w:p>
      <w:pPr>
        <w:pStyle w:val="105"/>
        <w:spacing w:before="156" w:after="156"/>
      </w:pPr>
      <w:r>
        <w:rPr>
          <w:rFonts w:hint="eastAsia"/>
        </w:rPr>
        <w:t>整车整备质量</w:t>
      </w:r>
    </w:p>
    <w:p>
      <w:pPr>
        <w:pStyle w:val="56"/>
        <w:ind w:firstLine="420"/>
      </w:pPr>
      <w:r>
        <w:rPr>
          <w:rFonts w:hint="eastAsia"/>
        </w:rPr>
        <w:t>微型低速纯电动乘用车的整车整备质量不应超过750kg。</w:t>
      </w:r>
    </w:p>
    <w:p>
      <w:pPr>
        <w:pStyle w:val="179"/>
      </w:pPr>
      <w:r>
        <w:rPr>
          <w:rFonts w:hint="eastAsia"/>
        </w:rPr>
        <w:t>整车整备质量包括车载动力蓄电池、</w:t>
      </w:r>
      <w:r>
        <w:fldChar w:fldCharType="begin"/>
      </w:r>
      <w:r>
        <w:instrText xml:space="preserve"> HYPERLINK "http://baike.baidu.com/view/29604.htm" \t "_blank" </w:instrText>
      </w:r>
      <w:r>
        <w:fldChar w:fldCharType="separate"/>
      </w:r>
      <w:r>
        <w:t>润滑油</w:t>
      </w:r>
      <w:r>
        <w:fldChar w:fldCharType="end"/>
      </w:r>
      <w:r>
        <w:t>、</w:t>
      </w:r>
      <w:r>
        <w:rPr>
          <w:rFonts w:hint="eastAsia"/>
        </w:rPr>
        <w:t>冷却液</w:t>
      </w:r>
      <w:r>
        <w:t>、随车工具、备胎</w:t>
      </w:r>
      <w:r>
        <w:rPr>
          <w:rFonts w:hint="eastAsia"/>
        </w:rPr>
        <w:t>（如果有）</w:t>
      </w:r>
      <w:r>
        <w:t>、灭火器</w:t>
      </w:r>
      <w:r>
        <w:rPr>
          <w:rFonts w:hint="eastAsia"/>
        </w:rPr>
        <w:t>、三角警告牌</w:t>
      </w:r>
      <w:r>
        <w:t>等所有装置</w:t>
      </w:r>
      <w:r>
        <w:rPr>
          <w:rFonts w:hint="eastAsia"/>
        </w:rPr>
        <w:t>的</w:t>
      </w:r>
      <w:r>
        <w:t>质量</w:t>
      </w:r>
      <w:r>
        <w:rPr>
          <w:rFonts w:hint="eastAsia"/>
        </w:rPr>
        <w:t>。</w:t>
      </w:r>
    </w:p>
    <w:p>
      <w:pPr>
        <w:pStyle w:val="105"/>
        <w:spacing w:before="156" w:after="156"/>
      </w:pPr>
      <w:r>
        <w:rPr>
          <w:rFonts w:hint="eastAsia"/>
        </w:rPr>
        <w:t>轮胎</w:t>
      </w:r>
    </w:p>
    <w:p>
      <w:pPr>
        <w:pStyle w:val="56"/>
        <w:ind w:firstLine="420"/>
      </w:pPr>
      <w:r>
        <w:rPr>
          <w:rFonts w:hint="eastAsia"/>
        </w:rPr>
        <w:t>轮胎应满足GB</w:t>
      </w:r>
      <w:r>
        <w:t xml:space="preserve"> 9743</w:t>
      </w:r>
      <w:r>
        <w:rPr>
          <w:rFonts w:hint="eastAsia"/>
        </w:rPr>
        <w:t>的要求。</w:t>
      </w:r>
    </w:p>
    <w:p>
      <w:pPr>
        <w:pStyle w:val="105"/>
        <w:spacing w:before="156" w:after="156"/>
      </w:pPr>
      <w:r>
        <w:rPr>
          <w:rFonts w:hint="eastAsia"/>
        </w:rPr>
        <w:t xml:space="preserve"> 电安全</w:t>
      </w:r>
    </w:p>
    <w:p>
      <w:pPr>
        <w:pStyle w:val="56"/>
        <w:ind w:firstLine="420"/>
      </w:pPr>
      <w:r>
        <w:rPr>
          <w:rFonts w:hint="eastAsia"/>
        </w:rPr>
        <w:t>车辆的电安全应符合GB</w:t>
      </w:r>
      <w:r>
        <w:t xml:space="preserve"> 18384</w:t>
      </w:r>
      <w:r>
        <w:rPr>
          <w:rFonts w:hint="eastAsia"/>
        </w:rPr>
        <w:t>的要求。</w:t>
      </w:r>
    </w:p>
    <w:p>
      <w:pPr>
        <w:pStyle w:val="105"/>
        <w:spacing w:before="156" w:after="156"/>
      </w:pPr>
      <w:r>
        <w:rPr>
          <w:rFonts w:hint="eastAsia"/>
        </w:rPr>
        <w:t xml:space="preserve"> 碰撞后安全</w:t>
      </w:r>
    </w:p>
    <w:p>
      <w:pPr>
        <w:pStyle w:val="165"/>
        <w:ind w:left="0"/>
      </w:pPr>
      <w:r>
        <w:rPr>
          <w:rFonts w:hint="eastAsia"/>
        </w:rPr>
        <w:t>车辆</w:t>
      </w:r>
      <w:r>
        <w:t>所有座椅均应</w:t>
      </w:r>
      <w:r>
        <w:rPr>
          <w:rFonts w:hint="eastAsia"/>
        </w:rPr>
        <w:t>至少</w:t>
      </w:r>
      <w:r>
        <w:t>装</w:t>
      </w:r>
      <w:r>
        <w:rPr>
          <w:rFonts w:hint="eastAsia"/>
        </w:rPr>
        <w:t>备三点式</w:t>
      </w:r>
      <w:r>
        <w:t>汽车安全带</w:t>
      </w:r>
      <w:r>
        <w:rPr>
          <w:rFonts w:hint="eastAsia"/>
        </w:rPr>
        <w:t>。</w:t>
      </w:r>
    </w:p>
    <w:p>
      <w:pPr>
        <w:pStyle w:val="165"/>
        <w:ind w:left="0"/>
      </w:pPr>
      <w:r>
        <w:rPr>
          <w:rFonts w:hint="eastAsia"/>
        </w:rPr>
        <w:t>车辆应该按照GB/T</w:t>
      </w:r>
      <w:r>
        <w:t xml:space="preserve"> </w:t>
      </w:r>
      <w:r>
        <w:rPr>
          <w:rFonts w:hint="eastAsia"/>
        </w:rPr>
        <w:t>31498进行碰撞试验，其中微型低速纯电动乘用车的正面碰撞试验以40 km/h的速度进行，试验结果应符合GB/T</w:t>
      </w:r>
      <w:r>
        <w:t xml:space="preserve"> </w:t>
      </w:r>
      <w:r>
        <w:rPr>
          <w:rFonts w:hint="eastAsia"/>
        </w:rPr>
        <w:t>31498的要求。</w:t>
      </w:r>
    </w:p>
    <w:p>
      <w:pPr>
        <w:pStyle w:val="105"/>
        <w:spacing w:before="156" w:after="156"/>
      </w:pPr>
      <w:r>
        <w:rPr>
          <w:rFonts w:hint="eastAsia"/>
        </w:rPr>
        <w:t xml:space="preserve"> 低速提示音</w:t>
      </w:r>
    </w:p>
    <w:p>
      <w:pPr>
        <w:pStyle w:val="56"/>
        <w:ind w:firstLine="420"/>
      </w:pPr>
      <w:r>
        <w:rPr>
          <w:rFonts w:hint="eastAsia"/>
        </w:rPr>
        <w:t>车辆低速提示音应符合</w:t>
      </w:r>
      <w:r>
        <w:t xml:space="preserve">GB/T </w:t>
      </w:r>
      <w:r>
        <w:rPr>
          <w:rFonts w:hint="eastAsia"/>
        </w:rPr>
        <w:t>3</w:t>
      </w:r>
      <w:r>
        <w:t>7153</w:t>
      </w:r>
      <w:r>
        <w:rPr>
          <w:rFonts w:hint="eastAsia"/>
        </w:rPr>
        <w:t>的要求。</w:t>
      </w:r>
    </w:p>
    <w:p>
      <w:pPr>
        <w:pStyle w:val="105"/>
        <w:spacing w:before="156" w:after="156"/>
      </w:pPr>
      <w:r>
        <w:rPr>
          <w:rFonts w:hint="eastAsia"/>
        </w:rPr>
        <w:t xml:space="preserve"> 超速限制</w:t>
      </w:r>
    </w:p>
    <w:p>
      <w:pPr>
        <w:pStyle w:val="56"/>
        <w:ind w:firstLine="420"/>
      </w:pPr>
      <w:r>
        <w:rPr>
          <w:rFonts w:hint="eastAsia"/>
        </w:rPr>
        <w:t>对于具有限速功能或使用限速装置使微型低速纯电动乘用车满足最高车速要求的车辆，限速功能或限速装置应符合GB 24545的相关要求。</w:t>
      </w:r>
    </w:p>
    <w:p>
      <w:pPr>
        <w:pStyle w:val="105"/>
        <w:spacing w:before="156" w:after="156"/>
      </w:pPr>
      <w:r>
        <w:rPr>
          <w:rFonts w:hint="eastAsia"/>
        </w:rPr>
        <w:t xml:space="preserve"> 制动性能</w:t>
      </w:r>
    </w:p>
    <w:p>
      <w:pPr>
        <w:pStyle w:val="56"/>
        <w:ind w:firstLine="420"/>
      </w:pPr>
      <w:r>
        <w:rPr>
          <w:rFonts w:hint="eastAsia"/>
        </w:rPr>
        <w:t>车辆应配备符合规定的防抱制动系统（ABS），其中微型低速纯电动乘用车的制动性能要求和试验方法应满足附录A。</w:t>
      </w:r>
    </w:p>
    <w:p>
      <w:pPr>
        <w:pStyle w:val="105"/>
        <w:spacing w:before="156" w:after="156"/>
      </w:pPr>
      <w:r>
        <w:rPr>
          <w:rFonts w:hint="eastAsia"/>
        </w:rPr>
        <w:t xml:space="preserve"> 稳定性</w:t>
      </w:r>
    </w:p>
    <w:p>
      <w:pPr>
        <w:pStyle w:val="165"/>
        <w:ind w:left="0"/>
      </w:pPr>
      <w:r>
        <w:rPr>
          <w:rFonts w:hint="eastAsia"/>
        </w:rPr>
        <w:t>车辆按照GB</w:t>
      </w:r>
      <w:r>
        <w:t>/</w:t>
      </w:r>
      <w:r>
        <w:rPr>
          <w:rFonts w:hint="eastAsia"/>
        </w:rPr>
        <w:t>T</w:t>
      </w:r>
      <w:r>
        <w:t xml:space="preserve"> 6323</w:t>
      </w:r>
      <w:r>
        <w:rPr>
          <w:rFonts w:hint="eastAsia"/>
        </w:rPr>
        <w:t>进行操纵稳定性试验，其指标应符合QC/T 480的要求。</w:t>
      </w:r>
    </w:p>
    <w:p>
      <w:pPr>
        <w:pStyle w:val="165"/>
        <w:ind w:left="0"/>
      </w:pPr>
      <w:r>
        <w:rPr>
          <w:rFonts w:hint="eastAsia"/>
          <w:szCs w:val="21"/>
        </w:rPr>
        <w:t>微型低速纯电动乘用车</w:t>
      </w:r>
      <w:r>
        <w:rPr>
          <w:rFonts w:hint="eastAsia"/>
        </w:rPr>
        <w:t>按照GB/T 14172规定的方法，在空载、静态状态下测试，向左侧和右侧倾斜的侧倾稳定角均应大于等于</w:t>
      </w:r>
      <w:r>
        <w:t>35</w:t>
      </w:r>
      <w:r>
        <w:rPr>
          <w:rFonts w:hint="eastAsia"/>
        </w:rPr>
        <w:t>°。</w:t>
      </w:r>
    </w:p>
    <w:p>
      <w:pPr>
        <w:pStyle w:val="105"/>
        <w:spacing w:before="156" w:after="156"/>
      </w:pPr>
      <w:r>
        <w:rPr>
          <w:rFonts w:hint="eastAsia"/>
        </w:rPr>
        <w:t>动力性能要求</w:t>
      </w:r>
    </w:p>
    <w:p>
      <w:pPr>
        <w:pStyle w:val="65"/>
        <w:spacing w:before="156" w:after="156"/>
        <w:ind w:left="0"/>
      </w:pPr>
      <w:r>
        <w:rPr>
          <w:rFonts w:hint="eastAsia"/>
        </w:rPr>
        <w:t>最高车速</w:t>
      </w:r>
    </w:p>
    <w:p>
      <w:pPr>
        <w:pStyle w:val="56"/>
        <w:ind w:firstLine="420"/>
      </w:pPr>
      <w:r>
        <w:rPr>
          <w:rFonts w:hint="eastAsia"/>
        </w:rPr>
        <w:t xml:space="preserve">车辆按照GB/T </w:t>
      </w:r>
      <w:r>
        <w:t>18385</w:t>
      </w:r>
      <w:r>
        <w:rPr>
          <w:rFonts w:hint="eastAsia"/>
        </w:rPr>
        <w:t>规定的试验方法测量30分钟最高车速，其值应不</w:t>
      </w:r>
      <w:r>
        <w:rPr>
          <w:rFonts w:hint="eastAsia"/>
          <w:lang w:eastAsia="zh-CN"/>
        </w:rPr>
        <w:t>小</w:t>
      </w:r>
      <w:r>
        <w:rPr>
          <w:rFonts w:hint="eastAsia"/>
        </w:rPr>
        <w:t>于100</w:t>
      </w:r>
      <w:r>
        <w:t xml:space="preserve"> km/h</w:t>
      </w:r>
      <w:r>
        <w:rPr>
          <w:rFonts w:hint="eastAsia"/>
        </w:rPr>
        <w:t>；其中微型低速</w:t>
      </w:r>
      <w:bookmarkStart w:id="40" w:name="_GoBack"/>
      <w:bookmarkEnd w:id="40"/>
      <w:r>
        <w:rPr>
          <w:rFonts w:hint="eastAsia"/>
        </w:rPr>
        <w:t>纯电动乘用车的3</w:t>
      </w:r>
      <w:r>
        <w:t>0</w:t>
      </w:r>
      <w:r>
        <w:rPr>
          <w:rFonts w:hint="eastAsia"/>
        </w:rPr>
        <w:t>分钟最高车速应大于等于40 km/h且小于70 km/h。</w:t>
      </w:r>
    </w:p>
    <w:p>
      <w:pPr>
        <w:pStyle w:val="65"/>
        <w:spacing w:before="156" w:after="156"/>
        <w:ind w:left="0"/>
      </w:pPr>
      <w:r>
        <w:rPr>
          <w:rFonts w:hint="eastAsia"/>
        </w:rPr>
        <w:t>加速性能</w:t>
      </w:r>
    </w:p>
    <w:p>
      <w:pPr>
        <w:pStyle w:val="56"/>
        <w:ind w:firstLine="420"/>
      </w:pPr>
      <w:r>
        <w:rPr>
          <w:rFonts w:hint="eastAsia"/>
        </w:rPr>
        <w:t xml:space="preserve">车辆按照GB/T </w:t>
      </w:r>
      <w:r>
        <w:t>18385</w:t>
      </w:r>
      <w:r>
        <w:rPr>
          <w:rFonts w:hint="eastAsia"/>
        </w:rPr>
        <w:t>规定的试验方法测量车辆</w:t>
      </w:r>
      <w:r>
        <w:t xml:space="preserve">0 </w:t>
      </w:r>
      <w:r>
        <w:rPr>
          <w:rFonts w:hint="eastAsia"/>
        </w:rPr>
        <w:t>km</w:t>
      </w:r>
      <w:r>
        <w:t>/h～50</w:t>
      </w:r>
      <w:r>
        <w:rPr>
          <w:rFonts w:hint="eastAsia"/>
        </w:rPr>
        <w:t xml:space="preserve"> </w:t>
      </w:r>
      <w:r>
        <w:t>km/h</w:t>
      </w:r>
      <w:r>
        <w:rPr>
          <w:rFonts w:hint="eastAsia"/>
        </w:rPr>
        <w:t>和</w:t>
      </w:r>
      <w:r>
        <w:t>50 km/h～</w:t>
      </w:r>
      <w:r>
        <w:rPr>
          <w:rFonts w:hint="eastAsia"/>
        </w:rPr>
        <w:t>8</w:t>
      </w:r>
      <w:r>
        <w:t>0</w:t>
      </w:r>
      <w:r>
        <w:rPr>
          <w:rFonts w:hint="eastAsia"/>
        </w:rPr>
        <w:t xml:space="preserve"> </w:t>
      </w:r>
      <w:r>
        <w:t>km/h</w:t>
      </w:r>
      <w:r>
        <w:rPr>
          <w:rFonts w:hint="eastAsia"/>
        </w:rPr>
        <w:t>的加速性能，其</w:t>
      </w:r>
      <w:r>
        <w:t>加速时间</w:t>
      </w:r>
      <w:r>
        <w:rPr>
          <w:rFonts w:hint="eastAsia"/>
        </w:rPr>
        <w:t xml:space="preserve">应分别不大于10 </w:t>
      </w:r>
      <w:r>
        <w:t>s</w:t>
      </w:r>
      <w:r>
        <w:rPr>
          <w:rFonts w:hint="eastAsia"/>
        </w:rPr>
        <w:t>和15 s，其中微型低速纯电动乘用车测量0</w:t>
      </w:r>
      <w:r>
        <w:t xml:space="preserve"> km/h～</w:t>
      </w:r>
      <w:r>
        <w:rPr>
          <w:rFonts w:hint="eastAsia"/>
        </w:rPr>
        <w:t>30 km/h 的加速时间，应不大于10s。</w:t>
      </w:r>
    </w:p>
    <w:p>
      <w:pPr>
        <w:pStyle w:val="65"/>
        <w:spacing w:before="156" w:after="156"/>
        <w:ind w:left="0"/>
      </w:pPr>
      <w:r>
        <w:t>爬坡</w:t>
      </w:r>
      <w:r>
        <w:rPr>
          <w:rFonts w:hint="eastAsia"/>
        </w:rPr>
        <w:t>性能</w:t>
      </w:r>
    </w:p>
    <w:p>
      <w:pPr>
        <w:pStyle w:val="56"/>
        <w:ind w:firstLine="420"/>
      </w:pPr>
      <w:r>
        <w:rPr>
          <w:rFonts w:hint="eastAsia"/>
        </w:rPr>
        <w:t xml:space="preserve">车辆按照GB/T </w:t>
      </w:r>
      <w:r>
        <w:t>18385</w:t>
      </w:r>
      <w:r>
        <w:rPr>
          <w:rFonts w:hint="eastAsia"/>
        </w:rPr>
        <w:t>规定的试验方法，测量车辆爬坡车速和车辆最大爬坡度，最大爬坡度应不低于20%，其中微型低速纯电动乘用车通过4%坡度的爬坡车速不小于2</w:t>
      </w:r>
      <w:r>
        <w:t xml:space="preserve">0 </w:t>
      </w:r>
      <w:r>
        <w:rPr>
          <w:rFonts w:hint="eastAsia"/>
        </w:rPr>
        <w:t>km/h，通过1</w:t>
      </w:r>
      <w:r>
        <w:t>2</w:t>
      </w:r>
      <w:r>
        <w:rPr>
          <w:rFonts w:hint="eastAsia"/>
        </w:rPr>
        <w:t>%坡度的爬坡车速不小于1</w:t>
      </w:r>
      <w:r>
        <w:t xml:space="preserve">0 </w:t>
      </w:r>
      <w:r>
        <w:rPr>
          <w:rFonts w:hint="eastAsia"/>
        </w:rPr>
        <w:t>km/</w:t>
      </w:r>
      <w:r>
        <w:t>h</w:t>
      </w:r>
      <w:r>
        <w:rPr>
          <w:rFonts w:hint="eastAsia"/>
        </w:rPr>
        <w:t>。</w:t>
      </w:r>
    </w:p>
    <w:p>
      <w:pPr>
        <w:pStyle w:val="65"/>
        <w:spacing w:before="156" w:after="156"/>
        <w:ind w:left="0"/>
      </w:pPr>
      <w:r>
        <w:rPr>
          <w:rFonts w:hint="eastAsia"/>
        </w:rPr>
        <w:t>比功率</w:t>
      </w:r>
    </w:p>
    <w:p>
      <w:pPr>
        <w:pStyle w:val="56"/>
        <w:ind w:firstLine="420"/>
      </w:pPr>
      <w:r>
        <w:rPr>
          <w:rFonts w:hint="eastAsia"/>
        </w:rPr>
        <w:t>微型低速纯电动乘用车采用电机峰值功率与整车整备质量之比计算的比功率值应不小于1</w:t>
      </w:r>
      <w:r>
        <w:t>0</w:t>
      </w:r>
      <w:r>
        <w:rPr>
          <w:rFonts w:hint="eastAsia"/>
        </w:rPr>
        <w:t>kW/t且不大于2</w:t>
      </w:r>
      <w:r>
        <w:t>0</w:t>
      </w:r>
      <w:r>
        <w:rPr>
          <w:rFonts w:hint="eastAsia"/>
        </w:rPr>
        <w:t>kW/t。</w:t>
      </w:r>
    </w:p>
    <w:p>
      <w:pPr>
        <w:pStyle w:val="105"/>
        <w:spacing w:before="156" w:after="156"/>
      </w:pPr>
      <w:r>
        <w:rPr>
          <w:rFonts w:hint="eastAsia"/>
        </w:rPr>
        <w:t>低温起动性能要求</w:t>
      </w:r>
    </w:p>
    <w:p>
      <w:pPr>
        <w:pStyle w:val="56"/>
        <w:ind w:firstLine="420"/>
      </w:pPr>
      <w:r>
        <w:rPr>
          <w:rFonts w:hint="eastAsia"/>
        </w:rPr>
        <w:t>车辆在-20℃±1℃的试验环境温度下，浸车8</w:t>
      </w:r>
      <w:r>
        <w:t xml:space="preserve"> </w:t>
      </w:r>
      <w:r>
        <w:rPr>
          <w:rFonts w:hint="eastAsia"/>
        </w:rPr>
        <w:t>h后，应能正常起动、行驶。</w:t>
      </w:r>
    </w:p>
    <w:p>
      <w:pPr>
        <w:pStyle w:val="105"/>
        <w:spacing w:before="156" w:after="156"/>
      </w:pPr>
      <w:r>
        <w:rPr>
          <w:rFonts w:hint="eastAsia"/>
        </w:rPr>
        <w:t>续驶里程</w:t>
      </w:r>
    </w:p>
    <w:p>
      <w:pPr>
        <w:pStyle w:val="56"/>
        <w:ind w:firstLine="420"/>
      </w:pPr>
      <w:r>
        <w:rPr>
          <w:rFonts w:hint="eastAsia"/>
        </w:rPr>
        <w:t>车辆按照GB/T</w:t>
      </w:r>
      <w:r>
        <w:t xml:space="preserve"> </w:t>
      </w:r>
      <w:r>
        <w:rPr>
          <w:rFonts w:hint="eastAsia"/>
        </w:rPr>
        <w:t>18386.</w:t>
      </w:r>
      <w:r>
        <w:t>1</w:t>
      </w:r>
      <w:r>
        <w:rPr>
          <w:rFonts w:hint="eastAsia"/>
        </w:rPr>
        <w:t>测量工况法续驶里程，其值应不小于100km，其中微型低速纯电动乘用车参照GB</w:t>
      </w:r>
      <w:r>
        <w:t>/T 18386.1</w:t>
      </w:r>
      <w:r>
        <w:rPr>
          <w:rFonts w:hint="eastAsia"/>
        </w:rPr>
        <w:t>的试验条件，按照3</w:t>
      </w:r>
      <w:r>
        <w:t>0</w:t>
      </w:r>
      <w:r>
        <w:rPr>
          <w:rFonts w:hint="eastAsia"/>
        </w:rPr>
        <w:t>km</w:t>
      </w:r>
      <w:r>
        <w:t>/h</w:t>
      </w:r>
      <w:r>
        <w:rPr>
          <w:rFonts w:hint="eastAsia"/>
        </w:rPr>
        <w:t>匀速进行续驶里程试验,记录试验结果。</w:t>
      </w:r>
    </w:p>
    <w:p>
      <w:pPr>
        <w:pStyle w:val="105"/>
        <w:spacing w:before="156" w:after="156"/>
      </w:pPr>
      <w:r>
        <w:rPr>
          <w:rFonts w:hint="eastAsia"/>
        </w:rPr>
        <w:t>车辆上安装的动力蓄电池的要求</w:t>
      </w:r>
    </w:p>
    <w:p>
      <w:pPr>
        <w:pStyle w:val="65"/>
        <w:spacing w:before="156" w:after="156"/>
        <w:ind w:left="0"/>
      </w:pPr>
      <w:r>
        <w:rPr>
          <w:rFonts w:hint="eastAsia"/>
        </w:rPr>
        <w:t>安全要求</w:t>
      </w:r>
    </w:p>
    <w:p>
      <w:pPr>
        <w:pStyle w:val="56"/>
        <w:ind w:firstLine="420"/>
      </w:pPr>
      <w:r>
        <w:rPr>
          <w:rFonts w:hint="eastAsia"/>
        </w:rPr>
        <w:t>车辆的蓄电池应该配备电池管理系统，安全要求应符合GB 38031的要求，其中微型低速纯电动乘用车的蓄电池模拟碰撞试验，在x方向加速度为GB</w:t>
      </w:r>
      <w:r>
        <w:t xml:space="preserve"> </w:t>
      </w:r>
      <w:r>
        <w:rPr>
          <w:rFonts w:hint="eastAsia"/>
        </w:rPr>
        <w:t>38031要求的80%，y方向加速度要求保持不变。</w:t>
      </w:r>
    </w:p>
    <w:p>
      <w:pPr>
        <w:pStyle w:val="65"/>
        <w:spacing w:before="156" w:after="156"/>
        <w:ind w:left="0"/>
      </w:pPr>
      <w:r>
        <w:rPr>
          <w:rFonts w:hint="eastAsia"/>
        </w:rPr>
        <w:t>电性能要求</w:t>
      </w:r>
    </w:p>
    <w:p>
      <w:pPr>
        <w:pStyle w:val="56"/>
        <w:ind w:firstLine="420"/>
      </w:pPr>
      <w:r>
        <w:rPr>
          <w:rFonts w:hint="eastAsia"/>
        </w:rPr>
        <w:t>车辆的蓄电池电性能应符合GB/T 31486的要求。</w:t>
      </w:r>
    </w:p>
    <w:p>
      <w:pPr>
        <w:pStyle w:val="65"/>
        <w:spacing w:before="156" w:after="156"/>
        <w:ind w:left="0"/>
      </w:pPr>
      <w:r>
        <w:rPr>
          <w:rFonts w:hint="eastAsia"/>
        </w:rPr>
        <w:t>循环寿命要求</w:t>
      </w:r>
    </w:p>
    <w:p>
      <w:pPr>
        <w:pStyle w:val="56"/>
        <w:ind w:firstLine="420"/>
      </w:pPr>
      <w:r>
        <w:rPr>
          <w:rFonts w:hint="eastAsia"/>
        </w:rPr>
        <w:t>车辆的蓄电池循环寿命应符合GB</w:t>
      </w:r>
      <w:r>
        <w:t>/T 31484</w:t>
      </w:r>
      <w:r>
        <w:rPr>
          <w:rFonts w:hint="eastAsia"/>
        </w:rPr>
        <w:t>的要求。</w:t>
      </w:r>
    </w:p>
    <w:p>
      <w:pPr>
        <w:pStyle w:val="65"/>
        <w:spacing w:before="156" w:after="156"/>
        <w:ind w:left="0"/>
      </w:pPr>
      <w:r>
        <w:rPr>
          <w:rFonts w:hint="eastAsia"/>
        </w:rPr>
        <w:t>能量密度要求</w:t>
      </w:r>
    </w:p>
    <w:p>
      <w:pPr>
        <w:pStyle w:val="56"/>
        <w:ind w:firstLine="420"/>
      </w:pPr>
      <w:r>
        <w:rPr>
          <w:rFonts w:hint="eastAsia"/>
        </w:rPr>
        <w:t>车辆的蓄电池电池系统能量密度不应低于70Wh/kg。</w:t>
      </w:r>
    </w:p>
    <w:p>
      <w:pPr>
        <w:pStyle w:val="105"/>
        <w:spacing w:before="156" w:after="156"/>
      </w:pPr>
      <w:r>
        <w:rPr>
          <w:rFonts w:hint="eastAsia"/>
        </w:rPr>
        <w:t>充电接口要求</w:t>
      </w:r>
    </w:p>
    <w:p>
      <w:pPr>
        <w:pStyle w:val="230"/>
      </w:pPr>
      <w:r>
        <w:rPr>
          <w:rFonts w:hint="eastAsia"/>
        </w:rPr>
        <w:t>车辆充电接口应符合</w:t>
      </w:r>
      <w:r>
        <w:rPr>
          <w:rFonts w:hint="eastAsia" w:hAnsi="宋体"/>
          <w:color w:val="000000"/>
          <w:kern w:val="2"/>
          <w:szCs w:val="22"/>
        </w:rPr>
        <w:t>GB/</w:t>
      </w:r>
      <w:r>
        <w:rPr>
          <w:rFonts w:hAnsi="宋体"/>
          <w:color w:val="000000"/>
          <w:kern w:val="2"/>
          <w:szCs w:val="22"/>
        </w:rPr>
        <w:t>T 20234</w:t>
      </w:r>
      <w:r>
        <w:rPr>
          <w:rFonts w:hint="eastAsia" w:hAnsi="宋体"/>
          <w:color w:val="000000"/>
          <w:kern w:val="2"/>
          <w:szCs w:val="22"/>
        </w:rPr>
        <w:t>所用部分的要求。</w:t>
      </w:r>
    </w:p>
    <w:p>
      <w:pPr>
        <w:pStyle w:val="105"/>
        <w:spacing w:before="156" w:after="156"/>
      </w:pPr>
      <w:r>
        <w:rPr>
          <w:rFonts w:hint="eastAsia"/>
        </w:rPr>
        <w:t>标志和标识</w:t>
      </w:r>
    </w:p>
    <w:p>
      <w:pPr>
        <w:pStyle w:val="65"/>
        <w:spacing w:before="156" w:after="156"/>
        <w:ind w:left="0"/>
      </w:pPr>
      <w:r>
        <w:rPr>
          <w:rFonts w:hint="eastAsia"/>
        </w:rPr>
        <w:t>整车标志</w:t>
      </w:r>
    </w:p>
    <w:p>
      <w:pPr>
        <w:pStyle w:val="56"/>
        <w:ind w:firstLine="420"/>
      </w:pPr>
      <w:r>
        <w:t>在车身前部外表面的易见部位上应至少装置一个能永久保持的</w:t>
      </w:r>
      <w:r>
        <w:rPr>
          <w:rFonts w:hint="eastAsia"/>
        </w:rPr>
        <w:t>、与车辆品牌/型号相适应的</w:t>
      </w:r>
      <w:r>
        <w:t>商标或厂标。</w:t>
      </w:r>
    </w:p>
    <w:p>
      <w:pPr>
        <w:pStyle w:val="56"/>
        <w:ind w:firstLine="420"/>
      </w:pPr>
      <w:r>
        <w:rPr>
          <w:rFonts w:hint="eastAsia"/>
        </w:rPr>
        <w:t>车辆</w:t>
      </w:r>
      <w:r>
        <w:t>应至少装置一个能永久保持的产品标牌，该标牌的固定、位置及型式应符合GB/T 18411的规定</w:t>
      </w:r>
      <w:r>
        <w:rPr>
          <w:rFonts w:hint="eastAsia"/>
        </w:rPr>
        <w:t>；产品标牌如采用标签标示，则标签应符合GB/T 25978规定的标签一般性能、防篡改性能及防伪性能要求。</w:t>
      </w:r>
    </w:p>
    <w:p>
      <w:pPr>
        <w:pStyle w:val="65"/>
        <w:spacing w:before="156" w:after="156"/>
        <w:ind w:left="0"/>
      </w:pPr>
      <w:r>
        <w:rPr>
          <w:rFonts w:hint="eastAsia"/>
        </w:rPr>
        <w:t>微型标识</w:t>
      </w:r>
    </w:p>
    <w:p>
      <w:pPr>
        <w:pStyle w:val="56"/>
        <w:ind w:firstLine="420"/>
      </w:pPr>
      <w:r>
        <w:rPr>
          <w:rFonts w:hint="eastAsia"/>
        </w:rPr>
        <w:t>微型低速纯电动乘用车的相关标识应该满足附录B的要求。</w:t>
      </w:r>
    </w:p>
    <w:p>
      <w:pPr>
        <w:pStyle w:val="105"/>
        <w:spacing w:before="156" w:after="156"/>
      </w:pPr>
      <w:r>
        <w:rPr>
          <w:rFonts w:hint="eastAsia"/>
        </w:rPr>
        <w:t>可靠性要求</w:t>
      </w:r>
    </w:p>
    <w:p>
      <w:pPr>
        <w:pStyle w:val="65"/>
        <w:spacing w:before="156" w:after="156"/>
        <w:ind w:left="0"/>
      </w:pPr>
      <w:r>
        <w:rPr>
          <w:rFonts w:hint="eastAsia"/>
        </w:rPr>
        <w:t>里程分配</w:t>
      </w:r>
    </w:p>
    <w:p>
      <w:pPr>
        <w:pStyle w:val="230"/>
      </w:pPr>
      <w:r>
        <w:rPr>
          <w:rFonts w:hint="eastAsia"/>
        </w:rPr>
        <w:t>车辆的可靠性行驶试验应在试验场地内进行，总里程为15000 km，其中强化坏路2000 km，平坦公路6000 km，高速路2000 km，工况行驶5000</w:t>
      </w:r>
      <w:r>
        <w:t xml:space="preserve"> </w:t>
      </w:r>
      <w:r>
        <w:rPr>
          <w:rFonts w:hint="eastAsia"/>
        </w:rPr>
        <w:t>km（工况参照GB/T 19750）；其中微型低速纯电动乘用车可靠性行驶试验的总里程为8000 km，其中强化坏路2000 km，平坦公路6000 km。可靠性行驶试验前的动力性能试验里程、以及各试验间的行驶里程等可计入可靠性试验里程。</w:t>
      </w:r>
    </w:p>
    <w:p>
      <w:pPr>
        <w:pStyle w:val="65"/>
        <w:spacing w:before="156" w:after="156"/>
        <w:ind w:left="0"/>
      </w:pPr>
      <w:r>
        <w:rPr>
          <w:rFonts w:hint="eastAsia"/>
        </w:rPr>
        <w:t>故障</w:t>
      </w:r>
    </w:p>
    <w:p>
      <w:pPr>
        <w:pStyle w:val="230"/>
      </w:pPr>
      <w:r>
        <w:rPr>
          <w:rFonts w:hint="eastAsia"/>
        </w:rPr>
        <w:t>整个可靠性试验过程中，整车控制器及总线系统、动力蓄电池及管理系统、电机及电机控制器、车载充电系统（如果有）等系统和设备不应出现危及人身安全、引起主要总成报废、对周围环境造成严重危害的故障（致命故障）；也不应出现影响行车安全、引起主要零部件和总成严重损坏或用易损备件和随车工具不能在短时间内排除的故障（严重故障）。</w:t>
      </w:r>
    </w:p>
    <w:p>
      <w:pPr>
        <w:pStyle w:val="230"/>
      </w:pPr>
      <w:r>
        <w:rPr>
          <w:rFonts w:hint="eastAsia"/>
        </w:rPr>
        <w:t>其它系统和零部件参照相关标准的要求考核。</w:t>
      </w:r>
    </w:p>
    <w:p>
      <w:pPr>
        <w:pStyle w:val="65"/>
        <w:spacing w:before="156" w:after="156"/>
        <w:ind w:left="0"/>
      </w:pPr>
      <w:r>
        <w:rPr>
          <w:rFonts w:hint="eastAsia"/>
        </w:rPr>
        <w:t>车辆维护</w:t>
      </w:r>
    </w:p>
    <w:p>
      <w:pPr>
        <w:pStyle w:val="230"/>
      </w:pPr>
      <w:r>
        <w:rPr>
          <w:rFonts w:hint="eastAsia"/>
        </w:rPr>
        <w:t>车辆的正常维护和充电应按照车辆制造厂的规定。</w:t>
      </w:r>
    </w:p>
    <w:p>
      <w:pPr>
        <w:pStyle w:val="230"/>
      </w:pPr>
      <w:r>
        <w:rPr>
          <w:rFonts w:hint="eastAsia"/>
        </w:rPr>
        <w:t>整个行驶试验期间，不应更换动力系统的关键部件，如电机及其控制器、动力蓄电池及管理系统、车载充电系统（如果有）等。</w:t>
      </w:r>
    </w:p>
    <w:p>
      <w:pPr>
        <w:pStyle w:val="65"/>
        <w:spacing w:before="156" w:after="156"/>
        <w:ind w:left="0"/>
      </w:pPr>
      <w:r>
        <w:rPr>
          <w:rFonts w:hint="eastAsia"/>
        </w:rPr>
        <w:t>性能复试</w:t>
      </w:r>
    </w:p>
    <w:p>
      <w:pPr>
        <w:pStyle w:val="230"/>
      </w:pPr>
      <w:r>
        <w:rPr>
          <w:rFonts w:hint="eastAsia"/>
        </w:rPr>
        <w:t>车辆可靠性试验结束后，进行30分钟最高车速、续驶里程复试。其30分钟最高车速复测值应不低于4.11.1中所测值的80%；工况法续驶里程复测值应不低于4.1</w:t>
      </w:r>
      <w:r>
        <w:t>3</w:t>
      </w:r>
      <w:r>
        <w:rPr>
          <w:rFonts w:hint="eastAsia"/>
        </w:rPr>
        <w:t>中所测值的80%，其中微型低速纯电动乘用车可靠性试验结束后，车辆最高车速、续驶里程不应下降超过10%。</w:t>
      </w:r>
    </w:p>
    <w:p>
      <w:pPr>
        <w:pStyle w:val="56"/>
        <w:ind w:firstLine="420"/>
      </w:pPr>
    </w:p>
    <w:p>
      <w:pPr>
        <w:pStyle w:val="56"/>
        <w:ind w:firstLine="420"/>
      </w:pPr>
    </w:p>
    <w:p>
      <w:pPr>
        <w:pStyle w:val="56"/>
        <w:ind w:firstLine="420"/>
      </w:pPr>
    </w:p>
    <w:p>
      <w:pPr>
        <w:pStyle w:val="56"/>
        <w:ind w:firstLine="420"/>
      </w:pPr>
    </w:p>
    <w:p/>
    <w:p>
      <w:pPr>
        <w:tabs>
          <w:tab w:val="left" w:pos="6330"/>
        </w:tabs>
      </w:pPr>
      <w:r>
        <w:tab/>
      </w:r>
    </w:p>
    <w:p>
      <w:pPr>
        <w:tabs>
          <w:tab w:val="left" w:pos="6330"/>
        </w:tabs>
        <w:sectPr>
          <w:pgSz w:w="11906" w:h="16838"/>
          <w:pgMar w:top="567" w:right="1134" w:bottom="1134" w:left="1134" w:header="1418" w:footer="1134" w:gutter="284"/>
          <w:pgNumType w:start="1"/>
          <w:cols w:space="425" w:num="1"/>
          <w:formProt w:val="0"/>
          <w:docGrid w:type="lines" w:linePitch="312" w:charSpace="0"/>
        </w:sectPr>
      </w:pPr>
      <w:r>
        <w:tab/>
      </w:r>
    </w:p>
    <w:bookmarkEnd w:id="20"/>
    <w:p>
      <w:pPr>
        <w:pStyle w:val="198"/>
        <w:rPr>
          <w:vanish w:val="0"/>
        </w:rPr>
      </w:pPr>
      <w:bookmarkStart w:id="39" w:name="BookMark5"/>
    </w:p>
    <w:p>
      <w:pPr>
        <w:pStyle w:val="199"/>
        <w:rPr>
          <w:vanish w:val="0"/>
        </w:rPr>
      </w:pPr>
    </w:p>
    <w:p>
      <w:pPr>
        <w:pStyle w:val="76"/>
        <w:spacing w:before="78" w:after="156"/>
      </w:pPr>
      <w:r>
        <w:br w:type="textWrapping"/>
      </w:r>
      <w:r>
        <w:rPr>
          <w:rFonts w:hint="eastAsia"/>
        </w:rPr>
        <w:t>（规范性）</w:t>
      </w:r>
      <w:r>
        <w:br w:type="textWrapping"/>
      </w:r>
      <w:r>
        <w:rPr>
          <w:rFonts w:hint="eastAsia"/>
        </w:rPr>
        <w:t>微型低速纯电动乘用车制动系统试验条件及性能要求</w:t>
      </w:r>
    </w:p>
    <w:p>
      <w:pPr>
        <w:pStyle w:val="78"/>
        <w:spacing w:before="156" w:after="156"/>
        <w:rPr>
          <w:rFonts w:ascii="宋体" w:hAnsi="宋体"/>
          <w:b/>
          <w:bCs/>
        </w:rPr>
      </w:pPr>
      <w:r>
        <w:t>0-</w:t>
      </w:r>
      <w:r>
        <w:rPr>
          <w:rFonts w:hint="eastAsia"/>
        </w:rPr>
        <w:t>型试验</w:t>
      </w:r>
    </w:p>
    <w:p>
      <w:pPr>
        <w:pStyle w:val="79"/>
        <w:spacing w:before="156" w:after="156"/>
        <w:rPr>
          <w:rFonts w:ascii="宋体" w:hAnsi="宋体"/>
          <w:b/>
          <w:bCs/>
        </w:rPr>
      </w:pPr>
      <w:r>
        <w:rPr>
          <w:rFonts w:hint="eastAsia"/>
        </w:rPr>
        <w:t>试验条件</w:t>
      </w:r>
    </w:p>
    <w:p>
      <w:pPr>
        <w:pStyle w:val="56"/>
        <w:ind w:firstLine="420"/>
      </w:pPr>
      <w:r>
        <w:t>80%</w:t>
      </w:r>
      <w:r>
        <w:rPr>
          <w:rFonts w:hint="eastAsia"/>
        </w:rPr>
        <w:t>最高设计车速高于</w:t>
      </w:r>
      <w:r>
        <w:t>50km/h</w:t>
      </w:r>
      <w:r>
        <w:rPr>
          <w:rFonts w:hint="eastAsia"/>
        </w:rPr>
        <w:t>，试验初试车速v应为</w:t>
      </w:r>
      <w:r>
        <w:t>80%</w:t>
      </w:r>
      <w:r>
        <w:rPr>
          <w:rFonts w:hint="eastAsia"/>
        </w:rPr>
        <w:t>最高设计车速。</w:t>
      </w:r>
    </w:p>
    <w:p>
      <w:pPr>
        <w:pStyle w:val="56"/>
        <w:ind w:firstLine="420"/>
      </w:pPr>
      <w:r>
        <w:t>80%</w:t>
      </w:r>
      <w:r>
        <w:rPr>
          <w:rFonts w:hint="eastAsia"/>
        </w:rPr>
        <w:t>最高设计车速不高于</w:t>
      </w:r>
      <w:r>
        <w:t>50km/h</w:t>
      </w:r>
      <w:r>
        <w:rPr>
          <w:rFonts w:hint="eastAsia"/>
        </w:rPr>
        <w:t>且最高设计车速高于5</w:t>
      </w:r>
      <w:r>
        <w:t>0</w:t>
      </w:r>
      <w:r>
        <w:rPr>
          <w:rFonts w:hint="eastAsia"/>
        </w:rPr>
        <w:t>km</w:t>
      </w:r>
      <w:r>
        <w:t>/h</w:t>
      </w:r>
      <w:r>
        <w:rPr>
          <w:rFonts w:hint="eastAsia"/>
        </w:rPr>
        <w:t>，试验初试车速应为</w:t>
      </w:r>
      <w:r>
        <w:t>50km/h</w:t>
      </w:r>
      <w:r>
        <w:rPr>
          <w:rFonts w:hint="eastAsia"/>
        </w:rPr>
        <w:t>。</w:t>
      </w:r>
    </w:p>
    <w:p>
      <w:pPr>
        <w:pStyle w:val="56"/>
        <w:ind w:firstLine="420"/>
      </w:pPr>
      <w:r>
        <w:rPr>
          <w:rFonts w:hint="eastAsia"/>
        </w:rPr>
        <w:t>最高设计车速不高于</w:t>
      </w:r>
      <w:r>
        <w:t>50km/h</w:t>
      </w:r>
      <w:r>
        <w:rPr>
          <w:rFonts w:hint="eastAsia"/>
        </w:rPr>
        <w:t>，试验初试车速应为最高设计车速。</w:t>
      </w:r>
    </w:p>
    <w:p>
      <w:pPr>
        <w:pStyle w:val="56"/>
        <w:ind w:firstLine="420"/>
      </w:pPr>
      <w:r>
        <w:rPr>
          <w:rFonts w:hint="eastAsia"/>
        </w:rPr>
        <w:t>试验的其他条件，及对具有电力再生制动系统的车辆的特殊性要求，参照</w:t>
      </w:r>
      <w:r>
        <w:t>GB 21670</w:t>
      </w:r>
      <w:r>
        <w:rPr>
          <w:rFonts w:hint="eastAsia"/>
        </w:rPr>
        <w:t>的要求进行，</w:t>
      </w:r>
    </w:p>
    <w:p>
      <w:pPr>
        <w:pStyle w:val="79"/>
        <w:spacing w:before="156" w:after="156"/>
      </w:pPr>
      <w:r>
        <w:rPr>
          <w:rFonts w:hint="eastAsia"/>
        </w:rPr>
        <w:t>试验过程</w:t>
      </w:r>
    </w:p>
    <w:p>
      <w:pPr>
        <w:pStyle w:val="56"/>
        <w:ind w:firstLine="409" w:firstLineChars="195"/>
      </w:pPr>
      <w:r>
        <w:rPr>
          <w:rFonts w:hint="eastAsia"/>
        </w:rPr>
        <w:t>微型低速纯电动乘用车0-型制动试验按照GB</w:t>
      </w:r>
      <w:r>
        <w:t xml:space="preserve"> 21670</w:t>
      </w:r>
      <w:r>
        <w:rPr>
          <w:rFonts w:hint="eastAsia"/>
        </w:rPr>
        <w:t>的试验方法进行，且不再区分驱动系统脱开和结合试验，只在车辆挂入</w:t>
      </w:r>
      <w:r>
        <w:t>N</w:t>
      </w:r>
      <w:r>
        <w:rPr>
          <w:rFonts w:hint="eastAsia"/>
        </w:rPr>
        <w:t>档时进行</w:t>
      </w:r>
      <w:r>
        <w:t>0-</w:t>
      </w:r>
      <w:r>
        <w:rPr>
          <w:rFonts w:hint="eastAsia"/>
        </w:rPr>
        <w:t>型试验。</w:t>
      </w:r>
    </w:p>
    <w:p>
      <w:pPr>
        <w:pStyle w:val="56"/>
        <w:ind w:firstLine="0" w:firstLineChars="0"/>
      </w:pPr>
    </w:p>
    <w:p>
      <w:pPr>
        <w:pStyle w:val="79"/>
        <w:spacing w:before="156" w:after="156"/>
      </w:pPr>
      <w:r>
        <w:rPr>
          <w:rFonts w:hint="eastAsia"/>
        </w:rPr>
        <w:t>制动试验效能要求</w:t>
      </w:r>
    </w:p>
    <w:p>
      <w:pPr>
        <w:pStyle w:val="56"/>
        <w:ind w:firstLine="420"/>
      </w:pPr>
      <w:r>
        <w:rPr>
          <w:rFonts w:hint="eastAsia"/>
        </w:rPr>
        <w:t>0-型试验的制动效能符合表A.</w:t>
      </w:r>
      <w:r>
        <w:t>1</w:t>
      </w:r>
      <w:r>
        <w:rPr>
          <w:rFonts w:hint="eastAsia"/>
        </w:rPr>
        <w:t>的要求。</w:t>
      </w:r>
    </w:p>
    <w:p>
      <w:pPr>
        <w:pStyle w:val="77"/>
        <w:spacing w:before="156" w:after="156"/>
      </w:pPr>
      <w:r>
        <w:rPr>
          <w:rFonts w:hint="eastAsia"/>
        </w:rPr>
        <w:t xml:space="preserve">0-型试验效能要求 </w:t>
      </w:r>
      <w:r>
        <w:t xml:space="preserve">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1842"/>
        <w:gridCol w:w="4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3110" w:type="dxa"/>
            <w:vMerge w:val="restart"/>
            <w:tcBorders>
              <w:top w:val="single" w:color="auto" w:sz="8" w:space="0"/>
            </w:tcBorders>
            <w:shd w:val="clear" w:color="auto" w:fill="auto"/>
            <w:vAlign w:val="center"/>
          </w:tcPr>
          <w:p>
            <w:pPr>
              <w:pStyle w:val="178"/>
            </w:pPr>
            <w:r>
              <w:t>0-</w:t>
            </w:r>
            <w:r>
              <w:rPr>
                <w:rFonts w:hint="eastAsia"/>
              </w:rPr>
              <w:t>型试验</w:t>
            </w:r>
          </w:p>
        </w:tc>
        <w:tc>
          <w:tcPr>
            <w:tcW w:w="1842" w:type="dxa"/>
            <w:tcBorders>
              <w:top w:val="single" w:color="auto" w:sz="8" w:space="0"/>
              <w:bottom w:val="single" w:color="auto" w:sz="8" w:space="0"/>
            </w:tcBorders>
            <w:shd w:val="clear" w:color="auto" w:fill="auto"/>
            <w:vAlign w:val="center"/>
          </w:tcPr>
          <w:p>
            <w:pPr>
              <w:pStyle w:val="178"/>
            </w:pPr>
            <w:r>
              <w:rPr>
                <w:rFonts w:hint="eastAsia"/>
              </w:rPr>
              <w:t>制动距离</w:t>
            </w:r>
            <w:r>
              <w:rPr>
                <w:rFonts w:hint="eastAsia"/>
                <w:i/>
              </w:rPr>
              <w:t>S</w:t>
            </w:r>
            <w:r>
              <w:rPr>
                <w:i/>
              </w:rPr>
              <w:t xml:space="preserve"> </w:t>
            </w:r>
            <w:r>
              <w:rPr>
                <w:rFonts w:hint="eastAsia"/>
              </w:rPr>
              <w:t>≤</w:t>
            </w:r>
          </w:p>
        </w:tc>
        <w:tc>
          <w:tcPr>
            <w:tcW w:w="4382" w:type="dxa"/>
            <w:tcBorders>
              <w:top w:val="single" w:color="auto" w:sz="8" w:space="0"/>
              <w:bottom w:val="single" w:color="auto" w:sz="8" w:space="0"/>
            </w:tcBorders>
            <w:shd w:val="clear" w:color="auto" w:fill="auto"/>
            <w:vAlign w:val="center"/>
          </w:tcPr>
          <w:p>
            <w:pPr>
              <w:pStyle w:val="178"/>
            </w:pPr>
            <w:r>
              <w:rPr>
                <w:szCs w:val="18"/>
              </w:rPr>
              <w:t>0.1</w:t>
            </w:r>
            <w:r>
              <w:rPr>
                <w:i/>
                <w:szCs w:val="18"/>
              </w:rPr>
              <w:t>v</w:t>
            </w:r>
            <w:r>
              <w:rPr>
                <w:szCs w:val="18"/>
              </w:rPr>
              <w:t>+0.0060</w:t>
            </w:r>
            <w:r>
              <w:rPr>
                <w:i/>
                <w:szCs w:val="18"/>
              </w:rPr>
              <w:t>v</w:t>
            </w:r>
            <w:r>
              <w:rPr>
                <w:i/>
                <w:szCs w:val="18"/>
                <w:vertAlign w:val="superscript"/>
              </w:rPr>
              <w:t xml:space="preserve"> </w:t>
            </w:r>
            <w:r>
              <w:rPr>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10" w:type="dxa"/>
            <w:vMerge w:val="continue"/>
            <w:shd w:val="clear" w:color="auto" w:fill="auto"/>
            <w:vAlign w:val="center"/>
          </w:tcPr>
          <w:p>
            <w:pPr>
              <w:pStyle w:val="178"/>
            </w:pPr>
          </w:p>
        </w:tc>
        <w:tc>
          <w:tcPr>
            <w:tcW w:w="1842" w:type="dxa"/>
            <w:tcBorders>
              <w:top w:val="single" w:color="auto" w:sz="8" w:space="0"/>
            </w:tcBorders>
            <w:shd w:val="clear" w:color="auto" w:fill="auto"/>
            <w:vAlign w:val="center"/>
          </w:tcPr>
          <w:p>
            <w:pPr>
              <w:pStyle w:val="178"/>
            </w:pPr>
            <w:r>
              <w:rPr>
                <w:rFonts w:hint="eastAsia"/>
              </w:rPr>
              <w:t>制动减速度</w:t>
            </w:r>
            <w:r>
              <w:rPr>
                <w:rFonts w:hint="eastAsia"/>
                <w:i/>
              </w:rPr>
              <w:t>d</w:t>
            </w:r>
            <w:r>
              <w:rPr>
                <w:rFonts w:hint="eastAsia"/>
                <w:i/>
                <w:vertAlign w:val="subscript"/>
              </w:rPr>
              <w:t>m</w:t>
            </w:r>
            <w:r>
              <w:rPr>
                <w:i/>
                <w:vertAlign w:val="subscript"/>
              </w:rPr>
              <w:t xml:space="preserve"> </w:t>
            </w:r>
            <w:r>
              <w:rPr>
                <w:rFonts w:hint="eastAsia"/>
              </w:rPr>
              <w:t>≥</w:t>
            </w:r>
          </w:p>
        </w:tc>
        <w:tc>
          <w:tcPr>
            <w:tcW w:w="4382" w:type="dxa"/>
            <w:tcBorders>
              <w:top w:val="single" w:color="auto" w:sz="8" w:space="0"/>
            </w:tcBorders>
            <w:shd w:val="clear" w:color="auto" w:fill="auto"/>
            <w:vAlign w:val="center"/>
          </w:tcPr>
          <w:p>
            <w:pPr>
              <w:pStyle w:val="178"/>
            </w:pPr>
            <w:r>
              <w:rPr>
                <w:szCs w:val="18"/>
              </w:rPr>
              <w:t>6.43 m/s</w:t>
            </w:r>
            <w:r>
              <w:rPr>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10" w:type="dxa"/>
            <w:vMerge w:val="continue"/>
            <w:shd w:val="clear" w:color="auto" w:fill="auto"/>
            <w:vAlign w:val="center"/>
          </w:tcPr>
          <w:p>
            <w:pPr>
              <w:pStyle w:val="178"/>
            </w:pPr>
          </w:p>
        </w:tc>
        <w:tc>
          <w:tcPr>
            <w:tcW w:w="1842" w:type="dxa"/>
            <w:shd w:val="clear" w:color="auto" w:fill="auto"/>
            <w:vAlign w:val="center"/>
          </w:tcPr>
          <w:p>
            <w:pPr>
              <w:pStyle w:val="178"/>
            </w:pPr>
            <w:r>
              <w:rPr>
                <w:rFonts w:hint="eastAsia"/>
              </w:rPr>
              <w:t xml:space="preserve">踏板力 </w:t>
            </w:r>
            <w:r>
              <w:rPr>
                <w:rFonts w:hint="eastAsia"/>
                <w:i/>
              </w:rPr>
              <w:t>F</w:t>
            </w:r>
          </w:p>
        </w:tc>
        <w:tc>
          <w:tcPr>
            <w:tcW w:w="4382" w:type="dxa"/>
            <w:shd w:val="clear" w:color="auto" w:fill="auto"/>
            <w:vAlign w:val="center"/>
          </w:tcPr>
          <w:p>
            <w:pPr>
              <w:pStyle w:val="178"/>
              <w:rPr>
                <w:rFonts w:hAnsi="宋体"/>
                <w:szCs w:val="18"/>
              </w:rPr>
            </w:pPr>
            <w:r>
              <w:rPr>
                <w:rFonts w:hAnsi="宋体"/>
                <w:kern w:val="2"/>
                <w:szCs w:val="18"/>
              </w:rPr>
              <w:t xml:space="preserve">65N </w:t>
            </w:r>
            <w:r>
              <w:rPr>
                <w:rFonts w:hint="eastAsia" w:ascii="Times New Roman"/>
                <w:kern w:val="2"/>
                <w:szCs w:val="18"/>
              </w:rPr>
              <w:t>~</w:t>
            </w:r>
            <w:r>
              <w:rPr>
                <w:rFonts w:ascii="Times New Roman"/>
                <w:kern w:val="2"/>
                <w:szCs w:val="18"/>
              </w:rPr>
              <w:t xml:space="preserve"> </w:t>
            </w:r>
            <w:r>
              <w:rPr>
                <w:rFonts w:hAnsi="宋体"/>
                <w:kern w:val="2"/>
                <w:szCs w:val="18"/>
              </w:rPr>
              <w:t>500N</w:t>
            </w:r>
          </w:p>
        </w:tc>
      </w:tr>
    </w:tbl>
    <w:p>
      <w:pPr>
        <w:pStyle w:val="78"/>
        <w:spacing w:before="156" w:after="156"/>
      </w:pPr>
      <w:r>
        <w:t>I</w:t>
      </w:r>
      <w:r>
        <w:rPr>
          <w:rFonts w:hint="eastAsia"/>
        </w:rPr>
        <w:t>-型试验（热衰退和恢复试验）</w:t>
      </w:r>
    </w:p>
    <w:p>
      <w:pPr>
        <w:pStyle w:val="79"/>
        <w:spacing w:before="156" w:after="156"/>
      </w:pPr>
      <w:r>
        <w:rPr>
          <w:rFonts w:hint="eastAsia"/>
        </w:rPr>
        <w:t>加热过程</w:t>
      </w:r>
    </w:p>
    <w:p>
      <w:pPr>
        <w:pStyle w:val="56"/>
        <w:ind w:firstLine="420"/>
      </w:pPr>
      <w:r>
        <w:rPr>
          <w:rFonts w:hint="eastAsia"/>
        </w:rPr>
        <w:t>车辆I-型试验的加热过程参照表A.</w:t>
      </w:r>
      <w:r>
        <w:t>2</w:t>
      </w:r>
      <w:r>
        <w:rPr>
          <w:rFonts w:hint="eastAsia"/>
        </w:rPr>
        <w:t>的加热试验条件进行。</w:t>
      </w:r>
    </w:p>
    <w:p>
      <w:pPr>
        <w:pStyle w:val="77"/>
        <w:spacing w:before="156" w:after="156"/>
      </w:pPr>
      <w:r>
        <w:rPr>
          <w:rFonts w:hint="eastAsia"/>
        </w:rPr>
        <w:t xml:space="preserve">加热试验条件 </w:t>
      </w:r>
      <w:r>
        <w:t xml:space="preserve">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334" w:type="dxa"/>
            <w:tcBorders>
              <w:top w:val="single" w:color="auto" w:sz="8" w:space="0"/>
              <w:bottom w:val="single" w:color="auto" w:sz="8" w:space="0"/>
            </w:tcBorders>
            <w:shd w:val="clear" w:color="auto" w:fill="auto"/>
            <w:vAlign w:val="center"/>
          </w:tcPr>
          <w:p>
            <w:pPr>
              <w:ind w:firstLine="210" w:firstLineChars="100"/>
              <w:rPr>
                <w:rFonts w:ascii="宋体" w:hAnsi="宋体"/>
              </w:rPr>
            </w:pPr>
            <w:r>
              <w:rPr>
                <w:rFonts w:hint="eastAsia" w:ascii="宋体" w:hAnsi="宋体" w:cs="宋体"/>
              </w:rPr>
              <w:t>制动初速度</w:t>
            </w:r>
            <w:r>
              <w:rPr>
                <w:rFonts w:ascii="宋体" w:hAnsi="宋体"/>
                <w:i/>
              </w:rPr>
              <w:t>v</w:t>
            </w:r>
            <w:r>
              <w:rPr>
                <w:rFonts w:ascii="宋体" w:hAnsi="宋体"/>
                <w:i/>
                <w:vertAlign w:val="subscript"/>
              </w:rPr>
              <w:t>1</w:t>
            </w:r>
            <w:r>
              <w:rPr>
                <w:rFonts w:hint="eastAsia" w:ascii="宋体" w:hAnsi="宋体" w:cs="宋体"/>
              </w:rPr>
              <w:t>（</w:t>
            </w:r>
            <w:r>
              <w:rPr>
                <w:rFonts w:ascii="宋体" w:hAnsi="宋体" w:cs="宋体"/>
              </w:rPr>
              <w:t>km/h</w:t>
            </w:r>
            <w:r>
              <w:rPr>
                <w:rFonts w:hint="eastAsia" w:ascii="宋体" w:hAnsi="宋体" w:cs="宋体"/>
              </w:rPr>
              <w:t>）</w:t>
            </w:r>
          </w:p>
        </w:tc>
        <w:tc>
          <w:tcPr>
            <w:tcW w:w="2333" w:type="dxa"/>
            <w:tcBorders>
              <w:top w:val="single" w:color="auto" w:sz="8" w:space="0"/>
              <w:bottom w:val="single" w:color="auto" w:sz="8" w:space="0"/>
            </w:tcBorders>
            <w:shd w:val="clear" w:color="auto" w:fill="auto"/>
            <w:vAlign w:val="center"/>
          </w:tcPr>
          <w:p>
            <w:pPr>
              <w:ind w:firstLine="210" w:firstLineChars="100"/>
              <w:rPr>
                <w:rFonts w:ascii="宋体" w:hAnsi="宋体" w:cs="宋体"/>
              </w:rPr>
            </w:pPr>
            <w:r>
              <w:rPr>
                <w:rFonts w:hint="eastAsia" w:ascii="宋体" w:hAnsi="宋体" w:cs="宋体"/>
              </w:rPr>
              <w:t>制动结束时的速度</w:t>
            </w:r>
          </w:p>
          <w:p>
            <w:pPr>
              <w:ind w:firstLine="540" w:firstLineChars="300"/>
              <w:rPr>
                <w:rFonts w:ascii="宋体" w:hAnsi="宋体"/>
              </w:rPr>
            </w:pPr>
            <w:r>
              <w:rPr>
                <w:rFonts w:ascii="宋体" w:hAnsi="宋体"/>
                <w:i/>
                <w:sz w:val="18"/>
                <w:szCs w:val="18"/>
              </w:rPr>
              <w:t>V</w:t>
            </w:r>
            <w:r>
              <w:rPr>
                <w:rFonts w:ascii="宋体" w:hAnsi="宋体"/>
                <w:i/>
                <w:sz w:val="18"/>
                <w:szCs w:val="18"/>
                <w:vertAlign w:val="subscript"/>
              </w:rPr>
              <w:t>2</w:t>
            </w:r>
            <w:r>
              <w:rPr>
                <w:rFonts w:ascii="宋体" w:hAnsi="宋体"/>
                <w:sz w:val="18"/>
                <w:szCs w:val="18"/>
              </w:rPr>
              <w:t>（km/h）</w:t>
            </w:r>
          </w:p>
        </w:tc>
        <w:tc>
          <w:tcPr>
            <w:tcW w:w="2333" w:type="dxa"/>
            <w:tcBorders>
              <w:top w:val="single" w:color="auto" w:sz="8" w:space="0"/>
              <w:bottom w:val="single" w:color="auto" w:sz="8" w:space="0"/>
            </w:tcBorders>
            <w:shd w:val="clear" w:color="auto" w:fill="auto"/>
            <w:vAlign w:val="center"/>
          </w:tcPr>
          <w:p>
            <w:pPr>
              <w:ind w:firstLine="210" w:firstLineChars="100"/>
              <w:rPr>
                <w:rFonts w:ascii="宋体" w:hAnsi="宋体"/>
              </w:rPr>
            </w:pPr>
            <w:r>
              <w:rPr>
                <w:rFonts w:hint="eastAsia" w:ascii="宋体" w:hAnsi="宋体" w:cs="宋体"/>
              </w:rPr>
              <w:t>制动循环周期</w:t>
            </w:r>
            <w:r>
              <w:rPr>
                <w:rFonts w:ascii="宋体" w:hAnsi="宋体"/>
                <w:i/>
                <w:sz w:val="18"/>
                <w:szCs w:val="18"/>
              </w:rPr>
              <w:t>Δt</w:t>
            </w:r>
            <w:r>
              <w:rPr>
                <w:rFonts w:ascii="宋体" w:hAnsi="宋体"/>
                <w:sz w:val="18"/>
                <w:szCs w:val="18"/>
              </w:rPr>
              <w:t>（s）</w:t>
            </w:r>
          </w:p>
        </w:tc>
        <w:tc>
          <w:tcPr>
            <w:tcW w:w="2334" w:type="dxa"/>
            <w:tcBorders>
              <w:top w:val="single" w:color="auto" w:sz="8" w:space="0"/>
              <w:bottom w:val="single" w:color="auto" w:sz="8" w:space="0"/>
            </w:tcBorders>
            <w:shd w:val="clear" w:color="auto" w:fill="auto"/>
            <w:vAlign w:val="center"/>
          </w:tcPr>
          <w:p>
            <w:pPr>
              <w:ind w:firstLine="420" w:firstLineChars="200"/>
              <w:rPr>
                <w:rFonts w:ascii="宋体" w:hAnsi="宋体"/>
              </w:rPr>
            </w:pPr>
            <w:r>
              <w:rPr>
                <w:rFonts w:hint="eastAsia" w:ascii="宋体" w:hAnsi="宋体" w:cs="宋体"/>
              </w:rPr>
              <w:t>制动次数</w:t>
            </w:r>
            <w:r>
              <w:rPr>
                <w:rFonts w:ascii="宋体" w:hAnsi="宋体"/>
                <w:i/>
                <w:sz w:val="18"/>
                <w:szCs w:val="18"/>
              </w:rPr>
              <w:t>N</w:t>
            </w:r>
            <w:r>
              <w:rPr>
                <w:sz w:val="18"/>
                <w:szCs w:val="18"/>
              </w:rPr>
              <w:t>（</w:t>
            </w:r>
            <w:r>
              <w:rPr>
                <w:rFonts w:hint="eastAsia"/>
                <w:sz w:val="18"/>
                <w:szCs w:val="18"/>
              </w:rPr>
              <w:t>次</w:t>
            </w:r>
            <w:r>
              <w:rPr>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34" w:type="dxa"/>
            <w:tcBorders>
              <w:top w:val="single" w:color="auto" w:sz="8" w:space="0"/>
            </w:tcBorders>
            <w:shd w:val="clear" w:color="auto" w:fill="auto"/>
            <w:vAlign w:val="center"/>
          </w:tcPr>
          <w:p>
            <w:pPr>
              <w:spacing w:before="15" w:beforeLines="5" w:after="15" w:afterLines="5" w:line="264" w:lineRule="auto"/>
              <w:jc w:val="center"/>
              <w:rPr>
                <w:rFonts w:ascii="宋体" w:hAnsi="宋体"/>
                <w:sz w:val="18"/>
                <w:szCs w:val="18"/>
              </w:rPr>
            </w:pPr>
            <w:r>
              <w:rPr>
                <w:rFonts w:ascii="宋体" w:hAnsi="宋体"/>
                <w:sz w:val="18"/>
                <w:szCs w:val="18"/>
              </w:rPr>
              <w:t>80%</w:t>
            </w:r>
            <w:r>
              <w:rPr>
                <w:rFonts w:ascii="宋体" w:hAnsi="宋体"/>
                <w:i/>
                <w:sz w:val="18"/>
                <w:szCs w:val="18"/>
              </w:rPr>
              <w:t>v</w:t>
            </w:r>
            <w:r>
              <w:rPr>
                <w:rFonts w:ascii="宋体" w:hAnsi="宋体"/>
                <w:i/>
                <w:sz w:val="18"/>
                <w:szCs w:val="18"/>
                <w:vertAlign w:val="subscript"/>
              </w:rPr>
              <w:t>max</w:t>
            </w:r>
            <w:r>
              <w:rPr>
                <w:rFonts w:ascii="宋体" w:hAnsi="宋体"/>
                <w:sz w:val="18"/>
                <w:szCs w:val="18"/>
              </w:rPr>
              <w:t>≤120</w:t>
            </w:r>
          </w:p>
        </w:tc>
        <w:tc>
          <w:tcPr>
            <w:tcW w:w="2333" w:type="dxa"/>
            <w:tcBorders>
              <w:top w:val="single" w:color="auto" w:sz="8" w:space="0"/>
            </w:tcBorders>
            <w:shd w:val="clear" w:color="auto" w:fill="auto"/>
            <w:vAlign w:val="center"/>
          </w:tcPr>
          <w:p>
            <w:pPr>
              <w:spacing w:before="15" w:beforeLines="5" w:after="15" w:afterLines="5" w:line="264" w:lineRule="auto"/>
              <w:jc w:val="center"/>
              <w:rPr>
                <w:rFonts w:ascii="宋体" w:hAnsi="宋体"/>
                <w:sz w:val="18"/>
                <w:szCs w:val="18"/>
              </w:rPr>
            </w:pPr>
            <w:r>
              <w:rPr>
                <w:rFonts w:ascii="宋体" w:hAnsi="宋体"/>
                <w:position w:val="-24"/>
              </w:rPr>
              <w:object>
                <v:shape id="_x0000_i1025" o:spt="75" type="#_x0000_t75" style="height:24pt;width:9.6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宋体" w:hAnsi="宋体"/>
                <w:position w:val="-10"/>
                <w:sz w:val="18"/>
                <w:szCs w:val="18"/>
                <w:vertAlign w:val="subscript"/>
              </w:rPr>
              <w:object>
                <v:shape id="_x0000_i1026" o:spt="75" type="#_x0000_t75" style="height:13.2pt;width:9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tc>
        <w:tc>
          <w:tcPr>
            <w:tcW w:w="2333" w:type="dxa"/>
            <w:tcBorders>
              <w:top w:val="single" w:color="auto" w:sz="8" w:space="0"/>
            </w:tcBorders>
            <w:shd w:val="clear" w:color="auto" w:fill="auto"/>
            <w:vAlign w:val="center"/>
          </w:tcPr>
          <w:p>
            <w:pPr>
              <w:ind w:firstLine="420" w:firstLineChars="200"/>
              <w:jc w:val="center"/>
              <w:rPr>
                <w:rFonts w:ascii="宋体" w:hAnsi="宋体"/>
              </w:rPr>
            </w:pPr>
            <w:r>
              <w:rPr>
                <w:rFonts w:ascii="宋体" w:hAnsi="宋体" w:cs="宋体"/>
              </w:rPr>
              <w:t>45</w:t>
            </w:r>
          </w:p>
        </w:tc>
        <w:tc>
          <w:tcPr>
            <w:tcW w:w="2334" w:type="dxa"/>
            <w:tcBorders>
              <w:top w:val="single" w:color="auto" w:sz="8" w:space="0"/>
            </w:tcBorders>
            <w:shd w:val="clear" w:color="auto" w:fill="auto"/>
            <w:vAlign w:val="center"/>
          </w:tcPr>
          <w:p>
            <w:pPr>
              <w:ind w:firstLine="420" w:firstLineChars="200"/>
              <w:jc w:val="center"/>
              <w:rPr>
                <w:rFonts w:ascii="宋体" w:hAnsi="宋体"/>
              </w:rPr>
            </w:pPr>
            <w:r>
              <w:rPr>
                <w:rFonts w:ascii="宋体" w:hAnsi="宋体" w:cs="宋体"/>
              </w:rPr>
              <w:t>15</w:t>
            </w:r>
          </w:p>
        </w:tc>
      </w:tr>
    </w:tbl>
    <w:p>
      <w:pPr>
        <w:pStyle w:val="56"/>
        <w:ind w:firstLine="420"/>
      </w:pPr>
      <w:r>
        <w:t>I</w:t>
      </w:r>
      <w:r>
        <w:rPr>
          <w:rFonts w:hint="eastAsia"/>
        </w:rPr>
        <w:t>-型试验加热过程结束后，应在车辆档位处于</w:t>
      </w:r>
      <w:r>
        <w:t>N</w:t>
      </w:r>
      <w:r>
        <w:rPr>
          <w:rFonts w:hint="eastAsia"/>
        </w:rPr>
        <w:t>挡位置情况下，以与</w:t>
      </w:r>
      <w:r>
        <w:t>0-</w:t>
      </w:r>
      <w:r>
        <w:rPr>
          <w:rFonts w:hint="eastAsia"/>
        </w:rPr>
        <w:t>型试验相同的条件测定行车制动系的热态制动性能。</w:t>
      </w:r>
    </w:p>
    <w:p>
      <w:pPr>
        <w:pStyle w:val="79"/>
        <w:spacing w:before="156" w:after="156"/>
        <w:rPr>
          <w:rFonts w:ascii="宋体" w:hAnsi="宋体"/>
          <w:b/>
          <w:bCs/>
        </w:rPr>
      </w:pPr>
      <w:r>
        <w:rPr>
          <w:rFonts w:hint="eastAsia"/>
        </w:rPr>
        <w:t>要求</w:t>
      </w:r>
    </w:p>
    <w:p>
      <w:pPr>
        <w:pStyle w:val="213"/>
        <w:ind w:left="0" w:hanging="1"/>
      </w:pPr>
      <w:r>
        <w:rPr>
          <w:rFonts w:hint="eastAsia"/>
        </w:rPr>
        <w:t>热态性能不应低于规定性能的</w:t>
      </w:r>
      <w:r>
        <w:t>75%</w:t>
      </w:r>
      <w:r>
        <w:rPr>
          <w:rFonts w:hint="eastAsia"/>
        </w:rPr>
        <w:t>（对应的制动距离为</w:t>
      </w:r>
      <w:r>
        <w:t>0.1v+0.0080v</w:t>
      </w:r>
      <w:r>
        <w:rPr>
          <w:vertAlign w:val="superscript"/>
        </w:rPr>
        <w:t>2</w:t>
      </w:r>
      <w:r>
        <w:rPr>
          <w:rFonts w:hint="eastAsia"/>
        </w:rPr>
        <w:t>（m）充分发出的平均减速度为</w:t>
      </w:r>
      <w:r>
        <w:t>4.82 m/s</w:t>
      </w:r>
      <w:r>
        <w:rPr>
          <w:vertAlign w:val="superscript"/>
        </w:rPr>
        <w:t>2</w:t>
      </w:r>
      <w:r>
        <w:rPr>
          <w:rFonts w:hint="eastAsia"/>
        </w:rPr>
        <w:t>），也不应低于</w:t>
      </w:r>
      <w:r>
        <w:t>0-</w:t>
      </w:r>
      <w:r>
        <w:rPr>
          <w:rFonts w:hint="eastAsia"/>
        </w:rPr>
        <w:t>型试验数据的</w:t>
      </w:r>
      <w:r>
        <w:t>60%</w:t>
      </w:r>
      <w:r>
        <w:rPr>
          <w:rFonts w:hint="eastAsia"/>
        </w:rPr>
        <w:t>。</w:t>
      </w:r>
    </w:p>
    <w:p>
      <w:pPr>
        <w:pStyle w:val="213"/>
        <w:ind w:left="0"/>
      </w:pPr>
      <w:r>
        <w:rPr>
          <w:rFonts w:hint="eastAsia"/>
        </w:rPr>
        <w:t>热恢复过程参照GB</w:t>
      </w:r>
      <w:r>
        <w:t xml:space="preserve"> </w:t>
      </w:r>
      <w:r>
        <w:rPr>
          <w:rFonts w:hint="eastAsia"/>
        </w:rPr>
        <w:t>2</w:t>
      </w:r>
      <w:r>
        <w:t>1670</w:t>
      </w:r>
      <w:r>
        <w:rPr>
          <w:rFonts w:hint="eastAsia"/>
        </w:rPr>
        <w:t>执行，恢复过程结束时，应在与</w:t>
      </w:r>
      <w:r>
        <w:t>0-</w:t>
      </w:r>
      <w:r>
        <w:rPr>
          <w:rFonts w:hint="eastAsia"/>
        </w:rPr>
        <w:t>型试验相同的条件下、以不超过相应</w:t>
      </w:r>
      <w:r>
        <w:t>0-</w:t>
      </w:r>
      <w:r>
        <w:rPr>
          <w:rFonts w:hint="eastAsia"/>
        </w:rPr>
        <w:t>型试验的平均控制力测定行车制动系的恢复性能。恢复性能不应低于</w:t>
      </w:r>
      <w:r>
        <w:t>0-</w:t>
      </w:r>
      <w:r>
        <w:rPr>
          <w:rFonts w:hint="eastAsia"/>
        </w:rPr>
        <w:t>型试验结果的</w:t>
      </w:r>
      <w:r>
        <w:t>70%</w:t>
      </w:r>
      <w:r>
        <w:rPr>
          <w:rFonts w:hint="eastAsia"/>
        </w:rPr>
        <w:t>，也不应高于</w:t>
      </w:r>
      <w:r>
        <w:t>150%</w:t>
      </w:r>
      <w:r>
        <w:rPr>
          <w:rFonts w:hint="eastAsia"/>
        </w:rPr>
        <w:t>。</w:t>
      </w:r>
    </w:p>
    <w:p>
      <w:pPr>
        <w:pStyle w:val="78"/>
        <w:spacing w:before="156" w:after="156"/>
      </w:pPr>
      <w:r>
        <w:rPr>
          <w:rFonts w:hint="eastAsia"/>
        </w:rPr>
        <w:t>应急制动</w:t>
      </w:r>
    </w:p>
    <w:p>
      <w:pPr>
        <w:pStyle w:val="56"/>
        <w:ind w:firstLine="420"/>
      </w:pPr>
      <w:r>
        <w:rPr>
          <w:rFonts w:hint="eastAsia"/>
        </w:rPr>
        <w:t>应急制动性能应以</w:t>
      </w:r>
      <w:r>
        <w:t>0-</w:t>
      </w:r>
      <w:r>
        <w:rPr>
          <w:rFonts w:hint="eastAsia"/>
        </w:rPr>
        <w:t>型试验车速和条件进行试验；作用在行车制动控制装置上的力不应低于</w:t>
      </w:r>
      <w:r>
        <w:t>65N</w:t>
      </w:r>
      <w:r>
        <w:rPr>
          <w:rFonts w:hint="eastAsia"/>
        </w:rPr>
        <w:t>，也不应超过</w:t>
      </w:r>
      <w:r>
        <w:t>500N</w:t>
      </w:r>
      <w:r>
        <w:rPr>
          <w:rFonts w:hint="eastAsia"/>
        </w:rPr>
        <w:t>。应急制动的制动距离不应超过</w:t>
      </w:r>
      <w:r>
        <w:t>0.1</w:t>
      </w:r>
      <w:r>
        <w:rPr>
          <w:i/>
        </w:rPr>
        <w:t>v</w:t>
      </w:r>
      <w:r>
        <w:t>+0.0158</w:t>
      </w:r>
      <w:r>
        <w:rPr>
          <w:i/>
        </w:rPr>
        <w:t>v</w:t>
      </w:r>
      <w:r>
        <w:rPr>
          <w:i/>
          <w:vertAlign w:val="superscript"/>
        </w:rPr>
        <w:t>2</w:t>
      </w:r>
      <w:r>
        <w:rPr>
          <w:rFonts w:hint="eastAsia"/>
        </w:rPr>
        <w:t>（</w:t>
      </w:r>
      <w:r>
        <w:t>m</w:t>
      </w:r>
      <w:r>
        <w:rPr>
          <w:rFonts w:hint="eastAsia"/>
        </w:rPr>
        <w:t>），充分发出的平均减速度不小于</w:t>
      </w:r>
      <w:r>
        <w:t>2.44 m/s</w:t>
      </w:r>
      <w:r>
        <w:rPr>
          <w:vertAlign w:val="superscript"/>
        </w:rPr>
        <w:t>2</w:t>
      </w:r>
      <w:r>
        <w:rPr>
          <w:rFonts w:hint="eastAsia"/>
        </w:rPr>
        <w:t>。应模拟行车制动系的实际失效状态进行应急制动效能试验。</w:t>
      </w:r>
    </w:p>
    <w:p>
      <w:pPr>
        <w:pStyle w:val="78"/>
        <w:spacing w:before="156" w:after="156"/>
      </w:pPr>
      <w:r>
        <w:rPr>
          <w:rFonts w:hint="eastAsia"/>
        </w:rPr>
        <w:t>驻车制动</w:t>
      </w:r>
    </w:p>
    <w:p>
      <w:pPr>
        <w:pStyle w:val="56"/>
        <w:ind w:firstLine="420"/>
      </w:pPr>
      <w:r>
        <w:rPr>
          <w:rFonts w:hint="eastAsia"/>
        </w:rPr>
        <w:t>驻车制动系应能使满载车辆在坡度为</w:t>
      </w:r>
      <w:r>
        <w:t>20%</w:t>
      </w:r>
      <w:r>
        <w:rPr>
          <w:rFonts w:hint="eastAsia"/>
        </w:rPr>
        <w:t>的上、下坡道上保持静止。如采用手控装置，控制力不应超过</w:t>
      </w:r>
      <w:r>
        <w:t>400N</w:t>
      </w:r>
      <w:r>
        <w:rPr>
          <w:rFonts w:hint="eastAsia"/>
        </w:rPr>
        <w:t>。如采用脚控装置，控制力不应超过</w:t>
      </w:r>
      <w:r>
        <w:t>500N</w:t>
      </w:r>
      <w:r>
        <w:rPr>
          <w:rFonts w:hint="eastAsia"/>
        </w:rPr>
        <w:t>。允许通过多次促动驻车制动系来达到规定的性能。采用满载车辆，以</w:t>
      </w:r>
      <w:r>
        <w:t>20km/h</w:t>
      </w:r>
      <w:r>
        <w:rPr>
          <w:rFonts w:hint="eastAsia"/>
        </w:rPr>
        <w:t>的初速度进行</w:t>
      </w:r>
      <w:r>
        <w:t>0-</w:t>
      </w:r>
      <w:r>
        <w:rPr>
          <w:rFonts w:hint="eastAsia"/>
        </w:rPr>
        <w:t>型试验，驻车制动作用期间充分发出的平均减速度和停车前的瞬时减速度都不应小于</w:t>
      </w:r>
      <w:r>
        <w:t>1.5 m/s</w:t>
      </w:r>
      <w:r>
        <w:rPr>
          <w:vertAlign w:val="superscript"/>
        </w:rPr>
        <w:t>2</w:t>
      </w:r>
      <w:r>
        <w:rPr>
          <w:rFonts w:hint="eastAsia"/>
        </w:rPr>
        <w:t>，作用在驻车制动控制装置上的力不应超过规定值。</w:t>
      </w:r>
    </w:p>
    <w:p>
      <w:pPr>
        <w:pStyle w:val="78"/>
        <w:spacing w:before="156" w:after="156"/>
      </w:pPr>
      <w:r>
        <w:rPr>
          <w:rFonts w:hint="eastAsia"/>
        </w:rPr>
        <w:t>ABS附加检查试验方法及要求</w:t>
      </w:r>
    </w:p>
    <w:p>
      <w:pPr>
        <w:pStyle w:val="79"/>
        <w:spacing w:before="156" w:after="156"/>
        <w:rPr>
          <w:rFonts w:ascii="宋体" w:hAnsi="宋体" w:cs="宋体"/>
          <w:b/>
          <w:bCs/>
        </w:rPr>
      </w:pPr>
      <w:r>
        <w:rPr>
          <w:rFonts w:hint="eastAsia"/>
        </w:rPr>
        <w:t>ABS附加检查试验方法</w:t>
      </w:r>
    </w:p>
    <w:p>
      <w:pPr>
        <w:pStyle w:val="81"/>
        <w:spacing w:before="156" w:after="156"/>
        <w:ind w:left="0"/>
      </w:pPr>
      <w:r>
        <w:rPr>
          <w:rFonts w:hint="eastAsia"/>
          <w:kern w:val="0"/>
        </w:rPr>
        <w:t>试验条件</w:t>
      </w:r>
    </w:p>
    <w:p>
      <w:pPr>
        <w:pStyle w:val="56"/>
        <w:ind w:firstLine="420"/>
      </w:pPr>
      <w:r>
        <w:t>本试验的目的是验证车轮未抱死且车辆稳定，因此不必制动至车辆停止行驶。</w:t>
      </w:r>
      <w:r>
        <w:rPr>
          <w:rFonts w:hint="eastAsia"/>
        </w:rPr>
        <w:t>以下所有试验都分车辆空载和满载两种状态下进行。</w:t>
      </w:r>
    </w:p>
    <w:p>
      <w:pPr>
        <w:pStyle w:val="81"/>
        <w:spacing w:before="156" w:after="156"/>
        <w:ind w:left="0"/>
        <w:rPr>
          <w:kern w:val="0"/>
        </w:rPr>
      </w:pPr>
      <w:r>
        <w:rPr>
          <w:kern w:val="0"/>
        </w:rPr>
        <w:t>单一路面试验</w:t>
      </w:r>
    </w:p>
    <w:p>
      <w:pPr>
        <w:pStyle w:val="56"/>
        <w:ind w:firstLine="420"/>
      </w:pPr>
      <w:r>
        <w:t>在附着系数小于等于0.3和约为0.8（干路面）的两种路面上，以40km/h的初速度急促全力制动。试验过程中，由防抱制动系统直接控制车轮不应抱死</w:t>
      </w:r>
      <w:r>
        <w:rPr>
          <w:rFonts w:hint="eastAsia"/>
        </w:rPr>
        <w:t>。</w:t>
      </w:r>
    </w:p>
    <w:p>
      <w:pPr>
        <w:pStyle w:val="81"/>
        <w:spacing w:before="156" w:after="156"/>
        <w:ind w:left="-142" w:firstLine="140" w:firstLineChars="67"/>
      </w:pPr>
      <w:r>
        <w:t>对接路面试验（</w:t>
      </w:r>
      <w:r>
        <w:rPr>
          <w:i/>
        </w:rPr>
        <w:t>k</w:t>
      </w:r>
      <w:r>
        <w:rPr>
          <w:rFonts w:hint="eastAsia"/>
          <w:i/>
          <w:vertAlign w:val="subscript"/>
        </w:rPr>
        <w:t>H</w:t>
      </w:r>
      <w:r>
        <w:rPr>
          <w:i/>
          <w:vertAlign w:val="subscript"/>
        </w:rPr>
        <w:t xml:space="preserve"> </w:t>
      </w:r>
      <w:r>
        <w:t>≥0.5，</w:t>
      </w:r>
      <w:r>
        <w:rPr>
          <w:i/>
        </w:rPr>
        <w:t>k</w:t>
      </w:r>
      <w:r>
        <w:rPr>
          <w:i/>
          <w:vertAlign w:val="subscript"/>
        </w:rPr>
        <w:t xml:space="preserve">H </w:t>
      </w:r>
      <w:r>
        <w:t>/</w:t>
      </w:r>
      <w:r>
        <w:rPr>
          <w:i/>
        </w:rPr>
        <w:t>k</w:t>
      </w:r>
      <w:r>
        <w:rPr>
          <w:i/>
          <w:vertAlign w:val="subscript"/>
        </w:rPr>
        <w:t xml:space="preserve">L </w:t>
      </w:r>
      <w:r>
        <w:t>≥2）</w:t>
      </w:r>
    </w:p>
    <w:p>
      <w:pPr>
        <w:pStyle w:val="56"/>
        <w:ind w:firstLine="420"/>
      </w:pPr>
      <w:r>
        <w:t>高附着系数（</w:t>
      </w:r>
      <w:r>
        <w:rPr>
          <w:i/>
        </w:rPr>
        <w:t>k</w:t>
      </w:r>
      <w:r>
        <w:rPr>
          <w:i/>
          <w:vertAlign w:val="subscript"/>
        </w:rPr>
        <w:t>H</w:t>
      </w:r>
      <w:r>
        <w:t>）路面到低附着系数路面（</w:t>
      </w:r>
      <w:r>
        <w:rPr>
          <w:i/>
        </w:rPr>
        <w:t>k</w:t>
      </w:r>
      <w:r>
        <w:rPr>
          <w:i/>
          <w:vertAlign w:val="subscript"/>
        </w:rPr>
        <w:t>L</w:t>
      </w:r>
      <w:r>
        <w:t>）</w:t>
      </w:r>
    </w:p>
    <w:p>
      <w:pPr>
        <w:pStyle w:val="56"/>
        <w:ind w:firstLine="420"/>
      </w:pPr>
      <w:r>
        <w:t>当试验车轴从高附着系数路面驶向低附着系数路面时，急促全力制动，检查直接控制车轮未抱死。行驶速度和制动时机应确保车辆以</w:t>
      </w:r>
      <w:r>
        <w:rPr>
          <w:rFonts w:hint="eastAsia"/>
        </w:rPr>
        <w:t>40km/h</w:t>
      </w:r>
      <w:r>
        <w:t>速度从高附着系数路面驶入低附着系数路面，并使防抱制动系统在高附着系数路面上全循环。</w:t>
      </w:r>
    </w:p>
    <w:p>
      <w:pPr>
        <w:pStyle w:val="56"/>
        <w:ind w:firstLine="420"/>
      </w:pPr>
      <w:r>
        <w:t>低附着系数（</w:t>
      </w:r>
      <w:r>
        <w:rPr>
          <w:i/>
        </w:rPr>
        <w:t>k</w:t>
      </w:r>
      <w:r>
        <w:rPr>
          <w:i/>
          <w:vertAlign w:val="subscript"/>
        </w:rPr>
        <w:t>L</w:t>
      </w:r>
      <w:r>
        <w:t>）路面到高附着系数路面（</w:t>
      </w:r>
      <w:r>
        <w:rPr>
          <w:i/>
        </w:rPr>
        <w:t>k</w:t>
      </w:r>
      <w:r>
        <w:rPr>
          <w:i/>
          <w:vertAlign w:val="subscript"/>
        </w:rPr>
        <w:t>H</w:t>
      </w:r>
      <w:r>
        <w:t>）</w:t>
      </w:r>
    </w:p>
    <w:p>
      <w:pPr>
        <w:pStyle w:val="56"/>
        <w:ind w:firstLine="420"/>
      </w:pPr>
      <w:r>
        <w:t>当车辆从低附着系数路面驶向高附着系数路面时，急促全力制动，检查车辆的减速度在合适的时间内有明显的增加，且车辆未偏离既定行驶路线。行驶速度和制动时机应确保车辆以约为</w:t>
      </w:r>
      <w:r>
        <w:rPr>
          <w:rFonts w:hint="eastAsia"/>
        </w:rPr>
        <w:t>4</w:t>
      </w:r>
      <w:r>
        <w:t>0km/h的速度从低附着系数路面驶入高附着系数路面，并使防抱制动系统在低附着系数路面上全循环。</w:t>
      </w:r>
    </w:p>
    <w:p>
      <w:pPr>
        <w:pStyle w:val="81"/>
        <w:spacing w:before="156" w:after="156"/>
        <w:ind w:left="0"/>
      </w:pPr>
      <w:r>
        <w:t>对开路面试验（</w:t>
      </w:r>
      <w:r>
        <w:rPr>
          <w:i/>
        </w:rPr>
        <w:t>k</w:t>
      </w:r>
      <w:r>
        <w:rPr>
          <w:i/>
          <w:vertAlign w:val="subscript"/>
        </w:rPr>
        <w:t xml:space="preserve">H </w:t>
      </w:r>
      <w:r>
        <w:t>≥0.5，</w:t>
      </w:r>
      <w:r>
        <w:rPr>
          <w:i/>
        </w:rPr>
        <w:t>k</w:t>
      </w:r>
      <w:r>
        <w:rPr>
          <w:i/>
          <w:vertAlign w:val="subscript"/>
        </w:rPr>
        <w:t xml:space="preserve">H </w:t>
      </w:r>
      <w:r>
        <w:t>/</w:t>
      </w:r>
      <w:r>
        <w:rPr>
          <w:i/>
        </w:rPr>
        <w:t>k</w:t>
      </w:r>
      <w:r>
        <w:rPr>
          <w:i/>
          <w:vertAlign w:val="subscript"/>
        </w:rPr>
        <w:t xml:space="preserve">L </w:t>
      </w:r>
      <w:r>
        <w:t>≥2）</w:t>
      </w:r>
    </w:p>
    <w:p>
      <w:pPr>
        <w:pStyle w:val="56"/>
        <w:ind w:firstLine="420"/>
      </w:pPr>
      <w:r>
        <w:t>试验开始时，车辆的左右车轮分别位于附着系数不同（</w:t>
      </w:r>
      <w:r>
        <w:rPr>
          <w:i/>
        </w:rPr>
        <w:t>k</w:t>
      </w:r>
      <w:r>
        <w:rPr>
          <w:i/>
          <w:vertAlign w:val="subscript"/>
        </w:rPr>
        <w:t>H</w:t>
      </w:r>
      <w:r>
        <w:t>、</w:t>
      </w:r>
      <w:r>
        <w:rPr>
          <w:i/>
        </w:rPr>
        <w:t>k</w:t>
      </w:r>
      <w:r>
        <w:rPr>
          <w:i/>
          <w:vertAlign w:val="subscript"/>
        </w:rPr>
        <w:t>L</w:t>
      </w:r>
      <w:r>
        <w:t>）的两种路面上，车辆纵向中心平面通过高低附着系数路面的交界线。</w:t>
      </w:r>
    </w:p>
    <w:p>
      <w:pPr>
        <w:pStyle w:val="56"/>
        <w:ind w:firstLine="420"/>
      </w:pPr>
      <w:r>
        <w:t>以</w:t>
      </w:r>
      <w:r>
        <w:rPr>
          <w:rFonts w:hint="eastAsia"/>
        </w:rPr>
        <w:t>4</w:t>
      </w:r>
      <w:r>
        <w:t>0km/h的初速度急促全力制动，确认直接控制车轮未发生抱死，轮胎（外胎）的任何部分均未越过此交界线。</w:t>
      </w:r>
    </w:p>
    <w:p>
      <w:pPr>
        <w:pStyle w:val="79"/>
        <w:spacing w:before="156" w:after="156"/>
        <w:rPr>
          <w:kern w:val="0"/>
        </w:rPr>
      </w:pPr>
      <w:r>
        <w:rPr>
          <w:rFonts w:hint="eastAsia" w:cs="宋体"/>
          <w:bCs/>
        </w:rPr>
        <w:t>A</w:t>
      </w:r>
      <w:r>
        <w:rPr>
          <w:rFonts w:hint="eastAsia"/>
        </w:rPr>
        <w:t>BS附加检查试验要求</w:t>
      </w:r>
    </w:p>
    <w:p>
      <w:pPr>
        <w:pStyle w:val="213"/>
        <w:spacing w:line="240" w:lineRule="auto"/>
        <w:ind w:left="0"/>
      </w:pPr>
      <w:r>
        <w:rPr>
          <w:kern w:val="0"/>
        </w:rPr>
        <w:t>在进行</w:t>
      </w:r>
      <w:r>
        <w:rPr>
          <w:rFonts w:hint="eastAsia"/>
          <w:kern w:val="0"/>
        </w:rPr>
        <w:t>A.5.1.1和A.5.1.2</w:t>
      </w:r>
      <w:r>
        <w:rPr>
          <w:kern w:val="0"/>
        </w:rPr>
        <w:t>规定的试验时，</w:t>
      </w:r>
      <w:r>
        <w:rPr>
          <w:rFonts w:hint="eastAsia"/>
          <w:kern w:val="0"/>
        </w:rPr>
        <w:t>不</w:t>
      </w:r>
      <w:r>
        <w:rPr>
          <w:kern w:val="0"/>
        </w:rPr>
        <w:t>允许车轮抱死。当车速低于15km/h时，允许车轮抱死；间接控制车轮在任何车速下都允许抱死，但不应影响车辆的行驶稳定性和转向能力：车辆的横摆角</w:t>
      </w:r>
      <w:r>
        <w:rPr>
          <w:rFonts w:hint="eastAsia"/>
          <w:kern w:val="0"/>
        </w:rPr>
        <w:t>小于等于</w:t>
      </w:r>
      <w:r>
        <w:rPr>
          <w:kern w:val="0"/>
        </w:rPr>
        <w:t>15°且不应偏离3.5m宽的试验通道</w:t>
      </w:r>
      <w:r>
        <w:t>。</w:t>
      </w:r>
    </w:p>
    <w:p>
      <w:pPr>
        <w:pStyle w:val="213"/>
        <w:spacing w:line="240" w:lineRule="auto"/>
        <w:ind w:left="0"/>
      </w:pPr>
      <w:r>
        <w:t>在进行</w:t>
      </w:r>
      <w:r>
        <w:rPr>
          <w:rFonts w:hint="eastAsia"/>
        </w:rPr>
        <w:t>A.5.1.3</w:t>
      </w:r>
      <w:r>
        <w:t>规定的试验时，</w:t>
      </w:r>
      <w:r>
        <w:rPr>
          <w:kern w:val="0"/>
        </w:rPr>
        <w:t>允许进行转向修正，</w:t>
      </w:r>
      <w:r>
        <w:t>但转向盘的转角在最初2s内不应超过120°，总转角不应超过240°。试验开始时，车辆的纵向中心平面应通过高低附着系数路面的交界线。试验期间，车轮的任何部分均不应越过交界线。</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0" w:firstLineChars="0"/>
      </w:pPr>
    </w:p>
    <w:p>
      <w:pPr>
        <w:pStyle w:val="199"/>
        <w:rPr>
          <w:vanish w:val="0"/>
        </w:rPr>
      </w:pPr>
    </w:p>
    <w:p>
      <w:pPr>
        <w:pStyle w:val="198"/>
        <w:rPr>
          <w:vanish w:val="0"/>
        </w:rPr>
      </w:pPr>
    </w:p>
    <w:p>
      <w:pPr>
        <w:pStyle w:val="199"/>
        <w:rPr>
          <w:vanish w:val="0"/>
        </w:rPr>
      </w:pPr>
    </w:p>
    <w:p>
      <w:pPr>
        <w:pStyle w:val="76"/>
        <w:spacing w:before="78" w:after="156"/>
      </w:pPr>
      <w:r>
        <w:br w:type="textWrapping"/>
      </w:r>
      <w:r>
        <w:rPr>
          <w:rFonts w:hint="eastAsia"/>
        </w:rPr>
        <w:t>（规范性）</w:t>
      </w:r>
      <w:r>
        <w:br w:type="textWrapping"/>
      </w:r>
      <w:r>
        <w:rPr>
          <w:rFonts w:hint="eastAsia"/>
        </w:rPr>
        <w:t>微型低速纯电动乘用车标识</w:t>
      </w:r>
    </w:p>
    <w:p>
      <w:pPr>
        <w:pStyle w:val="211"/>
      </w:pPr>
      <w:r>
        <w:rPr>
          <w:rFonts w:hint="eastAsia"/>
        </w:rPr>
        <w:t>在车身两侧及后侧易见部位应喷涂如图B</w:t>
      </w:r>
      <w:r>
        <w:t>.</w:t>
      </w:r>
      <w:r>
        <w:rPr>
          <w:rFonts w:hint="eastAsia"/>
        </w:rPr>
        <w:t>1所示的识别图形符号，图形采用黄底黑边的椭圆形状，椭圆图形的长度为宽度的2倍，且宽度在150mm</w:t>
      </w:r>
      <w:r>
        <w:rPr>
          <w:rFonts w:hint="cs" w:ascii="Times New Roman"/>
        </w:rPr>
        <w:t>~</w:t>
      </w:r>
      <w:r>
        <w:rPr>
          <w:rFonts w:hint="eastAsia"/>
        </w:rPr>
        <w:t>200mm之间，字体应该采用黑体，将“微电”的字样合理的匹配到图形中，字高宜大于等于1</w:t>
      </w:r>
      <w:r>
        <w:t>00</w:t>
      </w:r>
      <w:r>
        <w:rPr>
          <w:rFonts w:hint="eastAsia"/>
        </w:rPr>
        <w:t>mm，其反光要求应该符合GB/T 18833的要求。</w:t>
      </w:r>
    </w:p>
    <w:p>
      <w:pPr>
        <w:pStyle w:val="56"/>
        <w:ind w:firstLine="420"/>
      </w:pPr>
      <w:r>
        <w:t xml:space="preserve"> </w:t>
      </w:r>
    </w:p>
    <w:p>
      <w:pPr>
        <w:pStyle w:val="56"/>
        <w:ind w:firstLine="3570" w:firstLineChars="1700"/>
      </w:pPr>
    </w:p>
    <w:p>
      <w:pPr>
        <w:pStyle w:val="56"/>
        <w:ind w:firstLine="3139" w:firstLineChars="1495"/>
        <w:rPr>
          <w:b/>
        </w:rPr>
      </w:pPr>
      <w:r>
        <w:rPr>
          <w:rFonts w:hAnsi="宋体"/>
        </w:rPr>
        <w:drawing>
          <wp:inline distT="0" distB="0" distL="0" distR="0">
            <wp:extent cx="2045970" cy="1055370"/>
            <wp:effectExtent l="0" t="0" r="0" b="0"/>
            <wp:docPr id="3" name="图片 3" descr="608305f0687c52837d63dd439802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8305f0687c52837d63dd4398025e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5970" cy="1055370"/>
                    </a:xfrm>
                    <a:prstGeom prst="rect">
                      <a:avLst/>
                    </a:prstGeom>
                    <a:noFill/>
                    <a:ln>
                      <a:noFill/>
                    </a:ln>
                  </pic:spPr>
                </pic:pic>
              </a:graphicData>
            </a:graphic>
          </wp:inline>
        </w:drawing>
      </w:r>
    </w:p>
    <w:p>
      <w:pPr>
        <w:pStyle w:val="83"/>
        <w:numPr>
          <w:ilvl w:val="0"/>
          <w:numId w:val="0"/>
        </w:numPr>
        <w:spacing w:before="156" w:after="156"/>
        <w:ind w:left="420" w:firstLine="3045" w:firstLineChars="1450"/>
        <w:jc w:val="left"/>
      </w:pPr>
      <w:r>
        <w:rPr>
          <w:rFonts w:hint="eastAsia"/>
        </w:rPr>
        <w:t>图B.</w:t>
      </w:r>
      <w:r>
        <w:t xml:space="preserve">1 </w:t>
      </w:r>
      <w:r>
        <w:rPr>
          <w:rFonts w:hint="eastAsia"/>
        </w:rPr>
        <w:t>车辆识别图形符号</w:t>
      </w:r>
    </w:p>
    <w:p>
      <w:pPr>
        <w:pStyle w:val="211"/>
      </w:pPr>
      <w:r>
        <w:rPr>
          <w:rFonts w:hint="eastAsia"/>
        </w:rPr>
        <w:t>在车身后部喷涂或粘贴表示最大设计车速（单位：km/h）的阿拉伯数字；阿拉伯数字的高度应大于等于200mm，外围应用尺寸相匹配的红色圆圈包围。</w:t>
      </w:r>
    </w:p>
    <w:p>
      <w:pPr>
        <w:pStyle w:val="56"/>
        <w:ind w:firstLine="420"/>
      </w:pPr>
    </w:p>
    <w:p>
      <w:pPr>
        <w:pStyle w:val="56"/>
        <w:ind w:firstLine="420"/>
      </w:pPr>
    </w:p>
    <w:p>
      <w:pPr>
        <w:pStyle w:val="56"/>
        <w:ind w:firstLine="420"/>
      </w:pPr>
    </w:p>
    <w:bookmarkEnd w:id="39"/>
    <w:p>
      <w:pPr>
        <w:pStyle w:val="198"/>
        <w:rPr>
          <w:vanish w:val="0"/>
        </w:rPr>
      </w:pPr>
    </w:p>
    <w:sectPr>
      <w:pgSz w:w="11906" w:h="16838"/>
      <w:pgMar w:top="567"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28382—XXXX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28382—XXXX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234"/>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284" w:firstLine="0"/>
      </w:pPr>
      <w:rPr>
        <w:rFonts w:hint="eastAsia"/>
        <w:spacing w:val="100"/>
      </w:rPr>
    </w:lvl>
    <w:lvl w:ilvl="1" w:tentative="0">
      <w:start w:val="1"/>
      <w:numFmt w:val="decimal"/>
      <w:pStyle w:val="78"/>
      <w:suff w:val="nothing"/>
      <w:lvlText w:val="%1.%2　"/>
      <w:lvlJc w:val="left"/>
      <w:pPr>
        <w:ind w:left="142"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658"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K1z599BVDGIJYuM5og4n0CWWp6LMNwz9aZ/SWOp1C4WMKgirHQnkgAhuAqZdDvB1IozRCUsk6ZOwpqPmyKsjWA==" w:salt="xbVOef5tMQEdmsHcqrOPH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88"/>
    <w:rsid w:val="0000040A"/>
    <w:rsid w:val="00000A94"/>
    <w:rsid w:val="00001972"/>
    <w:rsid w:val="00001D9A"/>
    <w:rsid w:val="00007B3A"/>
    <w:rsid w:val="000107E0"/>
    <w:rsid w:val="00011FDE"/>
    <w:rsid w:val="00012FFD"/>
    <w:rsid w:val="00014162"/>
    <w:rsid w:val="00014340"/>
    <w:rsid w:val="0001470F"/>
    <w:rsid w:val="00016A9C"/>
    <w:rsid w:val="00022153"/>
    <w:rsid w:val="00022184"/>
    <w:rsid w:val="00022762"/>
    <w:rsid w:val="000238E0"/>
    <w:rsid w:val="000249DB"/>
    <w:rsid w:val="0002595E"/>
    <w:rsid w:val="000303C3"/>
    <w:rsid w:val="000331D3"/>
    <w:rsid w:val="000343B2"/>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0CA"/>
    <w:rsid w:val="00067F1E"/>
    <w:rsid w:val="00071CC0"/>
    <w:rsid w:val="00073C8C"/>
    <w:rsid w:val="00077B64"/>
    <w:rsid w:val="00080A1C"/>
    <w:rsid w:val="00082317"/>
    <w:rsid w:val="00083D2C"/>
    <w:rsid w:val="00085FDB"/>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582"/>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199A"/>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22F"/>
    <w:rsid w:val="001529E5"/>
    <w:rsid w:val="00153C7E"/>
    <w:rsid w:val="00156B25"/>
    <w:rsid w:val="00156E1A"/>
    <w:rsid w:val="001577C6"/>
    <w:rsid w:val="00157B55"/>
    <w:rsid w:val="001633C5"/>
    <w:rsid w:val="001642FA"/>
    <w:rsid w:val="001649EB"/>
    <w:rsid w:val="00164BAF"/>
    <w:rsid w:val="00164FA8"/>
    <w:rsid w:val="00165065"/>
    <w:rsid w:val="00165434"/>
    <w:rsid w:val="0016580B"/>
    <w:rsid w:val="00165F49"/>
    <w:rsid w:val="00166733"/>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0674"/>
    <w:rsid w:val="001A1A53"/>
    <w:rsid w:val="001A234A"/>
    <w:rsid w:val="001A7BC0"/>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1C98"/>
    <w:rsid w:val="002253A1"/>
    <w:rsid w:val="00225CF8"/>
    <w:rsid w:val="0022794E"/>
    <w:rsid w:val="00233D64"/>
    <w:rsid w:val="0023482A"/>
    <w:rsid w:val="002359CB"/>
    <w:rsid w:val="00243540"/>
    <w:rsid w:val="0024497B"/>
    <w:rsid w:val="00244ADB"/>
    <w:rsid w:val="0024515B"/>
    <w:rsid w:val="00246021"/>
    <w:rsid w:val="0024666E"/>
    <w:rsid w:val="00247F52"/>
    <w:rsid w:val="00250B25"/>
    <w:rsid w:val="00250BBE"/>
    <w:rsid w:val="0025194F"/>
    <w:rsid w:val="0026148A"/>
    <w:rsid w:val="00262696"/>
    <w:rsid w:val="0026374B"/>
    <w:rsid w:val="00264271"/>
    <w:rsid w:val="002643C3"/>
    <w:rsid w:val="00264A0C"/>
    <w:rsid w:val="00264B8D"/>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97A"/>
    <w:rsid w:val="002F6928"/>
    <w:rsid w:val="002F7AF6"/>
    <w:rsid w:val="00300E63"/>
    <w:rsid w:val="00302F5F"/>
    <w:rsid w:val="0030441D"/>
    <w:rsid w:val="00304A88"/>
    <w:rsid w:val="00306063"/>
    <w:rsid w:val="00313B85"/>
    <w:rsid w:val="00314BDF"/>
    <w:rsid w:val="00317988"/>
    <w:rsid w:val="003221B4"/>
    <w:rsid w:val="00322E62"/>
    <w:rsid w:val="00324EDD"/>
    <w:rsid w:val="003276AD"/>
    <w:rsid w:val="00336C64"/>
    <w:rsid w:val="00337162"/>
    <w:rsid w:val="0034194F"/>
    <w:rsid w:val="00342396"/>
    <w:rsid w:val="00344605"/>
    <w:rsid w:val="003474AA"/>
    <w:rsid w:val="00350D1D"/>
    <w:rsid w:val="00351A16"/>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4922"/>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83B"/>
    <w:rsid w:val="003F6272"/>
    <w:rsid w:val="003F6D80"/>
    <w:rsid w:val="00400E72"/>
    <w:rsid w:val="00401400"/>
    <w:rsid w:val="00404869"/>
    <w:rsid w:val="00405884"/>
    <w:rsid w:val="00407D39"/>
    <w:rsid w:val="00411432"/>
    <w:rsid w:val="0041477A"/>
    <w:rsid w:val="004167A3"/>
    <w:rsid w:val="00421963"/>
    <w:rsid w:val="00422C01"/>
    <w:rsid w:val="00425D4B"/>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01BF"/>
    <w:rsid w:val="004A12DF"/>
    <w:rsid w:val="004A1BA8"/>
    <w:rsid w:val="004A3186"/>
    <w:rsid w:val="004A4B57"/>
    <w:rsid w:val="004A5F2C"/>
    <w:rsid w:val="004A63FA"/>
    <w:rsid w:val="004B2701"/>
    <w:rsid w:val="004B2E1B"/>
    <w:rsid w:val="004B3E93"/>
    <w:rsid w:val="004B3EF8"/>
    <w:rsid w:val="004C1FBC"/>
    <w:rsid w:val="004C3F1D"/>
    <w:rsid w:val="004C458D"/>
    <w:rsid w:val="004C7556"/>
    <w:rsid w:val="004C76AF"/>
    <w:rsid w:val="004C7E9D"/>
    <w:rsid w:val="004C7F67"/>
    <w:rsid w:val="004D076D"/>
    <w:rsid w:val="004D0EF1"/>
    <w:rsid w:val="004D2253"/>
    <w:rsid w:val="004D4266"/>
    <w:rsid w:val="004D4406"/>
    <w:rsid w:val="004D7C42"/>
    <w:rsid w:val="004E0465"/>
    <w:rsid w:val="004E127B"/>
    <w:rsid w:val="004E1C0A"/>
    <w:rsid w:val="004E30C5"/>
    <w:rsid w:val="004E4AA5"/>
    <w:rsid w:val="004E4AEE"/>
    <w:rsid w:val="004E59E3"/>
    <w:rsid w:val="004E67C0"/>
    <w:rsid w:val="004F391A"/>
    <w:rsid w:val="004F3CFB"/>
    <w:rsid w:val="004F517D"/>
    <w:rsid w:val="004F6456"/>
    <w:rsid w:val="004F696E"/>
    <w:rsid w:val="004F6C71"/>
    <w:rsid w:val="004F7DB4"/>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17A1"/>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2694"/>
    <w:rsid w:val="00555044"/>
    <w:rsid w:val="00561475"/>
    <w:rsid w:val="00563C07"/>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33F9"/>
    <w:rsid w:val="00614CC1"/>
    <w:rsid w:val="00615A9D"/>
    <w:rsid w:val="006160EA"/>
    <w:rsid w:val="006162BE"/>
    <w:rsid w:val="00616BBB"/>
    <w:rsid w:val="00617387"/>
    <w:rsid w:val="00623009"/>
    <w:rsid w:val="006252D8"/>
    <w:rsid w:val="006259BC"/>
    <w:rsid w:val="0062636B"/>
    <w:rsid w:val="00626922"/>
    <w:rsid w:val="00632182"/>
    <w:rsid w:val="00632AE0"/>
    <w:rsid w:val="00633C17"/>
    <w:rsid w:val="00636E3E"/>
    <w:rsid w:val="006379F7"/>
    <w:rsid w:val="00637E4D"/>
    <w:rsid w:val="00640620"/>
    <w:rsid w:val="00641A1F"/>
    <w:rsid w:val="0064351D"/>
    <w:rsid w:val="00645904"/>
    <w:rsid w:val="00651ACB"/>
    <w:rsid w:val="00651C47"/>
    <w:rsid w:val="00652AB2"/>
    <w:rsid w:val="00654EC0"/>
    <w:rsid w:val="0065525B"/>
    <w:rsid w:val="00655D4F"/>
    <w:rsid w:val="006640E5"/>
    <w:rsid w:val="006646F1"/>
    <w:rsid w:val="00664929"/>
    <w:rsid w:val="00664F62"/>
    <w:rsid w:val="006655E1"/>
    <w:rsid w:val="00670467"/>
    <w:rsid w:val="00672060"/>
    <w:rsid w:val="00672BFD"/>
    <w:rsid w:val="006770F4"/>
    <w:rsid w:val="00677892"/>
    <w:rsid w:val="00677A84"/>
    <w:rsid w:val="0068026D"/>
    <w:rsid w:val="00680A27"/>
    <w:rsid w:val="006816A4"/>
    <w:rsid w:val="006819B8"/>
    <w:rsid w:val="00681E91"/>
    <w:rsid w:val="006840A6"/>
    <w:rsid w:val="006850CD"/>
    <w:rsid w:val="00685AAB"/>
    <w:rsid w:val="006A07AA"/>
    <w:rsid w:val="006A25E5"/>
    <w:rsid w:val="006A2B46"/>
    <w:rsid w:val="006A336D"/>
    <w:rsid w:val="006A37B9"/>
    <w:rsid w:val="006B2672"/>
    <w:rsid w:val="006B2B8B"/>
    <w:rsid w:val="006B4159"/>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372"/>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1E3F"/>
    <w:rsid w:val="00773C1F"/>
    <w:rsid w:val="00774DA4"/>
    <w:rsid w:val="00776599"/>
    <w:rsid w:val="0078114B"/>
    <w:rsid w:val="00781DD2"/>
    <w:rsid w:val="00783ECF"/>
    <w:rsid w:val="0078413A"/>
    <w:rsid w:val="007959E8"/>
    <w:rsid w:val="00795E9C"/>
    <w:rsid w:val="007A0521"/>
    <w:rsid w:val="007A061E"/>
    <w:rsid w:val="007A2E12"/>
    <w:rsid w:val="007A3475"/>
    <w:rsid w:val="007A41C8"/>
    <w:rsid w:val="007A54CE"/>
    <w:rsid w:val="007A7FFA"/>
    <w:rsid w:val="007B04EB"/>
    <w:rsid w:val="007B0D4F"/>
    <w:rsid w:val="007B3BCB"/>
    <w:rsid w:val="007B5A3D"/>
    <w:rsid w:val="007B5B95"/>
    <w:rsid w:val="007B68EA"/>
    <w:rsid w:val="007C19E8"/>
    <w:rsid w:val="007C2D89"/>
    <w:rsid w:val="007C4593"/>
    <w:rsid w:val="007C5309"/>
    <w:rsid w:val="007C6069"/>
    <w:rsid w:val="007D06C4"/>
    <w:rsid w:val="007D1352"/>
    <w:rsid w:val="007D2508"/>
    <w:rsid w:val="007D346A"/>
    <w:rsid w:val="007D3AA6"/>
    <w:rsid w:val="007D6518"/>
    <w:rsid w:val="007D76BD"/>
    <w:rsid w:val="007E0BF1"/>
    <w:rsid w:val="007E4315"/>
    <w:rsid w:val="007F012B"/>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429"/>
    <w:rsid w:val="00867C10"/>
    <w:rsid w:val="00870439"/>
    <w:rsid w:val="00870DA1"/>
    <w:rsid w:val="00870DA6"/>
    <w:rsid w:val="00883F93"/>
    <w:rsid w:val="00884DB3"/>
    <w:rsid w:val="00885A9D"/>
    <w:rsid w:val="008864F6"/>
    <w:rsid w:val="00886E4A"/>
    <w:rsid w:val="0089049D"/>
    <w:rsid w:val="008928C9"/>
    <w:rsid w:val="008938DC"/>
    <w:rsid w:val="00893FD1"/>
    <w:rsid w:val="00894836"/>
    <w:rsid w:val="00895172"/>
    <w:rsid w:val="00895680"/>
    <w:rsid w:val="00896DFF"/>
    <w:rsid w:val="0089762C"/>
    <w:rsid w:val="008A1893"/>
    <w:rsid w:val="008A4124"/>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9C7"/>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032"/>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16BC7"/>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72F"/>
    <w:rsid w:val="009B09E0"/>
    <w:rsid w:val="009B0BC5"/>
    <w:rsid w:val="009B1247"/>
    <w:rsid w:val="009B6029"/>
    <w:rsid w:val="009B6971"/>
    <w:rsid w:val="009C27F1"/>
    <w:rsid w:val="009C3152"/>
    <w:rsid w:val="009C4AB5"/>
    <w:rsid w:val="009C4CFA"/>
    <w:rsid w:val="009C5070"/>
    <w:rsid w:val="009D112C"/>
    <w:rsid w:val="009D2650"/>
    <w:rsid w:val="009D47FA"/>
    <w:rsid w:val="009D50D2"/>
    <w:rsid w:val="009D6BCA"/>
    <w:rsid w:val="009E0F62"/>
    <w:rsid w:val="009E4A58"/>
    <w:rsid w:val="009E5A2D"/>
    <w:rsid w:val="009E5AB2"/>
    <w:rsid w:val="009E6219"/>
    <w:rsid w:val="009F03B3"/>
    <w:rsid w:val="009F4E10"/>
    <w:rsid w:val="009F6349"/>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289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F1A"/>
    <w:rsid w:val="00A952D7"/>
    <w:rsid w:val="00A963F7"/>
    <w:rsid w:val="00A96AD8"/>
    <w:rsid w:val="00AA052C"/>
    <w:rsid w:val="00AA1E45"/>
    <w:rsid w:val="00AA2A24"/>
    <w:rsid w:val="00AA4286"/>
    <w:rsid w:val="00AA456B"/>
    <w:rsid w:val="00AA57F5"/>
    <w:rsid w:val="00AA672E"/>
    <w:rsid w:val="00AA6EC9"/>
    <w:rsid w:val="00AB3AD7"/>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4776"/>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5D5C"/>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04D7"/>
    <w:rsid w:val="00BE22F3"/>
    <w:rsid w:val="00BE49EE"/>
    <w:rsid w:val="00BE5B52"/>
    <w:rsid w:val="00BE7B8D"/>
    <w:rsid w:val="00BF0993"/>
    <w:rsid w:val="00BF10A9"/>
    <w:rsid w:val="00BF1703"/>
    <w:rsid w:val="00BF1882"/>
    <w:rsid w:val="00BF1D00"/>
    <w:rsid w:val="00BF231C"/>
    <w:rsid w:val="00BF51E5"/>
    <w:rsid w:val="00BF74A6"/>
    <w:rsid w:val="00C013AD"/>
    <w:rsid w:val="00C04904"/>
    <w:rsid w:val="00C056B3"/>
    <w:rsid w:val="00C103E5"/>
    <w:rsid w:val="00C1145F"/>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3AEA"/>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029"/>
    <w:rsid w:val="00C8248C"/>
    <w:rsid w:val="00C84E33"/>
    <w:rsid w:val="00C86D6F"/>
    <w:rsid w:val="00C905FC"/>
    <w:rsid w:val="00C92D03"/>
    <w:rsid w:val="00C9319C"/>
    <w:rsid w:val="00C9435D"/>
    <w:rsid w:val="00C9517F"/>
    <w:rsid w:val="00C96741"/>
    <w:rsid w:val="00C979CC"/>
    <w:rsid w:val="00CA2D1B"/>
    <w:rsid w:val="00CA662A"/>
    <w:rsid w:val="00CA7AFD"/>
    <w:rsid w:val="00CA7C3C"/>
    <w:rsid w:val="00CB0189"/>
    <w:rsid w:val="00CB0BA2"/>
    <w:rsid w:val="00CB1A42"/>
    <w:rsid w:val="00CB1B0C"/>
    <w:rsid w:val="00CB2C0B"/>
    <w:rsid w:val="00CB517D"/>
    <w:rsid w:val="00CB6A8C"/>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02D"/>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410F"/>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06A5C"/>
    <w:rsid w:val="00E10EC0"/>
    <w:rsid w:val="00E11A85"/>
    <w:rsid w:val="00E12495"/>
    <w:rsid w:val="00E1356E"/>
    <w:rsid w:val="00E15CCD"/>
    <w:rsid w:val="00E16062"/>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0825"/>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5FC1"/>
    <w:rsid w:val="00E969D5"/>
    <w:rsid w:val="00EA58D1"/>
    <w:rsid w:val="00EA61BC"/>
    <w:rsid w:val="00EA681A"/>
    <w:rsid w:val="00EA735B"/>
    <w:rsid w:val="00EB1E69"/>
    <w:rsid w:val="00EB2086"/>
    <w:rsid w:val="00EB5EDF"/>
    <w:rsid w:val="00EB60FE"/>
    <w:rsid w:val="00EB74DB"/>
    <w:rsid w:val="00EC2C6C"/>
    <w:rsid w:val="00EC4343"/>
    <w:rsid w:val="00EC5359"/>
    <w:rsid w:val="00EC562A"/>
    <w:rsid w:val="00ED067A"/>
    <w:rsid w:val="00ED2B50"/>
    <w:rsid w:val="00EE0350"/>
    <w:rsid w:val="00EE0719"/>
    <w:rsid w:val="00EE0E80"/>
    <w:rsid w:val="00EE613F"/>
    <w:rsid w:val="00EE7295"/>
    <w:rsid w:val="00EE7869"/>
    <w:rsid w:val="00EF054A"/>
    <w:rsid w:val="00EF3235"/>
    <w:rsid w:val="00EF7E72"/>
    <w:rsid w:val="00F05DC5"/>
    <w:rsid w:val="00F06D37"/>
    <w:rsid w:val="00F0730E"/>
    <w:rsid w:val="00F07B9D"/>
    <w:rsid w:val="00F11586"/>
    <w:rsid w:val="00F1183B"/>
    <w:rsid w:val="00F11C9F"/>
    <w:rsid w:val="00F12263"/>
    <w:rsid w:val="00F1409D"/>
    <w:rsid w:val="00F14214"/>
    <w:rsid w:val="00F146BD"/>
    <w:rsid w:val="00F157A9"/>
    <w:rsid w:val="00F25BB6"/>
    <w:rsid w:val="00F26B7E"/>
    <w:rsid w:val="00F26BF4"/>
    <w:rsid w:val="00F27A3B"/>
    <w:rsid w:val="00F33817"/>
    <w:rsid w:val="00F420D5"/>
    <w:rsid w:val="00F451EA"/>
    <w:rsid w:val="00F45447"/>
    <w:rsid w:val="00F456C6"/>
    <w:rsid w:val="00F4577B"/>
    <w:rsid w:val="00F46496"/>
    <w:rsid w:val="00F46DF8"/>
    <w:rsid w:val="00F474D0"/>
    <w:rsid w:val="00F50179"/>
    <w:rsid w:val="00F53010"/>
    <w:rsid w:val="00F56511"/>
    <w:rsid w:val="00F6194E"/>
    <w:rsid w:val="00F623AC"/>
    <w:rsid w:val="00F6412A"/>
    <w:rsid w:val="00F65893"/>
    <w:rsid w:val="00F66A4A"/>
    <w:rsid w:val="00F71E22"/>
    <w:rsid w:val="00F72142"/>
    <w:rsid w:val="00F72AE7"/>
    <w:rsid w:val="00F7689C"/>
    <w:rsid w:val="00F84934"/>
    <w:rsid w:val="00F84FD0"/>
    <w:rsid w:val="00F859A8"/>
    <w:rsid w:val="00F9108B"/>
    <w:rsid w:val="00F91349"/>
    <w:rsid w:val="00F93A8A"/>
    <w:rsid w:val="00F95248"/>
    <w:rsid w:val="00F956A9"/>
    <w:rsid w:val="00F963ED"/>
    <w:rsid w:val="00F966CF"/>
    <w:rsid w:val="00F96CAE"/>
    <w:rsid w:val="00F97C99"/>
    <w:rsid w:val="00FA3E8C"/>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350"/>
    <w:rsid w:val="00FF5B99"/>
    <w:rsid w:val="00FF730C"/>
    <w:rsid w:val="00FF73F4"/>
    <w:rsid w:val="00FF7CE4"/>
    <w:rsid w:val="00FF7E39"/>
    <w:rsid w:val="4F99531C"/>
    <w:rsid w:val="7F7E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ind w:left="852"/>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段 Char"/>
    <w:link w:val="230"/>
    <w:uiPriority w:val="99"/>
    <w:rPr>
      <w:rFonts w:ascii="宋体"/>
      <w:sz w:val="21"/>
    </w:rPr>
  </w:style>
  <w:style w:type="paragraph" w:customStyle="1" w:styleId="230">
    <w:name w:val="段"/>
    <w:link w:val="229"/>
    <w:uiPriority w:val="99"/>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1">
    <w:name w:val="一级条标题"/>
    <w:basedOn w:val="1"/>
    <w:next w:val="230"/>
    <w:uiPriority w:val="0"/>
    <w:pPr>
      <w:widowControl/>
      <w:adjustRightInd/>
      <w:spacing w:before="156" w:beforeLines="50" w:after="156" w:afterLines="50" w:line="240" w:lineRule="auto"/>
      <w:outlineLvl w:val="2"/>
    </w:pPr>
    <w:rPr>
      <w:rFonts w:ascii="黑体" w:hAnsi="Times New Roman" w:eastAsia="黑体"/>
      <w:kern w:val="0"/>
    </w:rPr>
  </w:style>
  <w:style w:type="paragraph" w:customStyle="1" w:styleId="232">
    <w:name w:val="二级条标题"/>
    <w:basedOn w:val="231"/>
    <w:next w:val="230"/>
    <w:uiPriority w:val="0"/>
    <w:pPr>
      <w:spacing w:before="50" w:after="50"/>
      <w:outlineLvl w:val="3"/>
    </w:pPr>
  </w:style>
  <w:style w:type="paragraph" w:customStyle="1" w:styleId="233">
    <w:name w:val="章标题"/>
    <w:next w:val="230"/>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附录四级条标题"/>
    <w:basedOn w:val="1"/>
    <w:next w:val="230"/>
    <w:uiPriority w:val="0"/>
    <w:pPr>
      <w:widowControl/>
      <w:numPr>
        <w:ilvl w:val="5"/>
        <w:numId w:val="3"/>
      </w:numPr>
      <w:tabs>
        <w:tab w:val="left" w:pos="360"/>
      </w:tabs>
      <w:wordWrap w:val="0"/>
      <w:overflowPunct w:val="0"/>
      <w:autoSpaceDE w:val="0"/>
      <w:autoSpaceDN w:val="0"/>
      <w:adjustRightInd/>
      <w:spacing w:before="50" w:beforeLines="50" w:after="50" w:afterLines="50" w:line="240" w:lineRule="auto"/>
      <w:textAlignment w:val="baseline"/>
      <w:outlineLvl w:val="5"/>
    </w:pPr>
    <w:rPr>
      <w:rFonts w:ascii="黑体" w:hAnsi="Times New Roman" w:eastAsia="黑体"/>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tif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68DCD5722149D1A5784CAC08C5DD92"/>
        <w:style w:val=""/>
        <w:category>
          <w:name w:val="常规"/>
          <w:gallery w:val="placeholder"/>
        </w:category>
        <w:types>
          <w:type w:val="bbPlcHdr"/>
        </w:types>
        <w:behaviors>
          <w:behavior w:val="content"/>
        </w:behaviors>
        <w:description w:val=""/>
        <w:guid w:val="{D15B0FB0-E14A-443E-A8DA-72CC4CC0B3F7}"/>
      </w:docPartPr>
      <w:docPartBody>
        <w:p>
          <w:pPr>
            <w:pStyle w:val="5"/>
          </w:pPr>
          <w:r>
            <w:rPr>
              <w:rStyle w:val="4"/>
              <w:rFonts w:hint="eastAsia"/>
            </w:rPr>
            <w:t>单击或点击此处输入文字。</w:t>
          </w:r>
        </w:p>
      </w:docPartBody>
    </w:docPart>
    <w:docPart>
      <w:docPartPr>
        <w:name w:val="921EF9E1CE35467F8B4355EAA615A0F2"/>
        <w:style w:val=""/>
        <w:category>
          <w:name w:val="常规"/>
          <w:gallery w:val="placeholder"/>
        </w:category>
        <w:types>
          <w:type w:val="bbPlcHdr"/>
        </w:types>
        <w:behaviors>
          <w:behavior w:val="content"/>
        </w:behaviors>
        <w:description w:val=""/>
        <w:guid w:val="{EDD886CE-C370-4A94-BBF0-49AE11D8C732}"/>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D6"/>
    <w:rsid w:val="00032909"/>
    <w:rsid w:val="000E03C2"/>
    <w:rsid w:val="002225CE"/>
    <w:rsid w:val="002C44B9"/>
    <w:rsid w:val="002D3B6A"/>
    <w:rsid w:val="00393BAD"/>
    <w:rsid w:val="003E4963"/>
    <w:rsid w:val="005A17D7"/>
    <w:rsid w:val="005C2FAF"/>
    <w:rsid w:val="005C74FE"/>
    <w:rsid w:val="006D68D6"/>
    <w:rsid w:val="007458C3"/>
    <w:rsid w:val="007A61AF"/>
    <w:rsid w:val="008079AF"/>
    <w:rsid w:val="00924F52"/>
    <w:rsid w:val="009361F1"/>
    <w:rsid w:val="00940259"/>
    <w:rsid w:val="00A02695"/>
    <w:rsid w:val="00A45740"/>
    <w:rsid w:val="00AF179E"/>
    <w:rsid w:val="00B5298A"/>
    <w:rsid w:val="00BF07D6"/>
    <w:rsid w:val="00C75A51"/>
    <w:rsid w:val="00C765E4"/>
    <w:rsid w:val="00DC16B3"/>
    <w:rsid w:val="00FB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368DCD5722149D1A5784CAC08C5DD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21EF9E1CE35467F8B4355EAA615A0F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6E34A-8AAE-4B65-8626-2FBA7CD0620E}">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10</Pages>
  <Words>1017</Words>
  <Characters>5803</Characters>
  <Lines>48</Lines>
  <Paragraphs>13</Paragraphs>
  <TotalTime>879</TotalTime>
  <ScaleCrop>false</ScaleCrop>
  <LinksUpToDate>false</LinksUpToDate>
  <CharactersWithSpaces>6807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2021-03-26T07:57:00Z</dcterms:created>
  <dc:creator>于洋</dc:creator>
  <dc:description>&lt;config cover="true" show_menu="true" version="1.0.0" doctype="SDKXY"&gt;_x000d_
&lt;/config&gt;</dc:description>
  <cp:lastModifiedBy>于洋</cp:lastModifiedBy>
  <cp:lastPrinted>2021-02-02T07:44:00Z</cp:lastPrinted>
  <dcterms:modified xsi:type="dcterms:W3CDTF">2021-06-15T07:59:57Z</dcterms:modified>
  <dc:title>国家标准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2052-11.8.2.8808</vt:lpwstr>
  </property>
</Properties>
</file>