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6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6"/>
      </w:tblGrid>
      <w:tr>
        <w:tblPrEx>
          <w:tblLayout w:type="fixed"/>
        </w:tblPrEx>
        <w:trPr>
          <w:cantSplit/>
          <w:trHeight w:val="840" w:hRule="atLeast"/>
        </w:trPr>
        <w:tc>
          <w:tcPr>
            <w:tcW w:w="9196" w:type="dxa"/>
          </w:tcPr>
          <w:p>
            <w:pPr>
              <w:pStyle w:val="10"/>
              <w:spacing w:line="480" w:lineRule="auto"/>
              <w:jc w:val="center"/>
              <w:rPr>
                <w:rFonts w:ascii="Times New Roman" w:eastAsia="方正小标宋_GBK"/>
                <w:bCs/>
                <w:spacing w:val="60"/>
                <w:w w:val="50"/>
                <w:kern w:val="2"/>
                <w:szCs w:val="120"/>
              </w:rPr>
            </w:pPr>
            <w:bookmarkStart w:id="3" w:name="_GoBack"/>
            <w:bookmarkEnd w:id="3"/>
          </w:p>
          <w:p>
            <w:pPr>
              <w:pStyle w:val="10"/>
              <w:spacing w:line="480" w:lineRule="auto"/>
              <w:jc w:val="center"/>
              <w:rPr>
                <w:rFonts w:ascii="Times New Roman" w:eastAsia="方正小标宋_GBK"/>
                <w:bCs/>
                <w:spacing w:val="60"/>
                <w:w w:val="45"/>
                <w:kern w:val="2"/>
                <w:szCs w:val="120"/>
              </w:rPr>
            </w:pPr>
            <w:r>
              <w:rPr>
                <w:rFonts w:hint="eastAsia" w:ascii="Times New Roman" w:eastAsia="方正小标宋_GBK"/>
                <w:spacing w:val="0"/>
                <w:w w:val="47"/>
                <w:kern w:val="2"/>
                <w:szCs w:val="120"/>
              </w:rPr>
              <w:t>南京市浦口区人民政府办公室文件</w:t>
            </w:r>
          </w:p>
        </w:tc>
      </w:tr>
      <w:tr>
        <w:tblPrEx>
          <w:tblLayout w:type="fixed"/>
        </w:tblPrEx>
        <w:trPr>
          <w:cantSplit/>
          <w:trHeight w:val="840" w:hRule="atLeast"/>
        </w:trPr>
        <w:tc>
          <w:tcPr>
            <w:tcW w:w="9196" w:type="dxa"/>
          </w:tcPr>
          <w:p>
            <w:pPr>
              <w:pStyle w:val="11"/>
              <w:ind w:firstLine="3520" w:firstLineChars="1100"/>
              <w:jc w:val="both"/>
              <w:rPr>
                <w:rFonts w:eastAsia="方正仿宋_GBK"/>
              </w:rPr>
            </w:pPr>
            <w:bookmarkStart w:id="0" w:name="SN"/>
          </w:p>
          <w:p>
            <w:pPr>
              <w:pStyle w:val="11"/>
              <w:rPr>
                <w:rFonts w:eastAsia="方正仿宋_GBK"/>
              </w:rPr>
            </w:pPr>
            <w:r>
              <w:rPr>
                <w:sz w:val="21"/>
                <w:szCs w:val="22"/>
              </w:rPr>
              <w:pict>
                <v:line id="_x0000_s1026" o:spid="_x0000_s1026" o:spt="20" style="position:absolute;left:0pt;margin-left:3.7pt;margin-top:65.1pt;height:0pt;width:442.2pt;mso-position-vertical-relative:margin;mso-wrap-distance-bottom:0pt;mso-wrap-distance-top:0pt;z-index:251658240;mso-width-relative:page;mso-height-relative:page;" stroked="t" coordsize="21600,21600">
                  <v:path arrowok="t"/>
                  <v:fill focussize="0,0"/>
                  <v:stroke weight="3pt" color="#FF0000"/>
                  <v:imagedata o:title=""/>
                  <o:lock v:ext="edit"/>
                  <w10:wrap type="topAndBottom"/>
                </v:line>
              </w:pict>
            </w:r>
            <w:r>
              <w:rPr>
                <w:rFonts w:hint="eastAsia" w:eastAsia="方正仿宋_GBK"/>
              </w:rPr>
              <w:t>浦政办发〔2020〕63号</w:t>
            </w:r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9196" w:type="dxa"/>
          </w:tcPr>
          <w:p>
            <w:pPr>
              <w:pStyle w:val="11"/>
              <w:ind w:firstLine="3520" w:firstLineChars="1100"/>
              <w:jc w:val="both"/>
              <w:rPr>
                <w:rFonts w:eastAsia="方正仿宋_GBK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区政府办公室关于印发浦口区文旅健康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产业链“</w:t>
      </w:r>
      <w:r>
        <w:rPr>
          <w:rFonts w:hint="eastAsia" w:ascii="Times New Roman" w:hAnsi="Times New Roman" w:eastAsia="方正小标宋_GBK" w:cs="宋体"/>
          <w:kern w:val="36"/>
          <w:sz w:val="44"/>
          <w:szCs w:val="44"/>
        </w:rPr>
        <w:t>链长制</w:t>
      </w:r>
      <w:r>
        <w:rPr>
          <w:rFonts w:hint="eastAsia" w:ascii="Times New Roman" w:hAnsi="Times New Roman" w:eastAsia="方正小标宋_GBK"/>
          <w:sz w:val="44"/>
          <w:szCs w:val="44"/>
        </w:rPr>
        <w:t>”</w:t>
      </w:r>
      <w:r>
        <w:rPr>
          <w:rFonts w:hint="eastAsia" w:ascii="Times New Roman" w:hAnsi="Times New Roman" w:eastAsia="方正小标宋_GBK" w:cs="宋体"/>
          <w:kern w:val="36"/>
          <w:sz w:val="44"/>
          <w:szCs w:val="44"/>
        </w:rPr>
        <w:t>工作方案的通知</w:t>
      </w:r>
    </w:p>
    <w:p>
      <w:pPr>
        <w:widowControl/>
        <w:autoSpaceDN w:val="0"/>
        <w:spacing w:line="560" w:lineRule="exact"/>
        <w:ind w:firstLine="641"/>
        <w:rPr>
          <w:rFonts w:ascii="Times New Roman" w:hAnsi="Times New Roman" w:eastAsia="方正楷体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各街道办事处，区府各委办局、各直属单位：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现将《浦口区文旅健康产业链“链长制”工作方案》印发给你们，请认真贯彻执行。</w:t>
      </w:r>
    </w:p>
    <w:p>
      <w:pPr>
        <w:spacing w:line="560" w:lineRule="exact"/>
        <w:ind w:firstLine="630"/>
        <w:jc w:val="left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4000" w:firstLineChars="1250"/>
        <w:jc w:val="left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南京市浦口区人民政府办公室</w:t>
      </w:r>
    </w:p>
    <w:p>
      <w:pPr>
        <w:spacing w:line="560" w:lineRule="exact"/>
        <w:ind w:firstLine="630"/>
        <w:jc w:val="left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0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12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31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firstLine="630"/>
        <w:jc w:val="left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（此件公开发布）</w:t>
      </w:r>
    </w:p>
    <w:p>
      <w:pPr>
        <w:widowControl/>
        <w:autoSpaceDN w:val="0"/>
        <w:spacing w:line="560" w:lineRule="exact"/>
        <w:ind w:firstLine="641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autoSpaceDN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浦口区文旅健康产业链“</w:t>
      </w:r>
      <w:r>
        <w:rPr>
          <w:rFonts w:hint="eastAsia" w:ascii="Times New Roman" w:hAnsi="Times New Roman" w:eastAsia="方正小标宋_GBK" w:cs="宋体"/>
          <w:kern w:val="36"/>
          <w:sz w:val="44"/>
          <w:szCs w:val="44"/>
        </w:rPr>
        <w:t>链长制</w:t>
      </w:r>
      <w:r>
        <w:rPr>
          <w:rFonts w:hint="eastAsia" w:ascii="Times New Roman" w:hAnsi="Times New Roman" w:eastAsia="方正小标宋_GBK"/>
          <w:sz w:val="44"/>
          <w:szCs w:val="44"/>
        </w:rPr>
        <w:t>”</w:t>
      </w:r>
    </w:p>
    <w:p>
      <w:pPr>
        <w:widowControl/>
        <w:autoSpaceDN w:val="0"/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宋体"/>
          <w:kern w:val="36"/>
          <w:sz w:val="44"/>
          <w:szCs w:val="44"/>
        </w:rPr>
        <w:t>工作方案</w:t>
      </w:r>
    </w:p>
    <w:p>
      <w:pPr>
        <w:widowControl/>
        <w:autoSpaceDN w:val="0"/>
        <w:spacing w:line="560" w:lineRule="exact"/>
        <w:ind w:firstLine="641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autoSpaceDN w:val="0"/>
        <w:spacing w:line="560" w:lineRule="exact"/>
        <w:ind w:firstLine="64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</w:t>
      </w:r>
      <w:r>
        <w:rPr>
          <w:rFonts w:hint="eastAsia" w:ascii="Times New Roman" w:hAnsi="Times New Roman" w:eastAsia="方正仿宋_GBK"/>
          <w:sz w:val="32"/>
          <w:szCs w:val="32"/>
        </w:rPr>
        <w:t>浦口区关于实施产业链“链长制”的工作方案</w:t>
      </w:r>
      <w:r>
        <w:rPr>
          <w:rFonts w:ascii="Times New Roman" w:hAnsi="Times New Roman" w:eastAsia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</w:rPr>
        <w:t>要求</w:t>
      </w:r>
      <w:r>
        <w:rPr>
          <w:rFonts w:ascii="Times New Roman" w:hAnsi="Times New Roman" w:eastAsia="方正仿宋_GBK"/>
          <w:sz w:val="32"/>
          <w:szCs w:val="32"/>
        </w:rPr>
        <w:t>，为推动我区文旅健康产业高质量发展，加快建设“都市圈最美花园”，奋力打造“江北明珠”，制定实施方案如下。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黑体_GBK"/>
          <w:sz w:val="32"/>
          <w:szCs w:val="24"/>
        </w:rPr>
      </w:pPr>
      <w:r>
        <w:rPr>
          <w:rFonts w:ascii="Times New Roman" w:hAnsi="Times New Roman" w:eastAsia="方正黑体_GBK"/>
          <w:sz w:val="32"/>
          <w:szCs w:val="32"/>
        </w:rPr>
        <w:t>一、基本思路</w:t>
      </w:r>
    </w:p>
    <w:p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以习近平新时代中国特色社会主义思想为指导，全面贯彻落实党的十九大和十九届二中、三中、四中</w:t>
      </w:r>
      <w:r>
        <w:rPr>
          <w:rFonts w:hint="eastAsia" w:ascii="Times New Roman" w:hAnsi="Times New Roman" w:eastAsia="方正仿宋_GBK"/>
          <w:sz w:val="32"/>
          <w:szCs w:val="32"/>
        </w:rPr>
        <w:t>、五中</w:t>
      </w:r>
      <w:r>
        <w:rPr>
          <w:rFonts w:ascii="Times New Roman" w:hAnsi="Times New Roman" w:eastAsia="方正仿宋_GBK"/>
          <w:sz w:val="32"/>
          <w:szCs w:val="32"/>
        </w:rPr>
        <w:t>全会</w:t>
      </w:r>
      <w:r>
        <w:rPr>
          <w:rFonts w:hint="eastAsia" w:ascii="Times New Roman" w:hAnsi="Times New Roman" w:eastAsia="方正仿宋_GBK"/>
          <w:sz w:val="32"/>
          <w:szCs w:val="32"/>
        </w:rPr>
        <w:t>和习总书记视察江苏重要讲话指示精神</w:t>
      </w:r>
      <w:r>
        <w:rPr>
          <w:rFonts w:ascii="Times New Roman" w:hAnsi="Times New Roman" w:eastAsia="方正仿宋_GBK"/>
          <w:sz w:val="32"/>
          <w:szCs w:val="32"/>
        </w:rPr>
        <w:t>，紧扣高质量发展要求，践行新发展理念，以建链、固链、延链、引链、塑链、活链为抓手，打通文旅健康产业供给和需求两端之间的有效连接，把文旅健康产业培育成为浦口新消费的热点，打造成国民经济支柱产业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/>
          <w:sz w:val="32"/>
          <w:szCs w:val="32"/>
        </w:rPr>
        <w:t>总体</w:t>
      </w:r>
      <w:r>
        <w:rPr>
          <w:rFonts w:ascii="Times New Roman" w:hAnsi="Times New Roman" w:eastAsia="方正黑体_GBK"/>
          <w:sz w:val="32"/>
          <w:szCs w:val="32"/>
        </w:rPr>
        <w:t>目标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通过</w:t>
      </w:r>
      <w:r>
        <w:rPr>
          <w:rFonts w:hint="eastAsia" w:ascii="Times New Roman" w:hAnsi="Times New Roman" w:eastAsia="方正仿宋_GBK"/>
          <w:sz w:val="32"/>
          <w:szCs w:val="32"/>
        </w:rPr>
        <w:t>三</w:t>
      </w:r>
      <w:r>
        <w:rPr>
          <w:rFonts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ascii="Times New Roman" w:hAnsi="Times New Roman" w:eastAsia="方正仿宋_GBK"/>
          <w:sz w:val="32"/>
          <w:szCs w:val="32"/>
        </w:rPr>
        <w:t>年的努力，创成国家全域旅游示范区、珍珠泉国家级旅游度假区，汤泉省级旅游度假区进入全省第一方阵。培育5A景区1个</w:t>
      </w:r>
      <w:r>
        <w:rPr>
          <w:rFonts w:hint="eastAsia" w:ascii="Times New Roman" w:hAnsi="Times New Roman" w:eastAsia="方正仿宋_GBK"/>
          <w:sz w:val="32"/>
          <w:szCs w:val="32"/>
        </w:rPr>
        <w:t>，新增</w:t>
      </w:r>
      <w:r>
        <w:rPr>
          <w:rFonts w:ascii="Times New Roman" w:hAnsi="Times New Roman" w:eastAsia="方正仿宋_GBK"/>
          <w:sz w:val="32"/>
          <w:szCs w:val="32"/>
        </w:rPr>
        <w:t>4A景区1个</w:t>
      </w:r>
      <w:r>
        <w:rPr>
          <w:rFonts w:hint="eastAsia" w:ascii="Times New Roman" w:hAnsi="Times New Roman" w:eastAsia="方正仿宋_GBK"/>
          <w:sz w:val="32"/>
          <w:szCs w:val="32"/>
        </w:rPr>
        <w:t>（达到3个）</w:t>
      </w:r>
      <w:r>
        <w:rPr>
          <w:rFonts w:ascii="Times New Roman" w:hAnsi="Times New Roman" w:eastAsia="方正仿宋_GBK"/>
          <w:sz w:val="32"/>
          <w:szCs w:val="32"/>
        </w:rPr>
        <w:t>、3A景区2个</w:t>
      </w:r>
      <w:r>
        <w:rPr>
          <w:rFonts w:hint="eastAsia" w:ascii="Times New Roman" w:hAnsi="Times New Roman" w:eastAsia="方正仿宋_GBK"/>
          <w:sz w:val="32"/>
          <w:szCs w:val="32"/>
        </w:rPr>
        <w:t>（达到5个）</w:t>
      </w:r>
      <w:r>
        <w:rPr>
          <w:rFonts w:ascii="Times New Roman" w:hAnsi="Times New Roman" w:eastAsia="方正仿宋_GBK"/>
          <w:sz w:val="32"/>
          <w:szCs w:val="32"/>
        </w:rPr>
        <w:t>、全国乡村旅游重点村3个</w:t>
      </w:r>
      <w:r>
        <w:rPr>
          <w:rFonts w:hint="eastAsia" w:ascii="Times New Roman" w:hAnsi="Times New Roman" w:eastAsia="方正仿宋_GBK"/>
          <w:sz w:val="32"/>
          <w:szCs w:val="32"/>
        </w:rPr>
        <w:t>（达到4个）、国家级水利风景区1个（达到2个）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新增</w:t>
      </w:r>
      <w:r>
        <w:rPr>
          <w:rFonts w:ascii="Times New Roman" w:hAnsi="Times New Roman" w:eastAsia="方正仿宋_GBK"/>
          <w:sz w:val="32"/>
          <w:szCs w:val="32"/>
        </w:rPr>
        <w:t>省级工业旅游示范基地1个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建成功能完备、协作支撑的文化产业示范园区</w:t>
      </w:r>
      <w:r>
        <w:rPr>
          <w:rFonts w:hint="eastAsia" w:ascii="Times New Roman" w:hAnsi="Times New Roman" w:eastAsia="方正仿宋_GBK"/>
          <w:sz w:val="32"/>
          <w:szCs w:val="32"/>
        </w:rPr>
        <w:t>1个</w:t>
      </w:r>
      <w:r>
        <w:rPr>
          <w:rFonts w:ascii="Times New Roman" w:hAnsi="Times New Roman" w:eastAsia="方正仿宋_GBK"/>
          <w:sz w:val="32"/>
          <w:szCs w:val="32"/>
        </w:rPr>
        <w:t>。旅游产业主要指标列居全市第一方阵，</w:t>
      </w:r>
      <w:r>
        <w:rPr>
          <w:rFonts w:hint="eastAsia" w:ascii="Times New Roman" w:hAnsi="Times New Roman" w:eastAsia="方正仿宋_GBK"/>
          <w:sz w:val="32"/>
          <w:szCs w:val="32"/>
        </w:rPr>
        <w:t>到“十四五”末，实现文旅健康产业产值达到5</w:t>
      </w:r>
      <w:r>
        <w:rPr>
          <w:rFonts w:ascii="Times New Roman" w:hAnsi="Times New Roman" w:eastAsia="方正仿宋_GBK"/>
          <w:sz w:val="32"/>
          <w:szCs w:val="32"/>
        </w:rPr>
        <w:t>00</w:t>
      </w:r>
      <w:r>
        <w:rPr>
          <w:rFonts w:hint="eastAsia" w:ascii="Times New Roman" w:hAnsi="Times New Roman" w:eastAsia="方正仿宋_GBK"/>
          <w:sz w:val="32"/>
          <w:szCs w:val="32"/>
        </w:rPr>
        <w:t>亿，旅游人均消费突破2</w:t>
      </w:r>
      <w:r>
        <w:rPr>
          <w:rFonts w:ascii="Times New Roman" w:hAnsi="Times New Roman" w:eastAsia="方正仿宋_GBK"/>
          <w:sz w:val="32"/>
          <w:szCs w:val="32"/>
        </w:rPr>
        <w:t>000</w:t>
      </w:r>
      <w:r>
        <w:rPr>
          <w:rFonts w:hint="eastAsia" w:ascii="Times New Roman" w:hAnsi="Times New Roman" w:eastAsia="方正仿宋_GBK"/>
          <w:sz w:val="32"/>
          <w:szCs w:val="32"/>
        </w:rPr>
        <w:t>元。</w:t>
      </w:r>
      <w:r>
        <w:rPr>
          <w:rFonts w:ascii="Times New Roman" w:hAnsi="Times New Roman" w:eastAsia="方正仿宋_GBK"/>
          <w:sz w:val="32"/>
          <w:szCs w:val="32"/>
        </w:rPr>
        <w:t>“都市圈最美花园-山水浦口、诗画田园”旅游品牌</w:t>
      </w:r>
      <w:r>
        <w:rPr>
          <w:rFonts w:hint="eastAsia" w:ascii="Times New Roman" w:hAnsi="Times New Roman" w:eastAsia="方正仿宋_GBK"/>
          <w:sz w:val="32"/>
          <w:szCs w:val="32"/>
        </w:rPr>
        <w:t>、老山美宿品牌</w:t>
      </w:r>
      <w:r>
        <w:rPr>
          <w:rFonts w:ascii="Times New Roman" w:hAnsi="Times New Roman" w:eastAsia="方正仿宋_GBK"/>
          <w:sz w:val="32"/>
          <w:szCs w:val="32"/>
        </w:rPr>
        <w:t>唱响全国，浦口成为长三角著名都市微度假休闲旅游目的地。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</w:t>
      </w:r>
      <w:r>
        <w:rPr>
          <w:rFonts w:hint="eastAsia" w:ascii="Times New Roman" w:hAnsi="Times New Roman" w:eastAsia="方正黑体_GBK"/>
          <w:sz w:val="32"/>
          <w:szCs w:val="32"/>
        </w:rPr>
        <w:t>工作体系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1.建立链长制工作推进体系。</w:t>
      </w:r>
      <w:r>
        <w:rPr>
          <w:rFonts w:ascii="Times New Roman" w:hAnsi="Times New Roman" w:eastAsia="方正仿宋_GBK"/>
          <w:bCs/>
          <w:sz w:val="32"/>
          <w:szCs w:val="32"/>
        </w:rPr>
        <w:t>成立浦口区文旅健康产业链工作推进专班，由分管区领导担任链长，文旅、发改、规划资源、交通、农业农村、商务、度假区等部门负责同志为成员，</w:t>
      </w:r>
      <w:r>
        <w:rPr>
          <w:rFonts w:ascii="Times New Roman" w:hAnsi="Times New Roman" w:eastAsia="方正仿宋_GBK"/>
          <w:sz w:val="32"/>
          <w:szCs w:val="32"/>
        </w:rPr>
        <w:t>研究制定文旅健康产业发展战略和政策措施，协调解决产业链发展中的重大事项。专班办公室设在区文旅局，承担推进文旅健康产业链发展的日常工作。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2.建立链长制议事协调体系。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实行链长负责制，由链长牵头研究推动文旅健康产业链发展各项工作。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</w:rPr>
        <w:t>调研梳理文旅健康产业链发展现状，研究制定“四图”（产业链图、发展路线图、业态布局图、板块分布图）、“五清单”（企业清单、项目清单、集群清单、问题清单和政策清单）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，统筹推进文旅健康产业链龙头企业发展、文旅招商、项目建设、人才引进、业态打造、营销推广等重大事项。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3.建立链长制支撑服务体系。</w:t>
      </w:r>
      <w:r>
        <w:rPr>
          <w:rFonts w:hint="eastAsia" w:ascii="Times New Roman" w:hAnsi="Times New Roman" w:eastAsia="方正仿宋_GBK"/>
          <w:sz w:val="32"/>
          <w:szCs w:val="32"/>
        </w:rPr>
        <w:t>要素支撑部门按照“一条支链、一位分管领导、一位联络员、一个工作方案”模式，建立日常支撑服务机制，研究制定支持文旅健康产业链政策措施，细化工作举措。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调动文旅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健康</w:t>
      </w:r>
      <w:r>
        <w:rPr>
          <w:rFonts w:ascii="Times New Roman" w:hAnsi="Times New Roman" w:eastAsia="方正仿宋_GBK"/>
          <w:color w:val="000000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、行业协会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参与文旅健康产业链打造，建立文旅健康产业链专家智库，</w:t>
      </w:r>
      <w:r>
        <w:rPr>
          <w:rFonts w:ascii="Times New Roman" w:hAnsi="Times New Roman" w:eastAsia="方正仿宋_GBK"/>
          <w:sz w:val="32"/>
          <w:szCs w:val="32"/>
        </w:rPr>
        <w:t>开展重大问题和政策研究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四、重点任务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楷体_GBK"/>
          <w:kern w:val="0"/>
          <w:sz w:val="32"/>
          <w:szCs w:val="32"/>
        </w:rPr>
        <w:t>壮大“头雁式”效应</w:t>
      </w:r>
      <w:r>
        <w:rPr>
          <w:rFonts w:ascii="Times New Roman" w:hAnsi="Times New Roman" w:eastAsia="方正楷体_GBK"/>
          <w:color w:val="000000"/>
          <w:sz w:val="32"/>
          <w:szCs w:val="32"/>
        </w:rPr>
        <w:t>，实施“项目固链”行动。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1.开展文旅健康产业布局。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坚持全域规划、全景打造，串点成线、连线成面，构建“一轴两翼一环、四大板块、六大文旅体产业集群”发展格局。</w:t>
      </w:r>
      <w:r>
        <w:rPr>
          <w:rFonts w:hint="eastAsia" w:ascii="Times New Roman" w:hAnsi="Times New Roman" w:eastAsia="方正仿宋_GBK"/>
          <w:color w:val="000000"/>
          <w:spacing w:val="8"/>
          <w:sz w:val="32"/>
          <w:szCs w:val="32"/>
          <w:shd w:val="clear" w:color="auto" w:fill="FFFFFF"/>
        </w:rPr>
        <w:t>推进《南京老山景区控制性详细规划》落地。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实施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《浦口“十四五”文化旅游体育发展规划》《浦口区全域旅游发展规划》及配套老山板块、产业发展、公共服务、宣传营销等专项规划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  <w:bookmarkStart w:id="1" w:name="_Hlk59535437"/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</w:t>
      </w:r>
      <w:r>
        <w:rPr>
          <w:rFonts w:ascii="Times New Roman" w:hAnsi="Times New Roman" w:eastAsia="方正楷体_GBK"/>
          <w:sz w:val="32"/>
          <w:szCs w:val="32"/>
        </w:rPr>
        <w:t>单位：区文旅局、发改委、规划资源分局）</w:t>
      </w:r>
    </w:p>
    <w:bookmarkEnd w:id="1"/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2.开展文旅健康产业招商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对接文旅健康产业龙头</w:t>
      </w:r>
      <w:r>
        <w:rPr>
          <w:rFonts w:ascii="Times New Roman" w:hAnsi="Times New Roman" w:eastAsia="方正仿宋_GBK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知名品牌，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开展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精准</w:t>
      </w:r>
      <w:r>
        <w:rPr>
          <w:rFonts w:ascii="Times New Roman" w:hAnsi="Times New Roman" w:eastAsia="方正仿宋_GBK"/>
          <w:color w:val="000000"/>
          <w:sz w:val="32"/>
          <w:szCs w:val="32"/>
        </w:rPr>
        <w:t>招商，引进一批旗舰型文旅项目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建立产业链上下游招商项目库和招商企业目标库，紧紧抓好招商引资项目的落实，让项目引得进来、落得了地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</w:t>
      </w:r>
      <w:r>
        <w:rPr>
          <w:rFonts w:ascii="Times New Roman" w:hAnsi="Times New Roman" w:eastAsia="方正楷体_GBK"/>
          <w:sz w:val="32"/>
          <w:szCs w:val="32"/>
        </w:rPr>
        <w:t>单位：</w:t>
      </w:r>
      <w:r>
        <w:rPr>
          <w:rFonts w:hint="eastAsia" w:ascii="Times New Roman" w:hAnsi="Times New Roman" w:eastAsia="方正楷体_GBK"/>
          <w:sz w:val="32"/>
          <w:szCs w:val="32"/>
        </w:rPr>
        <w:t>区商务局、文旅局、文旅集团</w:t>
      </w:r>
      <w:r>
        <w:rPr>
          <w:rFonts w:ascii="Times New Roman" w:hAnsi="Times New Roman" w:eastAsia="方正楷体_GBK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开展文旅健康产业项目提速。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健全重点项目库，建立区领导挂钩联系重点文旅健康产业项目机制，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建设一批重点项目，培育一批龙头企业，推出一批文旅品牌名录。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拓宽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文旅健康</w:t>
      </w:r>
      <w:r>
        <w:rPr>
          <w:rFonts w:ascii="Times New Roman" w:hAnsi="Times New Roman" w:eastAsia="方正仿宋_GBK"/>
          <w:color w:val="000000"/>
          <w:sz w:val="32"/>
          <w:szCs w:val="32"/>
        </w:rPr>
        <w:t>企业融资渠道，加大企业信贷等支持力度。实施旅游人才培养计划，加快引进一批高层次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文旅</w:t>
      </w:r>
      <w:r>
        <w:rPr>
          <w:rFonts w:ascii="Times New Roman" w:hAnsi="Times New Roman" w:eastAsia="方正仿宋_GBK"/>
          <w:color w:val="000000"/>
          <w:sz w:val="32"/>
          <w:szCs w:val="32"/>
        </w:rPr>
        <w:t>管理人才和专业技术人才。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牵头单位</w:t>
      </w:r>
      <w:r>
        <w:rPr>
          <w:rFonts w:ascii="Times New Roman" w:hAnsi="Times New Roman" w:eastAsia="方正楷体_GBK"/>
          <w:sz w:val="32"/>
          <w:szCs w:val="32"/>
        </w:rPr>
        <w:t>：区发改委、</w:t>
      </w:r>
      <w:r>
        <w:rPr>
          <w:rFonts w:hint="eastAsia" w:ascii="Times New Roman" w:hAnsi="Times New Roman" w:eastAsia="方正楷体_GBK"/>
          <w:sz w:val="32"/>
          <w:szCs w:val="32"/>
        </w:rPr>
        <w:t>文旅局、文旅集团</w:t>
      </w:r>
      <w:r>
        <w:rPr>
          <w:rFonts w:ascii="Times New Roman" w:hAnsi="Times New Roman" w:eastAsia="方正楷体_GBK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kern w:val="0"/>
          <w:sz w:val="32"/>
          <w:szCs w:val="32"/>
        </w:rPr>
        <w:t>（二）</w:t>
      </w:r>
      <w:r>
        <w:rPr>
          <w:rFonts w:ascii="Times New Roman" w:hAnsi="Times New Roman" w:eastAsia="方正楷体_GBK"/>
          <w:color w:val="000000"/>
          <w:sz w:val="32"/>
          <w:szCs w:val="32"/>
        </w:rPr>
        <w:t>培育“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乡村度假</w:t>
      </w:r>
      <w:r>
        <w:rPr>
          <w:rFonts w:ascii="Times New Roman" w:hAnsi="Times New Roman" w:eastAsia="方正楷体_GBK"/>
          <w:color w:val="000000"/>
          <w:sz w:val="32"/>
          <w:szCs w:val="32"/>
        </w:rPr>
        <w:t>”热点，实施“业态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补</w:t>
      </w:r>
      <w:r>
        <w:rPr>
          <w:rFonts w:ascii="Times New Roman" w:hAnsi="Times New Roman" w:eastAsia="方正楷体_GBK"/>
          <w:color w:val="000000"/>
          <w:sz w:val="32"/>
          <w:szCs w:val="32"/>
        </w:rPr>
        <w:t>链”行动。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.布局连片乡村度假区。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以创建全国和省级乡村旅游重点村为抓手，</w:t>
      </w:r>
      <w:r>
        <w:rPr>
          <w:rFonts w:ascii="Times New Roman" w:hAnsi="Times New Roman" w:eastAsia="方正仿宋_GBK"/>
          <w:sz w:val="32"/>
          <w:szCs w:val="32"/>
        </w:rPr>
        <w:t>以打造五个特色田园乡村为示范，积极推进美丽乡村村庄景区化，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充</w:t>
      </w:r>
      <w:r>
        <w:rPr>
          <w:rFonts w:ascii="Times New Roman" w:hAnsi="Times New Roman" w:eastAsia="方正仿宋_GBK"/>
          <w:sz w:val="32"/>
          <w:szCs w:val="32"/>
        </w:rPr>
        <w:t>分利用美丽乡村和美丽村居的环境，引导村庄注入旅游功能，推动村庄培育发展满足游客各种需求的不同形式乡村业态。</w:t>
      </w:r>
      <w:r>
        <w:rPr>
          <w:rFonts w:hint="eastAsia" w:ascii="Times New Roman" w:hAnsi="Times New Roman" w:eastAsia="方正仿宋_GBK"/>
          <w:sz w:val="32"/>
          <w:szCs w:val="32"/>
        </w:rPr>
        <w:t>推动乡村旅游转型发展，</w:t>
      </w:r>
      <w:r>
        <w:rPr>
          <w:rFonts w:ascii="Times New Roman" w:hAnsi="Times New Roman" w:eastAsia="方正仿宋_GBK"/>
          <w:sz w:val="32"/>
          <w:szCs w:val="32"/>
        </w:rPr>
        <w:t>聚焦乡村体验、休闲度假、文化创意、健康养生、运动休闲等重点产业，</w:t>
      </w:r>
      <w:r>
        <w:rPr>
          <w:rFonts w:hint="eastAsia" w:ascii="Times New Roman" w:hAnsi="Times New Roman" w:eastAsia="方正仿宋_GBK"/>
          <w:sz w:val="32"/>
          <w:szCs w:val="32"/>
        </w:rPr>
        <w:t>实施乡村旅游精品工程，</w:t>
      </w:r>
      <w:r>
        <w:rPr>
          <w:rFonts w:ascii="Times New Roman" w:hAnsi="Times New Roman" w:eastAsia="方正仿宋_GBK"/>
          <w:sz w:val="32"/>
          <w:szCs w:val="32"/>
        </w:rPr>
        <w:t>培育打造一批产业突出、环境优美</w:t>
      </w:r>
      <w:r>
        <w:rPr>
          <w:rFonts w:hint="eastAsia" w:ascii="Times New Roman" w:hAnsi="Times New Roman" w:eastAsia="方正仿宋_GBK"/>
          <w:sz w:val="32"/>
          <w:szCs w:val="32"/>
        </w:rPr>
        <w:t>、富民带动</w:t>
      </w:r>
      <w:r>
        <w:rPr>
          <w:rFonts w:ascii="Times New Roman" w:hAnsi="Times New Roman" w:eastAsia="方正仿宋_GBK"/>
          <w:sz w:val="32"/>
          <w:szCs w:val="32"/>
        </w:rPr>
        <w:t>的乡村旅游连片</w:t>
      </w:r>
      <w:r>
        <w:rPr>
          <w:rFonts w:hint="eastAsia" w:ascii="Times New Roman" w:hAnsi="Times New Roman" w:eastAsia="方正仿宋_GBK"/>
          <w:sz w:val="32"/>
          <w:szCs w:val="32"/>
        </w:rPr>
        <w:t>度假区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牵头单位</w:t>
      </w:r>
      <w:r>
        <w:rPr>
          <w:rFonts w:ascii="Times New Roman" w:hAnsi="Times New Roman" w:eastAsia="方正楷体_GBK"/>
          <w:sz w:val="32"/>
          <w:szCs w:val="32"/>
        </w:rPr>
        <w:t>：区</w:t>
      </w:r>
      <w:r>
        <w:rPr>
          <w:rFonts w:hint="eastAsia" w:ascii="Times New Roman" w:hAnsi="Times New Roman" w:eastAsia="方正楷体_GBK"/>
          <w:sz w:val="32"/>
          <w:szCs w:val="32"/>
        </w:rPr>
        <w:t>农业农村局</w:t>
      </w:r>
      <w:r>
        <w:rPr>
          <w:rFonts w:ascii="Times New Roman" w:hAnsi="Times New Roman" w:eastAsia="方正楷体_GBK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布局乡村精品民宿发展。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以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环老山精品民宿群及沿长江、沿滁河民宿集聚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带为重点，</w:t>
      </w:r>
      <w:r>
        <w:rPr>
          <w:rFonts w:hint="eastAsia" w:ascii="Times New Roman" w:hAnsi="Times New Roman" w:eastAsia="方正仿宋_GBK"/>
          <w:sz w:val="32"/>
          <w:szCs w:val="32"/>
        </w:rPr>
        <w:t>发展1</w:t>
      </w:r>
      <w:r>
        <w:rPr>
          <w:rFonts w:ascii="Times New Roman" w:hAnsi="Times New Roman" w:eastAsia="方正仿宋_GBK"/>
          <w:sz w:val="32"/>
          <w:szCs w:val="32"/>
        </w:rPr>
        <w:t>00</w:t>
      </w:r>
      <w:r>
        <w:rPr>
          <w:rFonts w:hint="eastAsia" w:ascii="Times New Roman" w:hAnsi="Times New Roman" w:eastAsia="方正仿宋_GBK"/>
          <w:sz w:val="32"/>
          <w:szCs w:val="32"/>
        </w:rPr>
        <w:t>家中高端民宿，</w:t>
      </w:r>
      <w:r>
        <w:rPr>
          <w:rFonts w:ascii="Times New Roman" w:hAnsi="Times New Roman" w:eastAsia="方正仿宋_GBK"/>
          <w:sz w:val="32"/>
          <w:szCs w:val="32"/>
        </w:rPr>
        <w:t>培育</w:t>
      </w:r>
      <w:r>
        <w:rPr>
          <w:rFonts w:hint="eastAsia" w:ascii="Times New Roman" w:hAnsi="Times New Roman" w:eastAsia="方正仿宋_GBK"/>
          <w:sz w:val="32"/>
          <w:szCs w:val="32"/>
        </w:rPr>
        <w:t>高</w:t>
      </w:r>
      <w:r>
        <w:rPr>
          <w:rFonts w:ascii="Times New Roman" w:hAnsi="Times New Roman" w:eastAsia="方正仿宋_GBK"/>
          <w:sz w:val="32"/>
          <w:szCs w:val="32"/>
        </w:rPr>
        <w:t>星级民宿。</w:t>
      </w:r>
      <w:r>
        <w:rPr>
          <w:rFonts w:hint="eastAsia" w:ascii="Times New Roman" w:hAnsi="Times New Roman" w:eastAsia="方正仿宋_GBK"/>
          <w:sz w:val="32"/>
          <w:szCs w:val="32"/>
        </w:rPr>
        <w:t>加快民宿集聚带环境、道路、停车、微型消防站等配套建设。结合特色田园乡村建设，引导以乡村休闲、运动休闲为主题的民宿品牌化、集群化发展，培育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老山美宿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浦口民宿品牌，支持打造长三角乡村民宿发展高地。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牵头单位</w:t>
      </w:r>
      <w:r>
        <w:rPr>
          <w:rFonts w:ascii="Times New Roman" w:hAnsi="Times New Roman" w:eastAsia="方正楷体_GBK"/>
          <w:sz w:val="32"/>
          <w:szCs w:val="32"/>
        </w:rPr>
        <w:t>：区</w:t>
      </w:r>
      <w:r>
        <w:rPr>
          <w:rFonts w:hint="eastAsia" w:ascii="Times New Roman" w:hAnsi="Times New Roman" w:eastAsia="方正楷体_GBK"/>
          <w:sz w:val="32"/>
          <w:szCs w:val="32"/>
        </w:rPr>
        <w:t>文旅局、农业农村局</w:t>
      </w:r>
      <w:r>
        <w:rPr>
          <w:rFonts w:ascii="Times New Roman" w:hAnsi="Times New Roman" w:eastAsia="方正楷体_GBK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.布局乡村产品集聚发展。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持续打造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浦口礼道</w:t>
      </w:r>
      <w:r>
        <w:rPr>
          <w:rFonts w:ascii="Times New Roman" w:hAnsi="Times New Roman" w:eastAsia="方正仿宋_GBK"/>
          <w:sz w:val="32"/>
          <w:szCs w:val="32"/>
        </w:rPr>
        <w:t>”“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浦口味道</w:t>
      </w:r>
      <w:r>
        <w:rPr>
          <w:rFonts w:ascii="Times New Roman" w:hAnsi="Times New Roman" w:eastAsia="方正仿宋_GBK"/>
          <w:sz w:val="32"/>
          <w:szCs w:val="32"/>
        </w:rPr>
        <w:t>”“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浦食浦味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农产品区域公用品牌，整合</w:t>
      </w:r>
      <w:r>
        <w:rPr>
          <w:rFonts w:ascii="Times New Roman" w:hAnsi="Times New Roman" w:eastAsia="方正仿宋_GBK"/>
          <w:color w:val="000000"/>
          <w:sz w:val="32"/>
          <w:szCs w:val="32"/>
        </w:rPr>
        <w:t>星甸牛肉、桥林茶干、后圩螃蟹、永宁青虾、老山蜂产品等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具有丰富地理标志的农产品及有传统饮食技艺类非物质文化遗产，推出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浦口菜系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。培育“特色名店”和“老字号”地方餐饮品牌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，支持引进特色餐饮、品牌餐饮企业。推进农家乐提档升级，</w:t>
      </w:r>
      <w:r>
        <w:rPr>
          <w:rFonts w:hint="eastAsia" w:ascii="Times New Roman" w:hAnsi="Times New Roman" w:eastAsia="方正仿宋_GBK"/>
          <w:sz w:val="32"/>
          <w:szCs w:val="32"/>
        </w:rPr>
        <w:t>依托乡村文化底蕴，设计举办特色乡村旅游节庆。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牵头单位</w:t>
      </w:r>
      <w:r>
        <w:rPr>
          <w:rFonts w:ascii="Times New Roman" w:hAnsi="Times New Roman" w:eastAsia="方正楷体_GBK"/>
          <w:sz w:val="32"/>
          <w:szCs w:val="32"/>
        </w:rPr>
        <w:t>：区</w:t>
      </w:r>
      <w:r>
        <w:rPr>
          <w:rFonts w:hint="eastAsia" w:ascii="Times New Roman" w:hAnsi="Times New Roman" w:eastAsia="方正楷体_GBK"/>
          <w:sz w:val="32"/>
          <w:szCs w:val="32"/>
        </w:rPr>
        <w:t>农业农村局、商务局</w:t>
      </w:r>
      <w:r>
        <w:rPr>
          <w:rFonts w:ascii="Times New Roman" w:hAnsi="Times New Roman" w:eastAsia="方正楷体_GBK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kern w:val="0"/>
          <w:sz w:val="32"/>
          <w:szCs w:val="32"/>
        </w:rPr>
        <w:t>展示“最花园”浦口，实施“要素活链”行动。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7.做强旅游度假区。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以珍珠泉创建国家级旅游度假区为抓手，</w:t>
      </w:r>
      <w:r>
        <w:rPr>
          <w:rFonts w:hint="eastAsia" w:ascii="Times New Roman" w:hAnsi="Times New Roman" w:eastAsia="方正仿宋_GBK"/>
          <w:sz w:val="32"/>
          <w:szCs w:val="32"/>
        </w:rPr>
        <w:t>发挥生态和人文资源优势，打造高品质、多类型的度假设施和旅游产品，形成珍珠泉山泉生活休闲度假产品体系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打造长三角</w:t>
      </w:r>
      <w:r>
        <w:rPr>
          <w:rFonts w:ascii="Times New Roman" w:hAnsi="Times New Roman" w:eastAsia="方正仿宋_GBK"/>
          <w:sz w:val="32"/>
          <w:szCs w:val="32"/>
        </w:rPr>
        <w:t>都市圈常态化休闲度假首选地</w:t>
      </w:r>
      <w:r>
        <w:rPr>
          <w:rFonts w:hint="eastAsia" w:ascii="Times New Roman" w:hAnsi="Times New Roman" w:eastAsia="方正仿宋_GBK"/>
          <w:sz w:val="32"/>
          <w:szCs w:val="32"/>
        </w:rPr>
        <w:t>。发展老山有氧运动小镇，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加强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健康养生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设施引进与培育，打造综合性康养旅游基地。</w:t>
      </w:r>
      <w:r>
        <w:rPr>
          <w:rFonts w:hint="eastAsia" w:ascii="Times New Roman" w:hAnsi="Times New Roman" w:eastAsia="方正仿宋_GBK"/>
          <w:sz w:val="32"/>
          <w:szCs w:val="32"/>
        </w:rPr>
        <w:t>聚焦温泉健康产业规模集群发展，推动汤泉旅游度假区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温泉+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特色产业发展，引进不少于3家国际品牌或国际水准的度假酒店。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加快汤泉度假区基础设施建设，以资源为依托，以开展多样节庆活动为载体，塑造汤泉特色旅游品牌。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牵头单位</w:t>
      </w:r>
      <w:r>
        <w:rPr>
          <w:rFonts w:ascii="Times New Roman" w:hAnsi="Times New Roman" w:eastAsia="方正楷体_GBK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sz w:val="32"/>
          <w:szCs w:val="32"/>
        </w:rPr>
        <w:t>珍珠泉度假区、汤泉度假区</w:t>
      </w:r>
      <w:r>
        <w:rPr>
          <w:rFonts w:ascii="Times New Roman" w:hAnsi="Times New Roman" w:eastAsia="方正楷体_GBK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8.做强浦口夜经济。</w:t>
      </w:r>
      <w:r>
        <w:rPr>
          <w:rFonts w:hint="eastAsia" w:ascii="Times New Roman" w:hAnsi="Times New Roman" w:eastAsia="方正仿宋_GBK"/>
          <w:sz w:val="32"/>
          <w:szCs w:val="32"/>
        </w:rPr>
        <w:t>推动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夜经济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特色化、集约化、规模化发展，支持开发珍珠泉夜游、老山夜游、长江夜游、街区夜游、公园夜游等，鼓励文博场馆优化夜间开放时间，完善夜间餐饮、购物及公共交通配套服务。支持打造白马邻里中心等商业综合体及</w:t>
      </w:r>
      <w:r>
        <w:rPr>
          <w:rFonts w:ascii="Times New Roman" w:hAnsi="Times New Roman" w:eastAsia="方正仿宋_GBK"/>
          <w:sz w:val="32"/>
          <w:szCs w:val="32"/>
        </w:rPr>
        <w:t>美食集聚地</w:t>
      </w:r>
      <w:r>
        <w:rPr>
          <w:rFonts w:hint="eastAsia" w:ascii="Times New Roman" w:hAnsi="Times New Roman" w:eastAsia="方正仿宋_GBK"/>
          <w:sz w:val="32"/>
          <w:szCs w:val="32"/>
        </w:rPr>
        <w:t>、夜市集聚区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打造“夜购”商圈，提质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夜食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街区，繁荣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夜娱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文化。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培育壮大旅游演艺消费市场，引进开发一批旅游演艺、特色实景演出项目，引入“夜景、夜娱、夜演、夜购、夜宴、夜宿”业态产品。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牵头单位</w:t>
      </w:r>
      <w:r>
        <w:rPr>
          <w:rFonts w:ascii="Times New Roman" w:hAnsi="Times New Roman" w:eastAsia="方正楷体_GBK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sz w:val="32"/>
          <w:szCs w:val="32"/>
        </w:rPr>
        <w:t>区商务局、文旅局</w:t>
      </w:r>
      <w:r>
        <w:rPr>
          <w:rFonts w:ascii="Times New Roman" w:hAnsi="Times New Roman" w:eastAsia="方正楷体_GBK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9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做强+旅游消费业态</w:t>
      </w:r>
      <w:r>
        <w:rPr>
          <w:rFonts w:hint="eastAsia" w:ascii="Times New Roman" w:hAnsi="Times New Roman" w:eastAsia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拓展文化旅游，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墨韵浦口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城市行旅项目为统领，</w:t>
      </w:r>
      <w:r>
        <w:rPr>
          <w:rFonts w:hint="eastAsia" w:ascii="Times New Roman" w:hAnsi="Times New Roman" w:eastAsia="方正仿宋_GBK"/>
          <w:color w:val="000000"/>
          <w:position w:val="-2"/>
          <w:sz w:val="32"/>
          <w:szCs w:val="32"/>
        </w:rPr>
        <w:t>提升</w:t>
      </w:r>
      <w:r>
        <w:rPr>
          <w:rFonts w:ascii="Times New Roman" w:hAnsi="Times New Roman" w:eastAsia="方正仿宋_GBK"/>
          <w:color w:val="000000"/>
          <w:position w:val="-2"/>
          <w:sz w:val="32"/>
          <w:szCs w:val="32"/>
        </w:rPr>
        <w:t>求雨山、草圣书乡旅游景区</w:t>
      </w:r>
      <w:r>
        <w:rPr>
          <w:rFonts w:hint="eastAsia" w:ascii="Times New Roman" w:hAnsi="Times New Roman" w:eastAsia="方正仿宋_GBK"/>
          <w:color w:val="000000"/>
          <w:position w:val="-2"/>
          <w:sz w:val="32"/>
          <w:szCs w:val="32"/>
        </w:rPr>
        <w:t>功能</w:t>
      </w:r>
      <w:r>
        <w:rPr>
          <w:rFonts w:ascii="Times New Roman" w:hAnsi="Times New Roman" w:eastAsia="方正仿宋_GBK"/>
          <w:color w:val="000000"/>
          <w:position w:val="-2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打造书法文化精品旅游线路。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拓展研学旅游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，打造研学旅游基地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，开辟主题化研学旅游线路。拓展情感旅游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设计婚恋浪漫、艺术摄影等旅游产品。依托狮子岭小镇等资源，打造禅修旅游产品。拓展探奇旅游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布局自驾车旅游线路，推广徒步、登山、骑游、低空飞行等深度体验游。</w:t>
      </w:r>
      <w:bookmarkStart w:id="2" w:name="_Hlk50995263"/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</w:t>
      </w:r>
      <w:r>
        <w:rPr>
          <w:rFonts w:ascii="Times New Roman" w:hAnsi="Times New Roman" w:eastAsia="方正楷体_GBK"/>
          <w:sz w:val="32"/>
          <w:szCs w:val="32"/>
        </w:rPr>
        <w:t>单位：</w:t>
      </w:r>
      <w:r>
        <w:rPr>
          <w:rFonts w:hint="eastAsia" w:ascii="Times New Roman" w:hAnsi="Times New Roman" w:eastAsia="方正楷体_GBK"/>
          <w:sz w:val="32"/>
          <w:szCs w:val="32"/>
        </w:rPr>
        <w:t>区委</w:t>
      </w:r>
      <w:r>
        <w:rPr>
          <w:rFonts w:ascii="Times New Roman" w:hAnsi="Times New Roman" w:eastAsia="方正楷体_GBK"/>
          <w:sz w:val="32"/>
          <w:szCs w:val="32"/>
        </w:rPr>
        <w:t>宣传部、区文旅局、</w:t>
      </w:r>
      <w:r>
        <w:rPr>
          <w:rFonts w:hint="eastAsia" w:ascii="Times New Roman" w:hAnsi="Times New Roman" w:eastAsia="方正楷体_GBK"/>
          <w:sz w:val="32"/>
          <w:szCs w:val="32"/>
        </w:rPr>
        <w:t>教育局、珍珠泉</w:t>
      </w:r>
      <w:r>
        <w:rPr>
          <w:rFonts w:ascii="Times New Roman" w:hAnsi="Times New Roman" w:eastAsia="方正楷体_GBK"/>
          <w:sz w:val="32"/>
          <w:szCs w:val="32"/>
        </w:rPr>
        <w:t>度假区）</w:t>
      </w:r>
    </w:p>
    <w:bookmarkEnd w:id="2"/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10.做强微度假市场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深耕南京一级市场，发展宁滁都市圈二级市场，拓展长三角及周边主要城市三级市场。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打造</w:t>
      </w:r>
      <w:r>
        <w:rPr>
          <w:rFonts w:ascii="Times New Roman" w:hAnsi="Times New Roman" w:eastAsia="方正仿宋_GBK"/>
          <w:color w:val="000000"/>
          <w:sz w:val="32"/>
          <w:szCs w:val="32"/>
        </w:rPr>
        <w:t>老山国际文化旅游节、“</w:t>
      </w:r>
      <w:r>
        <w:rPr>
          <w:rFonts w:ascii="Times New Roman" w:hAnsi="Times New Roman" w:eastAsia="方正仿宋_GBK"/>
          <w:sz w:val="32"/>
          <w:szCs w:val="32"/>
        </w:rPr>
        <w:t>三赛一节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体育赛事、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书写艺术季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”等节庆。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完善智慧旅游平台功能，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打造“靠浦味道”必吃、“返浦归真”必住、“浦速之路”必体验、“浦实有华”必玩、“浦口礼道”必买、“浦天同庆”必享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、“浦邑名家”必观</w:t>
      </w:r>
      <w:r>
        <w:rPr>
          <w:rFonts w:ascii="Times New Roman" w:hAnsi="Times New Roman" w:eastAsia="方正仿宋_GBK"/>
          <w:color w:val="000000"/>
          <w:sz w:val="32"/>
          <w:szCs w:val="32"/>
        </w:rPr>
        <w:t>等品牌。开展讲解员大赛、美食大赛、民宿大赛及旅游从业人员技能大赛。</w:t>
      </w: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牵头</w:t>
      </w:r>
      <w:r>
        <w:rPr>
          <w:rFonts w:ascii="Times New Roman" w:hAnsi="Times New Roman" w:eastAsia="方正楷体_GBK"/>
          <w:sz w:val="32"/>
          <w:szCs w:val="32"/>
        </w:rPr>
        <w:t>单位：</w:t>
      </w:r>
      <w:r>
        <w:rPr>
          <w:rFonts w:hint="eastAsia" w:ascii="Times New Roman" w:hAnsi="Times New Roman" w:eastAsia="方正楷体_GBK"/>
          <w:sz w:val="32"/>
          <w:szCs w:val="32"/>
        </w:rPr>
        <w:t>区委</w:t>
      </w:r>
      <w:r>
        <w:rPr>
          <w:rFonts w:ascii="Times New Roman" w:hAnsi="Times New Roman" w:eastAsia="方正楷体_GBK"/>
          <w:sz w:val="32"/>
          <w:szCs w:val="32"/>
        </w:rPr>
        <w:t>宣传部</w:t>
      </w:r>
      <w:r>
        <w:rPr>
          <w:rFonts w:hint="eastAsia" w:ascii="Times New Roman" w:hAnsi="Times New Roman" w:eastAsia="方正楷体_GBK"/>
          <w:sz w:val="32"/>
          <w:szCs w:val="32"/>
        </w:rPr>
        <w:t>、</w:t>
      </w:r>
      <w:r>
        <w:rPr>
          <w:rFonts w:ascii="Times New Roman" w:hAnsi="Times New Roman" w:eastAsia="方正楷体_GBK"/>
          <w:sz w:val="32"/>
          <w:szCs w:val="32"/>
        </w:rPr>
        <w:t>区文旅局）</w:t>
      </w:r>
    </w:p>
    <w:p>
      <w:pPr>
        <w:widowControl/>
        <w:autoSpaceDN w:val="0"/>
        <w:spacing w:line="560" w:lineRule="exact"/>
        <w:ind w:firstLine="64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四、保障措施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1.强化政策扶持。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把扶持政策贯穿文旅健康产业链，建立健全政策支撑体系，细分文旅健康产业链支链，突出综合施策、精准发力，打好政策组合拳。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2.强化调度督导。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建立链长或副链长每月调度及不定期、分层次的专项会商机制，细化分工、落实责任、定期通报工作进展。</w:t>
      </w:r>
    </w:p>
    <w:p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3.强化宣传引导。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强化舆论氛围营造，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创新宣传形式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丰富宣传内容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拓宽宣传阵地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，把文旅健康产业链成效宣传好、引导好。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pacing w:val="-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</w:t>
      </w:r>
      <w:r>
        <w:rPr>
          <w:rFonts w:hint="eastAsia" w:ascii="Times New Roman" w:hAnsi="Times New Roman" w:eastAsia="方正仿宋_GBK"/>
          <w:spacing w:val="-2"/>
          <w:sz w:val="32"/>
          <w:szCs w:val="32"/>
        </w:rPr>
        <w:t>文旅健康</w:t>
      </w:r>
      <w:r>
        <w:rPr>
          <w:rFonts w:ascii="Times New Roman" w:hAnsi="Times New Roman" w:eastAsia="方正仿宋_GBK"/>
          <w:spacing w:val="-2"/>
          <w:sz w:val="32"/>
          <w:szCs w:val="32"/>
        </w:rPr>
        <w:t>产业链工作推进专班组成人员及职责</w:t>
      </w:r>
    </w:p>
    <w:p>
      <w:pPr>
        <w:spacing w:line="560" w:lineRule="exact"/>
        <w:ind w:firstLine="1580" w:firstLineChars="500"/>
        <w:rPr>
          <w:rFonts w:ascii="Times New Roman" w:hAnsi="Times New Roman" w:eastAsia="方正仿宋_GBK"/>
          <w:spacing w:val="-2"/>
          <w:sz w:val="32"/>
          <w:szCs w:val="32"/>
        </w:rPr>
      </w:pPr>
      <w:r>
        <w:rPr>
          <w:rFonts w:hint="eastAsia" w:ascii="Times New Roman" w:hAnsi="Times New Roman" w:eastAsia="方正仿宋_GBK"/>
          <w:spacing w:val="-2"/>
          <w:sz w:val="32"/>
          <w:szCs w:val="32"/>
        </w:rPr>
        <w:t>2</w:t>
      </w:r>
      <w:r>
        <w:rPr>
          <w:rFonts w:ascii="Times New Roman" w:hAnsi="Times New Roman" w:eastAsia="方正仿宋_GBK"/>
          <w:spacing w:val="-2"/>
          <w:sz w:val="32"/>
          <w:szCs w:val="32"/>
        </w:rPr>
        <w:t>.</w:t>
      </w:r>
      <w:r>
        <w:rPr>
          <w:rFonts w:hint="eastAsia" w:ascii="Times New Roman" w:hAnsi="Times New Roman" w:eastAsia="方正仿宋_GBK"/>
          <w:spacing w:val="-2"/>
          <w:sz w:val="32"/>
          <w:szCs w:val="32"/>
        </w:rPr>
        <w:t>文旅健康产业链工作任务分工安排</w:t>
      </w:r>
    </w:p>
    <w:p>
      <w:pPr>
        <w:spacing w:line="560" w:lineRule="exact"/>
        <w:ind w:firstLine="632" w:firstLineChars="200"/>
        <w:rPr>
          <w:rFonts w:ascii="Times New Roman" w:hAnsi="Times New Roman" w:eastAsia="方正仿宋_GBK"/>
          <w:spacing w:val="-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文旅健康</w:t>
      </w:r>
      <w:r>
        <w:rPr>
          <w:rFonts w:ascii="Times New Roman" w:hAnsi="Times New Roman" w:eastAsia="方正小标宋_GBK"/>
          <w:sz w:val="44"/>
          <w:szCs w:val="44"/>
        </w:rPr>
        <w:t>产业链工作推进专班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组成人员及职责</w:t>
      </w:r>
    </w:p>
    <w:p>
      <w:pPr>
        <w:snapToGrid w:val="0"/>
        <w:spacing w:line="48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链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楷体_GBK"/>
          <w:sz w:val="32"/>
          <w:szCs w:val="32"/>
        </w:rPr>
        <w:t>长：</w:t>
      </w:r>
      <w:r>
        <w:rPr>
          <w:rFonts w:hint="eastAsia" w:ascii="Times New Roman" w:hAnsi="Times New Roman" w:eastAsia="方正仿宋_GBK"/>
          <w:sz w:val="32"/>
          <w:szCs w:val="32"/>
        </w:rPr>
        <w:t>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区委常委、常务副区长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副链长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吴光政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区政府二级巡视员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成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楷体_GBK"/>
          <w:sz w:val="32"/>
          <w:szCs w:val="32"/>
        </w:rPr>
        <w:t>员：</w:t>
      </w:r>
      <w:r>
        <w:rPr>
          <w:rFonts w:hint="eastAsia" w:ascii="Times New Roman" w:hAnsi="Times New Roman" w:eastAsia="方正仿宋_GBK"/>
          <w:sz w:val="32"/>
          <w:szCs w:val="32"/>
        </w:rPr>
        <w:t>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区文旅局局长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高</w:t>
      </w:r>
      <w:r>
        <w:rPr>
          <w:rFonts w:ascii="Times New Roman" w:hAnsi="Times New Roman" w:eastAsia="方正仿宋_GBK"/>
          <w:sz w:val="32"/>
          <w:szCs w:val="32"/>
        </w:rPr>
        <w:t>金明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区政府办副主任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王丽媛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区发改委</w:t>
      </w:r>
      <w:r>
        <w:rPr>
          <w:rFonts w:hint="eastAsia" w:ascii="Times New Roman" w:hAnsi="Times New Roman" w:eastAsia="方正仿宋_GBK"/>
          <w:sz w:val="32"/>
          <w:szCs w:val="32"/>
        </w:rPr>
        <w:t>副</w:t>
      </w:r>
      <w:r>
        <w:rPr>
          <w:rFonts w:ascii="Times New Roman" w:hAnsi="Times New Roman" w:eastAsia="方正仿宋_GBK"/>
          <w:sz w:val="32"/>
          <w:szCs w:val="32"/>
        </w:rPr>
        <w:t>主任</w:t>
      </w:r>
      <w:r>
        <w:rPr>
          <w:rFonts w:hint="eastAsia" w:ascii="Times New Roman" w:hAnsi="Times New Roman" w:eastAsia="方正仿宋_GBK"/>
          <w:sz w:val="32"/>
          <w:szCs w:val="32"/>
        </w:rPr>
        <w:t>（正处）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刘咏梅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区文明办副主任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璐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区财政局</w:t>
      </w:r>
      <w:r>
        <w:rPr>
          <w:rFonts w:hint="eastAsia" w:ascii="Times New Roman" w:hAnsi="Times New Roman" w:eastAsia="方正仿宋_GBK"/>
          <w:sz w:val="32"/>
          <w:szCs w:val="32"/>
        </w:rPr>
        <w:t>副</w:t>
      </w:r>
      <w:r>
        <w:rPr>
          <w:rFonts w:ascii="Times New Roman" w:hAnsi="Times New Roman" w:eastAsia="方正仿宋_GBK"/>
          <w:sz w:val="32"/>
          <w:szCs w:val="32"/>
        </w:rPr>
        <w:t>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侯利旺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区文旅局副局长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区交通局</w:t>
      </w:r>
      <w:r>
        <w:rPr>
          <w:rFonts w:hint="eastAsia" w:ascii="Times New Roman" w:hAnsi="Times New Roman" w:eastAsia="方正仿宋_GBK"/>
          <w:sz w:val="32"/>
          <w:szCs w:val="32"/>
        </w:rPr>
        <w:t>副</w:t>
      </w:r>
      <w:r>
        <w:rPr>
          <w:rFonts w:ascii="Times New Roman" w:hAnsi="Times New Roman" w:eastAsia="方正仿宋_GBK"/>
          <w:sz w:val="32"/>
          <w:szCs w:val="32"/>
        </w:rPr>
        <w:t>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区规划资源</w:t>
      </w:r>
      <w:r>
        <w:rPr>
          <w:rFonts w:ascii="Times New Roman" w:hAnsi="Times New Roman" w:eastAsia="方正仿宋_GBK"/>
          <w:sz w:val="32"/>
          <w:szCs w:val="32"/>
        </w:rPr>
        <w:t>分局</w:t>
      </w:r>
      <w:r>
        <w:rPr>
          <w:rFonts w:hint="eastAsia" w:ascii="Times New Roman" w:hAnsi="Times New Roman" w:eastAsia="方正仿宋_GBK"/>
          <w:sz w:val="32"/>
          <w:szCs w:val="32"/>
        </w:rPr>
        <w:t>副</w:t>
      </w:r>
      <w:r>
        <w:rPr>
          <w:rFonts w:ascii="Times New Roman" w:hAnsi="Times New Roman" w:eastAsia="方正仿宋_GBK"/>
          <w:sz w:val="32"/>
          <w:szCs w:val="32"/>
        </w:rPr>
        <w:t>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叶兆志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区农业农村局副局长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张海峰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区商务局</w:t>
      </w:r>
      <w:r>
        <w:rPr>
          <w:rFonts w:hint="eastAsia" w:ascii="Times New Roman" w:hAnsi="Times New Roman" w:eastAsia="方正仿宋_GBK"/>
          <w:sz w:val="32"/>
          <w:szCs w:val="32"/>
        </w:rPr>
        <w:t>副</w:t>
      </w:r>
      <w:r>
        <w:rPr>
          <w:rFonts w:ascii="Times New Roman" w:hAnsi="Times New Roman" w:eastAsia="方正仿宋_GBK"/>
          <w:sz w:val="32"/>
          <w:szCs w:val="32"/>
        </w:rPr>
        <w:t>局长</w:t>
      </w:r>
      <w:r>
        <w:rPr>
          <w:rFonts w:hint="eastAsia" w:ascii="Times New Roman" w:hAnsi="Times New Roman" w:eastAsia="方正仿宋_GBK"/>
          <w:sz w:val="32"/>
          <w:szCs w:val="32"/>
        </w:rPr>
        <w:t>（挂职）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炜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区民政局副局长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陈绍翊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区卫健委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副主任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李明望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珍珠泉度假区管办旅游发展部副部长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曹晓峰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汤泉街道党工委委员、办事处副主任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蒋朝贵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文旅集团</w:t>
      </w:r>
      <w:r>
        <w:rPr>
          <w:rFonts w:hint="eastAsia" w:ascii="Times New Roman" w:hAnsi="Times New Roman" w:eastAsia="方正仿宋_GBK"/>
          <w:sz w:val="32"/>
          <w:szCs w:val="32"/>
        </w:rPr>
        <w:t>副</w:t>
      </w:r>
      <w:r>
        <w:rPr>
          <w:rFonts w:ascii="Times New Roman" w:hAnsi="Times New Roman" w:eastAsia="方正仿宋_GBK"/>
          <w:sz w:val="32"/>
          <w:szCs w:val="32"/>
        </w:rPr>
        <w:t>总经理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2098" w:right="1588" w:bottom="1701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>工作推进专班下设办公室，办公室设在区文旅局，承担日常事务。区文旅局局长程媛任专班负责人。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文旅健康产业链工作任务分工安排</w:t>
      </w:r>
    </w:p>
    <w:tbl>
      <w:tblPr>
        <w:tblStyle w:val="6"/>
        <w:tblpPr w:leftFromText="180" w:rightFromText="180" w:vertAnchor="text" w:horzAnchor="margin" w:tblpY="449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895"/>
        <w:gridCol w:w="2097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工作任务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具体内容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牵头单位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配合单位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组建专班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组建文旅健康产业链专班，明确工作任务及完成时间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文旅健康产业链相关成员单位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2020年11月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现状梳理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梳理全区文旅健康产业现状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宣传部、卫健委、民政局，各街道、平台、度假区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规划图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完成十四五文旅规划、全域旅游发展规划及专项规划编制，推动老山控详落地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规划资源分局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政策库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梳理文旅健康产业相关政策，修订完善文化和旅游产业资金管理办法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区委宣传部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区文旅局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区财政局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文旅健康产业链相关成员单位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项目库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完成2021年文旅健康产业链重点项目编制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区发改委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区建设局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咨询机制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组建文旅健康产业链专家智库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文旅健康产业链相关成员单位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精准招商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制定文旅健康产业链精准招商方案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区商务局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发改委、宣传部、文旅局，各街道、平台、度假区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2021年1月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关键链条布局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结合十四五规划编制，布局全区度假酒店、民宿、餐饮、商业综合体等业态；布局乡村旅游发展业态。根据业态布局做好招商工作。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区商务局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区农业农村局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文旅局、发改委，各街道、平台、度假区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金融支持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推动各金融机构为文旅健康产业链提供精准支持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区金融监管局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人才引进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制定文旅人才引进办法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区委组织部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市场监管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制定文旅市场监管工作方案，营造良好营商环境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区文旅局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政法委、公安分局、应急管理局，各街道、平台、度假区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营销举措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制定全区营销推广计划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区文旅局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区委宣传部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文旅商品开发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开展浦口礼道评选，打造文化旅游及农业产品品牌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区委宣传部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区文旅局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区农业农村局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各街道、平台、度假区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市场化运作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推进文旅集团市场化运作，发挥主导作用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区国资办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文旅集团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文旅局等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统计分析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文旅健康产值统计分析研判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区统计局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宣传部、文旅局等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021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年2月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  <w:sectPr>
          <w:pgSz w:w="16838" w:h="11906" w:orient="landscape"/>
          <w:pgMar w:top="1588" w:right="1701" w:bottom="1588" w:left="209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contextualSpacing/>
        <w:jc w:val="center"/>
        <w:rPr>
          <w:rFonts w:ascii="Times New Roman" w:hAnsi="Times New Roman" w:eastAsia="方正仿宋_GBK" w:cs="仿宋_GB2312"/>
          <w:sz w:val="32"/>
          <w:szCs w:val="21"/>
        </w:rPr>
      </w:pPr>
    </w:p>
    <w:p>
      <w:pPr>
        <w:spacing w:line="560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margin" w:tblpY="8415"/>
        <w:tblW w:w="9360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3523"/>
        <w:gridCol w:w="484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993" w:type="dxa"/>
            <w:tcBorders>
              <w:top w:val="single" w:color="000000" w:sz="12" w:space="0"/>
              <w:left w:val="nil"/>
              <w:bottom w:val="nil"/>
              <w:right w:val="nil"/>
            </w:tcBorders>
          </w:tcPr>
          <w:p>
            <w:pPr>
              <w:spacing w:line="340" w:lineRule="exact"/>
              <w:ind w:firstLine="140" w:firstLineChars="5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抄送：</w:t>
            </w:r>
          </w:p>
        </w:tc>
        <w:tc>
          <w:tcPr>
            <w:tcW w:w="8367" w:type="dxa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区委各部门，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区人大常委会办公室，区政协办公室，区监委，区法院，区检察院，区人武部。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4516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spacing w:line="340" w:lineRule="exact"/>
              <w:ind w:firstLine="140" w:firstLineChars="5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南京市浦口区人民政府办公室</w:t>
            </w:r>
          </w:p>
        </w:tc>
        <w:tc>
          <w:tcPr>
            <w:tcW w:w="4844" w:type="dxa"/>
            <w:tcBorders>
              <w:top w:val="single" w:color="auto" w:sz="4" w:space="0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21年1月日印发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2098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0F17"/>
    <w:rsid w:val="00013598"/>
    <w:rsid w:val="00014F74"/>
    <w:rsid w:val="00021D88"/>
    <w:rsid w:val="00025118"/>
    <w:rsid w:val="000412D3"/>
    <w:rsid w:val="000442D7"/>
    <w:rsid w:val="00055765"/>
    <w:rsid w:val="0006102B"/>
    <w:rsid w:val="00064F78"/>
    <w:rsid w:val="00066887"/>
    <w:rsid w:val="00070F01"/>
    <w:rsid w:val="000740C8"/>
    <w:rsid w:val="00083FCF"/>
    <w:rsid w:val="00087225"/>
    <w:rsid w:val="000904D2"/>
    <w:rsid w:val="00093C07"/>
    <w:rsid w:val="000A5D21"/>
    <w:rsid w:val="000B1A2A"/>
    <w:rsid w:val="000B76B4"/>
    <w:rsid w:val="000D32AB"/>
    <w:rsid w:val="000E06C6"/>
    <w:rsid w:val="000E0A2B"/>
    <w:rsid w:val="000E1308"/>
    <w:rsid w:val="000F245A"/>
    <w:rsid w:val="000F5957"/>
    <w:rsid w:val="000F79CD"/>
    <w:rsid w:val="00116DAD"/>
    <w:rsid w:val="00122531"/>
    <w:rsid w:val="0012619E"/>
    <w:rsid w:val="0013521C"/>
    <w:rsid w:val="0015339C"/>
    <w:rsid w:val="0015359D"/>
    <w:rsid w:val="001568D2"/>
    <w:rsid w:val="00162F08"/>
    <w:rsid w:val="00170C46"/>
    <w:rsid w:val="0017213C"/>
    <w:rsid w:val="001879CD"/>
    <w:rsid w:val="00194B15"/>
    <w:rsid w:val="001A27E0"/>
    <w:rsid w:val="001C598D"/>
    <w:rsid w:val="001D103B"/>
    <w:rsid w:val="001D282D"/>
    <w:rsid w:val="001E1848"/>
    <w:rsid w:val="001E1E01"/>
    <w:rsid w:val="001F0233"/>
    <w:rsid w:val="001F0A19"/>
    <w:rsid w:val="001F64C1"/>
    <w:rsid w:val="00205FFB"/>
    <w:rsid w:val="00214C93"/>
    <w:rsid w:val="0022106F"/>
    <w:rsid w:val="00226C9D"/>
    <w:rsid w:val="002333C2"/>
    <w:rsid w:val="00266611"/>
    <w:rsid w:val="00276F8E"/>
    <w:rsid w:val="0028334A"/>
    <w:rsid w:val="0029404E"/>
    <w:rsid w:val="00294DF1"/>
    <w:rsid w:val="00296F03"/>
    <w:rsid w:val="002A1E5F"/>
    <w:rsid w:val="002B02D1"/>
    <w:rsid w:val="002D10AF"/>
    <w:rsid w:val="002D642E"/>
    <w:rsid w:val="002D7043"/>
    <w:rsid w:val="002E03BD"/>
    <w:rsid w:val="002E0C01"/>
    <w:rsid w:val="002E0D71"/>
    <w:rsid w:val="002E7BB3"/>
    <w:rsid w:val="002F51B8"/>
    <w:rsid w:val="002F78A8"/>
    <w:rsid w:val="002F7918"/>
    <w:rsid w:val="00301F74"/>
    <w:rsid w:val="00306915"/>
    <w:rsid w:val="00313F25"/>
    <w:rsid w:val="00315A9B"/>
    <w:rsid w:val="00316940"/>
    <w:rsid w:val="0032227E"/>
    <w:rsid w:val="003235AA"/>
    <w:rsid w:val="0033418C"/>
    <w:rsid w:val="00336086"/>
    <w:rsid w:val="00337A06"/>
    <w:rsid w:val="00340B31"/>
    <w:rsid w:val="00345321"/>
    <w:rsid w:val="0034799C"/>
    <w:rsid w:val="00353051"/>
    <w:rsid w:val="00364AC1"/>
    <w:rsid w:val="003652AE"/>
    <w:rsid w:val="003727CA"/>
    <w:rsid w:val="00373EB4"/>
    <w:rsid w:val="00373F21"/>
    <w:rsid w:val="00381958"/>
    <w:rsid w:val="00393DB8"/>
    <w:rsid w:val="00397A10"/>
    <w:rsid w:val="003A607C"/>
    <w:rsid w:val="003A6B20"/>
    <w:rsid w:val="003C343C"/>
    <w:rsid w:val="003D0621"/>
    <w:rsid w:val="003D658C"/>
    <w:rsid w:val="003E38CB"/>
    <w:rsid w:val="003E52F9"/>
    <w:rsid w:val="003E758A"/>
    <w:rsid w:val="004040DC"/>
    <w:rsid w:val="00412500"/>
    <w:rsid w:val="00415A85"/>
    <w:rsid w:val="004166EE"/>
    <w:rsid w:val="00417952"/>
    <w:rsid w:val="00427104"/>
    <w:rsid w:val="004348C4"/>
    <w:rsid w:val="0044514A"/>
    <w:rsid w:val="00450716"/>
    <w:rsid w:val="00481504"/>
    <w:rsid w:val="004819CE"/>
    <w:rsid w:val="00485E57"/>
    <w:rsid w:val="00495B4D"/>
    <w:rsid w:val="004A19A8"/>
    <w:rsid w:val="004A6EFE"/>
    <w:rsid w:val="004C1FE0"/>
    <w:rsid w:val="004D3465"/>
    <w:rsid w:val="004D3A3D"/>
    <w:rsid w:val="004F5958"/>
    <w:rsid w:val="004F76D5"/>
    <w:rsid w:val="00502CFE"/>
    <w:rsid w:val="00516BBC"/>
    <w:rsid w:val="0053139B"/>
    <w:rsid w:val="005347A3"/>
    <w:rsid w:val="00535E91"/>
    <w:rsid w:val="00537A96"/>
    <w:rsid w:val="005451BA"/>
    <w:rsid w:val="0054795F"/>
    <w:rsid w:val="005601BB"/>
    <w:rsid w:val="00560983"/>
    <w:rsid w:val="00575193"/>
    <w:rsid w:val="00577E61"/>
    <w:rsid w:val="00582400"/>
    <w:rsid w:val="005A003A"/>
    <w:rsid w:val="005A06A9"/>
    <w:rsid w:val="005A451F"/>
    <w:rsid w:val="005B3DB4"/>
    <w:rsid w:val="005B7142"/>
    <w:rsid w:val="005C0EA6"/>
    <w:rsid w:val="005C5EA4"/>
    <w:rsid w:val="005C6F92"/>
    <w:rsid w:val="005D2CBC"/>
    <w:rsid w:val="005D60FE"/>
    <w:rsid w:val="005E0296"/>
    <w:rsid w:val="005E5267"/>
    <w:rsid w:val="005F11F2"/>
    <w:rsid w:val="005F7877"/>
    <w:rsid w:val="00601E62"/>
    <w:rsid w:val="0062094D"/>
    <w:rsid w:val="00621340"/>
    <w:rsid w:val="006227D7"/>
    <w:rsid w:val="00630426"/>
    <w:rsid w:val="00630AC6"/>
    <w:rsid w:val="00635D56"/>
    <w:rsid w:val="00641A8F"/>
    <w:rsid w:val="00644C23"/>
    <w:rsid w:val="00651BB2"/>
    <w:rsid w:val="00654345"/>
    <w:rsid w:val="00654C77"/>
    <w:rsid w:val="006A0207"/>
    <w:rsid w:val="006A71F4"/>
    <w:rsid w:val="006A7815"/>
    <w:rsid w:val="006B0FFB"/>
    <w:rsid w:val="006E07C0"/>
    <w:rsid w:val="006E56A7"/>
    <w:rsid w:val="00701C5F"/>
    <w:rsid w:val="00703CA4"/>
    <w:rsid w:val="00705B8E"/>
    <w:rsid w:val="007161B9"/>
    <w:rsid w:val="0073338F"/>
    <w:rsid w:val="0073460C"/>
    <w:rsid w:val="00740F17"/>
    <w:rsid w:val="00754B58"/>
    <w:rsid w:val="00757E8D"/>
    <w:rsid w:val="00760455"/>
    <w:rsid w:val="00762880"/>
    <w:rsid w:val="007640A8"/>
    <w:rsid w:val="007647DA"/>
    <w:rsid w:val="00767180"/>
    <w:rsid w:val="00784CBF"/>
    <w:rsid w:val="00790E36"/>
    <w:rsid w:val="00796DB2"/>
    <w:rsid w:val="007A2EBE"/>
    <w:rsid w:val="007B0160"/>
    <w:rsid w:val="007B399D"/>
    <w:rsid w:val="007B69C3"/>
    <w:rsid w:val="007B6A8A"/>
    <w:rsid w:val="007C00B3"/>
    <w:rsid w:val="007C1D99"/>
    <w:rsid w:val="007D0BAE"/>
    <w:rsid w:val="007D1BA2"/>
    <w:rsid w:val="007D458A"/>
    <w:rsid w:val="007D7437"/>
    <w:rsid w:val="007E7274"/>
    <w:rsid w:val="007E7BE6"/>
    <w:rsid w:val="00801AF0"/>
    <w:rsid w:val="008065E4"/>
    <w:rsid w:val="00807502"/>
    <w:rsid w:val="0082114B"/>
    <w:rsid w:val="00830343"/>
    <w:rsid w:val="0083748A"/>
    <w:rsid w:val="00870FCF"/>
    <w:rsid w:val="008729D1"/>
    <w:rsid w:val="00884720"/>
    <w:rsid w:val="00894968"/>
    <w:rsid w:val="008A468F"/>
    <w:rsid w:val="008B3C80"/>
    <w:rsid w:val="008C62BD"/>
    <w:rsid w:val="0090431A"/>
    <w:rsid w:val="009417FC"/>
    <w:rsid w:val="00967D0D"/>
    <w:rsid w:val="00972F26"/>
    <w:rsid w:val="00987278"/>
    <w:rsid w:val="009B011A"/>
    <w:rsid w:val="009B6AD3"/>
    <w:rsid w:val="009C345D"/>
    <w:rsid w:val="009C6DF2"/>
    <w:rsid w:val="009E0CF3"/>
    <w:rsid w:val="009E41BD"/>
    <w:rsid w:val="009E42A9"/>
    <w:rsid w:val="009F0A38"/>
    <w:rsid w:val="009F102C"/>
    <w:rsid w:val="009F29E3"/>
    <w:rsid w:val="009F2BF3"/>
    <w:rsid w:val="009F414D"/>
    <w:rsid w:val="00A1466A"/>
    <w:rsid w:val="00A170CD"/>
    <w:rsid w:val="00A25A9D"/>
    <w:rsid w:val="00A26595"/>
    <w:rsid w:val="00A37BC2"/>
    <w:rsid w:val="00A47BAE"/>
    <w:rsid w:val="00A52D67"/>
    <w:rsid w:val="00A53D6F"/>
    <w:rsid w:val="00A54B79"/>
    <w:rsid w:val="00A65946"/>
    <w:rsid w:val="00A8107D"/>
    <w:rsid w:val="00A940B5"/>
    <w:rsid w:val="00A943E6"/>
    <w:rsid w:val="00A96E1E"/>
    <w:rsid w:val="00AA0877"/>
    <w:rsid w:val="00AB4C4B"/>
    <w:rsid w:val="00AC129B"/>
    <w:rsid w:val="00AC3633"/>
    <w:rsid w:val="00AD5AEE"/>
    <w:rsid w:val="00AE294B"/>
    <w:rsid w:val="00AE4A7D"/>
    <w:rsid w:val="00AF7B48"/>
    <w:rsid w:val="00B00750"/>
    <w:rsid w:val="00B05426"/>
    <w:rsid w:val="00B43FA0"/>
    <w:rsid w:val="00B50EA6"/>
    <w:rsid w:val="00B52301"/>
    <w:rsid w:val="00B740D9"/>
    <w:rsid w:val="00BA3B4F"/>
    <w:rsid w:val="00BB1A53"/>
    <w:rsid w:val="00BB1EB9"/>
    <w:rsid w:val="00BB4791"/>
    <w:rsid w:val="00BB4CC6"/>
    <w:rsid w:val="00BC0ADC"/>
    <w:rsid w:val="00BC61EC"/>
    <w:rsid w:val="00BE1083"/>
    <w:rsid w:val="00BF2109"/>
    <w:rsid w:val="00BF59F5"/>
    <w:rsid w:val="00C05792"/>
    <w:rsid w:val="00C06441"/>
    <w:rsid w:val="00C1323E"/>
    <w:rsid w:val="00C44912"/>
    <w:rsid w:val="00C4678A"/>
    <w:rsid w:val="00C479A6"/>
    <w:rsid w:val="00C54718"/>
    <w:rsid w:val="00C60FF0"/>
    <w:rsid w:val="00C62051"/>
    <w:rsid w:val="00C65451"/>
    <w:rsid w:val="00C662E9"/>
    <w:rsid w:val="00C7436C"/>
    <w:rsid w:val="00C75067"/>
    <w:rsid w:val="00C77B3F"/>
    <w:rsid w:val="00C87BAE"/>
    <w:rsid w:val="00C9503C"/>
    <w:rsid w:val="00CA244F"/>
    <w:rsid w:val="00CA48EA"/>
    <w:rsid w:val="00CB51E1"/>
    <w:rsid w:val="00CC2A27"/>
    <w:rsid w:val="00CC56F9"/>
    <w:rsid w:val="00CC7584"/>
    <w:rsid w:val="00CD4B89"/>
    <w:rsid w:val="00CD66AC"/>
    <w:rsid w:val="00CE48B8"/>
    <w:rsid w:val="00D05A98"/>
    <w:rsid w:val="00D14E21"/>
    <w:rsid w:val="00D20896"/>
    <w:rsid w:val="00D24395"/>
    <w:rsid w:val="00D31C8C"/>
    <w:rsid w:val="00D3395D"/>
    <w:rsid w:val="00D4048E"/>
    <w:rsid w:val="00D52E21"/>
    <w:rsid w:val="00D54193"/>
    <w:rsid w:val="00D56BFE"/>
    <w:rsid w:val="00D614B1"/>
    <w:rsid w:val="00D82FC7"/>
    <w:rsid w:val="00D85FBF"/>
    <w:rsid w:val="00D97D44"/>
    <w:rsid w:val="00DA2726"/>
    <w:rsid w:val="00DA677B"/>
    <w:rsid w:val="00DC02F4"/>
    <w:rsid w:val="00DC2A0D"/>
    <w:rsid w:val="00DC4FB0"/>
    <w:rsid w:val="00DC538E"/>
    <w:rsid w:val="00DE4D23"/>
    <w:rsid w:val="00DE7241"/>
    <w:rsid w:val="00DF63AD"/>
    <w:rsid w:val="00DF78A1"/>
    <w:rsid w:val="00E03A80"/>
    <w:rsid w:val="00E072E3"/>
    <w:rsid w:val="00E10C5D"/>
    <w:rsid w:val="00E1130C"/>
    <w:rsid w:val="00E11A3E"/>
    <w:rsid w:val="00E1269C"/>
    <w:rsid w:val="00E203A4"/>
    <w:rsid w:val="00E2591B"/>
    <w:rsid w:val="00E306D9"/>
    <w:rsid w:val="00E30777"/>
    <w:rsid w:val="00E32A27"/>
    <w:rsid w:val="00E35651"/>
    <w:rsid w:val="00E35EBA"/>
    <w:rsid w:val="00E41678"/>
    <w:rsid w:val="00E470C8"/>
    <w:rsid w:val="00E62C58"/>
    <w:rsid w:val="00E63D55"/>
    <w:rsid w:val="00E64E3E"/>
    <w:rsid w:val="00E67016"/>
    <w:rsid w:val="00E75EE1"/>
    <w:rsid w:val="00E90BEB"/>
    <w:rsid w:val="00EA1FC5"/>
    <w:rsid w:val="00EA63CC"/>
    <w:rsid w:val="00EB22AC"/>
    <w:rsid w:val="00EB3A2D"/>
    <w:rsid w:val="00EE32B4"/>
    <w:rsid w:val="00EF59CD"/>
    <w:rsid w:val="00EF7AB3"/>
    <w:rsid w:val="00F10442"/>
    <w:rsid w:val="00F205B3"/>
    <w:rsid w:val="00F27757"/>
    <w:rsid w:val="00F47B9B"/>
    <w:rsid w:val="00F56268"/>
    <w:rsid w:val="00F67480"/>
    <w:rsid w:val="00F852D3"/>
    <w:rsid w:val="00F92E37"/>
    <w:rsid w:val="00F9454B"/>
    <w:rsid w:val="00F95999"/>
    <w:rsid w:val="00FB2226"/>
    <w:rsid w:val="00FB6BA6"/>
    <w:rsid w:val="00FD241F"/>
    <w:rsid w:val="00FD56C1"/>
    <w:rsid w:val="00FE3071"/>
    <w:rsid w:val="00FE634C"/>
    <w:rsid w:val="00FE7F51"/>
    <w:rsid w:val="00FF2868"/>
    <w:rsid w:val="0915703F"/>
    <w:rsid w:val="724D5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locked/>
    <w:uiPriority w:val="99"/>
    <w:rPr>
      <w:rFonts w:cs="Times New Roman"/>
      <w:sz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</w:rPr>
  </w:style>
  <w:style w:type="paragraph" w:customStyle="1" w:styleId="10">
    <w:name w:val="发文机关标识"/>
    <w:basedOn w:val="1"/>
    <w:qFormat/>
    <w:uiPriority w:val="0"/>
    <w:pPr>
      <w:spacing w:line="1300" w:lineRule="exact"/>
      <w:jc w:val="distribute"/>
    </w:pPr>
    <w:rPr>
      <w:rFonts w:ascii="仿宋_GB2312" w:hAnsi="Times New Roman" w:eastAsia="方正小标宋简体"/>
      <w:b/>
      <w:color w:val="FF0000"/>
      <w:spacing w:val="-60"/>
      <w:w w:val="66"/>
      <w:kern w:val="0"/>
      <w:sz w:val="120"/>
      <w:szCs w:val="20"/>
    </w:rPr>
  </w:style>
  <w:style w:type="paragraph" w:customStyle="1" w:styleId="11">
    <w:name w:val="发文字号"/>
    <w:basedOn w:val="1"/>
    <w:qFormat/>
    <w:uiPriority w:val="0"/>
    <w:pPr>
      <w:jc w:val="center"/>
    </w:pPr>
    <w:rPr>
      <w:rFonts w:ascii="Times New Roman" w:hAnsi="Times New Roman" w:eastAsia="仿宋_GB2312"/>
      <w:sz w:val="32"/>
      <w:szCs w:val="20"/>
    </w:rPr>
  </w:style>
  <w:style w:type="paragraph" w:customStyle="1" w:styleId="12">
    <w:name w:val="印发机关"/>
    <w:basedOn w:val="1"/>
    <w:uiPriority w:val="0"/>
    <w:pPr>
      <w:ind w:firstLine="320"/>
    </w:pPr>
    <w:rPr>
      <w:rFonts w:ascii="Times New Roman" w:hAnsi="Times New Roman"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718</Words>
  <Characters>4095</Characters>
  <Lines>34</Lines>
  <Paragraphs>9</Paragraphs>
  <TotalTime>4</TotalTime>
  <ScaleCrop>false</ScaleCrop>
  <LinksUpToDate>false</LinksUpToDate>
  <CharactersWithSpaces>4804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2021-01-29T07:47:00Z</dcterms:created>
  <dc:creator>5050001</dc:creator>
  <cp:lastModifiedBy>hp</cp:lastModifiedBy>
  <cp:lastPrinted>2020-03-31T03:38:00Z</cp:lastPrinted>
  <dcterms:modified xsi:type="dcterms:W3CDTF">2021-01-29T07:54:39Z</dcterms:modified>
  <dc:title>浦口区政府关于成立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