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298E" w:rsidP="00DB5949">
      <w:pPr>
        <w:widowControl/>
        <w:adjustRightInd w:val="0"/>
        <w:snapToGrid w:val="0"/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 w:rsidR="00000000" w:rsidRDefault="00A1298E" w:rsidP="00DB5949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000000" w:rsidRDefault="00A1298E" w:rsidP="00DB5949">
      <w:pPr>
        <w:spacing w:line="560" w:lineRule="exact"/>
        <w:jc w:val="center"/>
        <w:rPr>
          <w:rFonts w:eastAsia="方正小标宋简体"/>
          <w:color w:val="000000"/>
          <w:sz w:val="44"/>
          <w:szCs w:val="44"/>
          <w:lang w:val="zh-TW"/>
        </w:rPr>
      </w:pPr>
      <w:r>
        <w:rPr>
          <w:rFonts w:eastAsia="方正小标宋简体"/>
          <w:color w:val="000000"/>
          <w:sz w:val="44"/>
          <w:szCs w:val="44"/>
          <w:lang w:val="zh-TW" w:eastAsia="zh-TW"/>
        </w:rPr>
        <w:t>中国药品监管科学行动计划</w:t>
      </w:r>
    </w:p>
    <w:p w:rsidR="00000000" w:rsidRDefault="00A1298E" w:rsidP="00DB5949">
      <w:pPr>
        <w:spacing w:line="560" w:lineRule="exact"/>
        <w:jc w:val="center"/>
        <w:rPr>
          <w:rFonts w:eastAsia="方正小标宋简体"/>
          <w:color w:val="000000"/>
          <w:sz w:val="44"/>
          <w:szCs w:val="44"/>
          <w:lang w:val="zh-TW"/>
        </w:rPr>
      </w:pPr>
      <w:r>
        <w:rPr>
          <w:rFonts w:eastAsia="方正小标宋简体"/>
          <w:color w:val="000000"/>
          <w:sz w:val="44"/>
          <w:szCs w:val="44"/>
          <w:lang w:val="zh-TW" w:eastAsia="zh-TW"/>
        </w:rPr>
        <w:t>第二批重点项目</w:t>
      </w:r>
    </w:p>
    <w:p w:rsidR="00000000" w:rsidRDefault="00A1298E" w:rsidP="00DB5949">
      <w:pPr>
        <w:spacing w:line="560" w:lineRule="exact"/>
        <w:jc w:val="center"/>
        <w:rPr>
          <w:rFonts w:eastAsia="方正小标宋简体"/>
          <w:color w:val="000000"/>
          <w:sz w:val="44"/>
          <w:szCs w:val="44"/>
          <w:lang w:val="zh-TW"/>
        </w:rPr>
      </w:pP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0" w:name="_Toc"/>
      <w:r>
        <w:rPr>
          <w:rFonts w:eastAsia="黑体"/>
          <w:color w:val="000000"/>
          <w:sz w:val="32"/>
          <w:szCs w:val="32"/>
          <w:lang w:val="zh-TW" w:eastAsia="zh-TW"/>
        </w:rPr>
        <w:t>一、中药有效性安全性评价及全过程质量控制研究</w:t>
      </w:r>
      <w:bookmarkEnd w:id="0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pacing w:val="-6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围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绕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加快推进中医药理论、人用经验、临床试验三结合审评证据体系的构建以及中药注册分类的实施，开展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中药疗效评价，中药安全性（毒性）数据库构建，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中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药材、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中药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饮片、制剂生产等全过程质量控制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方法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，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以及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中药材、中药饮片评价方法与质量标准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研究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，开发符合中药特点的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审评审批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新工具、新标准</w:t>
      </w:r>
      <w:r>
        <w:rPr>
          <w:rFonts w:eastAsia="仿宋_GB2312"/>
          <w:color w:val="000000"/>
          <w:spacing w:val="-6"/>
          <w:sz w:val="32"/>
          <w:szCs w:val="32"/>
          <w:lang w:val="zh-TW"/>
        </w:rPr>
        <w:t>、</w:t>
      </w:r>
      <w:r>
        <w:rPr>
          <w:rFonts w:eastAsia="仿宋_GB2312"/>
          <w:color w:val="000000"/>
          <w:spacing w:val="-6"/>
          <w:sz w:val="32"/>
          <w:szCs w:val="32"/>
          <w:lang w:val="zh-TW" w:eastAsia="zh-TW"/>
        </w:rPr>
        <w:t>新方法。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药品注册司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</w:t>
      </w:r>
      <w:r>
        <w:rPr>
          <w:rFonts w:eastAsia="仿宋_GB2312"/>
          <w:color w:val="000000"/>
          <w:sz w:val="32"/>
          <w:szCs w:val="32"/>
          <w:lang w:val="zh-TW"/>
        </w:rPr>
        <w:t>审中心、中检院、核查中心、药典委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1" w:name="_Toc1"/>
      <w:r>
        <w:rPr>
          <w:rFonts w:eastAsia="黑体"/>
          <w:color w:val="000000"/>
          <w:sz w:val="32"/>
          <w:szCs w:val="32"/>
          <w:lang w:val="zh-TW" w:eastAsia="zh-TW"/>
        </w:rPr>
        <w:t>二、干细胞和基因治疗产品评价体系及</w:t>
      </w:r>
      <w:r>
        <w:rPr>
          <w:rFonts w:eastAsia="黑体"/>
          <w:color w:val="000000"/>
          <w:sz w:val="32"/>
          <w:szCs w:val="32"/>
          <w:lang w:val="zh-TW" w:eastAsia="zh-TW"/>
        </w:rPr>
        <w:t>方法研究</w:t>
      </w:r>
      <w:bookmarkEnd w:id="1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/>
        </w:rPr>
        <w:t>在前期研究基础上，</w:t>
      </w:r>
      <w:r>
        <w:rPr>
          <w:rFonts w:eastAsia="仿宋_GB2312"/>
          <w:color w:val="000000"/>
          <w:sz w:val="32"/>
          <w:szCs w:val="32"/>
          <w:lang w:val="zh-TW" w:eastAsia="zh-TW"/>
        </w:rPr>
        <w:t>结合国际前沿生物技术产品研发进展和监管经验，围绕干细胞和基因治疗产品评价方法及标准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非临床研究与评价策略</w:t>
      </w:r>
      <w:r>
        <w:rPr>
          <w:rFonts w:eastAsia="仿宋_GB2312"/>
          <w:color w:val="000000"/>
          <w:sz w:val="32"/>
          <w:szCs w:val="32"/>
          <w:lang w:val="zh-TW"/>
        </w:rPr>
        <w:t>和</w:t>
      </w:r>
      <w:r>
        <w:rPr>
          <w:rFonts w:eastAsia="仿宋_GB2312"/>
          <w:color w:val="000000"/>
          <w:sz w:val="32"/>
          <w:szCs w:val="32"/>
          <w:lang w:val="zh-TW" w:eastAsia="zh-TW"/>
        </w:rPr>
        <w:t>技术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质量研究与质量控制评价技术等，</w:t>
      </w:r>
      <w:r>
        <w:rPr>
          <w:rFonts w:eastAsia="仿宋_GB2312"/>
          <w:color w:val="000000"/>
          <w:sz w:val="32"/>
          <w:szCs w:val="32"/>
          <w:lang w:val="zh-TW"/>
        </w:rPr>
        <w:t>深入</w:t>
      </w:r>
      <w:r>
        <w:rPr>
          <w:rFonts w:eastAsia="仿宋_GB2312"/>
          <w:color w:val="000000"/>
          <w:sz w:val="32"/>
          <w:szCs w:val="32"/>
          <w:lang w:val="zh-TW" w:eastAsia="zh-TW"/>
        </w:rPr>
        <w:t>开发</w:t>
      </w:r>
      <w:r>
        <w:rPr>
          <w:rFonts w:eastAsia="仿宋_GB2312"/>
          <w:color w:val="000000"/>
          <w:sz w:val="32"/>
          <w:szCs w:val="32"/>
          <w:lang w:val="zh-TW"/>
        </w:rPr>
        <w:t>干细胞和基因治疗产品</w:t>
      </w:r>
      <w:r>
        <w:rPr>
          <w:rFonts w:eastAsia="仿宋_GB2312"/>
          <w:color w:val="000000"/>
          <w:sz w:val="32"/>
          <w:szCs w:val="32"/>
          <w:lang w:val="zh-TW" w:eastAsia="zh-TW"/>
        </w:rPr>
        <w:t>非临床评价方法、临床试验优化设计方法、临床结局等评价</w:t>
      </w:r>
      <w:r>
        <w:rPr>
          <w:rFonts w:eastAsia="仿宋_GB2312"/>
          <w:color w:val="000000"/>
          <w:sz w:val="32"/>
          <w:szCs w:val="32"/>
          <w:lang w:val="zh-TW"/>
        </w:rPr>
        <w:t>新</w:t>
      </w:r>
      <w:r>
        <w:rPr>
          <w:rFonts w:eastAsia="仿宋_GB2312"/>
          <w:color w:val="000000"/>
          <w:sz w:val="32"/>
          <w:szCs w:val="32"/>
          <w:lang w:val="zh-TW" w:eastAsia="zh-TW"/>
        </w:rPr>
        <w:t>工具</w:t>
      </w:r>
      <w:r>
        <w:rPr>
          <w:rFonts w:eastAsia="仿宋_GB2312"/>
          <w:color w:val="000000"/>
          <w:sz w:val="32"/>
          <w:szCs w:val="32"/>
          <w:lang w:val="zh-TW"/>
        </w:rPr>
        <w:t>、新标准</w:t>
      </w:r>
      <w:r>
        <w:rPr>
          <w:rFonts w:eastAsia="仿宋_GB2312"/>
          <w:color w:val="000000"/>
          <w:sz w:val="32"/>
          <w:szCs w:val="32"/>
          <w:lang w:val="zh-TW" w:eastAsia="zh-TW"/>
        </w:rPr>
        <w:t>和</w:t>
      </w:r>
      <w:r>
        <w:rPr>
          <w:rFonts w:eastAsia="仿宋_GB2312"/>
          <w:color w:val="000000"/>
          <w:sz w:val="32"/>
          <w:szCs w:val="32"/>
          <w:lang w:val="zh-TW"/>
        </w:rPr>
        <w:t>新方法</w:t>
      </w:r>
      <w:r>
        <w:rPr>
          <w:rFonts w:eastAsia="仿宋_GB2312"/>
          <w:color w:val="000000"/>
          <w:sz w:val="32"/>
          <w:szCs w:val="32"/>
          <w:lang w:val="zh-TW" w:eastAsia="zh-TW"/>
        </w:rPr>
        <w:t>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药品注册司</w:t>
      </w:r>
      <w:r>
        <w:rPr>
          <w:rFonts w:eastAsia="仿宋_GB2312"/>
          <w:color w:val="000000"/>
          <w:sz w:val="32"/>
          <w:szCs w:val="32"/>
          <w:lang w:val="zh-TW"/>
        </w:rPr>
        <w:t>、药品监管司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</w:t>
      </w:r>
      <w:r>
        <w:rPr>
          <w:rFonts w:eastAsia="仿宋_GB2312"/>
          <w:color w:val="000000"/>
          <w:sz w:val="32"/>
          <w:szCs w:val="32"/>
          <w:lang w:val="zh-TW"/>
        </w:rPr>
        <w:t>审中心、中检院、核查中心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黑体"/>
          <w:color w:val="000000"/>
          <w:sz w:val="32"/>
          <w:szCs w:val="32"/>
          <w:lang w:val="zh-TW" w:eastAsia="zh-TW"/>
        </w:rPr>
      </w:pPr>
      <w:bookmarkStart w:id="2" w:name="_Toc2"/>
      <w:r>
        <w:rPr>
          <w:rFonts w:eastAsia="黑体"/>
          <w:color w:val="000000"/>
          <w:sz w:val="32"/>
          <w:szCs w:val="32"/>
          <w:lang w:val="zh-TW" w:eastAsia="zh-TW"/>
        </w:rPr>
        <w:lastRenderedPageBreak/>
        <w:t>三、真实世界数据支持中药、罕见病治疗药</w:t>
      </w:r>
      <w:r>
        <w:rPr>
          <w:rFonts w:eastAsia="黑体"/>
          <w:color w:val="000000"/>
          <w:sz w:val="32"/>
          <w:szCs w:val="32"/>
          <w:lang w:val="zh-TW"/>
        </w:rPr>
        <w:t>物</w:t>
      </w:r>
      <w:r>
        <w:rPr>
          <w:rFonts w:eastAsia="黑体"/>
          <w:color w:val="000000"/>
          <w:sz w:val="32"/>
          <w:szCs w:val="32"/>
          <w:lang w:val="zh-TW" w:eastAsia="zh-TW"/>
        </w:rPr>
        <w:t>、创新和临床急需医疗器械评价方法研究</w:t>
      </w:r>
      <w:bookmarkEnd w:id="2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以鼓励药品医疗器械创新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提高临床评价质量和</w:t>
      </w:r>
      <w:r>
        <w:rPr>
          <w:rFonts w:eastAsia="仿宋_GB2312"/>
          <w:color w:val="000000"/>
          <w:sz w:val="32"/>
          <w:szCs w:val="32"/>
          <w:lang w:val="zh-TW" w:eastAsia="zh-TW"/>
        </w:rPr>
        <w:t>效率、拓展临床</w:t>
      </w:r>
      <w:r>
        <w:rPr>
          <w:rFonts w:eastAsia="仿宋_GB2312"/>
          <w:color w:val="000000"/>
          <w:sz w:val="32"/>
          <w:szCs w:val="32"/>
          <w:lang w:val="zh-TW"/>
        </w:rPr>
        <w:t>证据</w:t>
      </w:r>
      <w:r>
        <w:rPr>
          <w:rFonts w:eastAsia="仿宋_GB2312"/>
          <w:color w:val="000000"/>
          <w:sz w:val="32"/>
          <w:szCs w:val="32"/>
          <w:lang w:val="zh-TW" w:eastAsia="zh-TW"/>
        </w:rPr>
        <w:t>来源为目的，围绕应用于中药、罕见病治疗药</w:t>
      </w:r>
      <w:r>
        <w:rPr>
          <w:rFonts w:eastAsia="仿宋_GB2312"/>
          <w:color w:val="000000"/>
          <w:sz w:val="32"/>
          <w:szCs w:val="32"/>
          <w:lang w:val="zh-TW"/>
        </w:rPr>
        <w:t>物审评</w:t>
      </w:r>
      <w:r>
        <w:rPr>
          <w:rFonts w:eastAsia="仿宋_GB2312"/>
          <w:color w:val="000000"/>
          <w:sz w:val="32"/>
          <w:szCs w:val="32"/>
          <w:lang w:val="zh-TW" w:eastAsia="zh-TW"/>
        </w:rPr>
        <w:t>的真实世界证据技术评价要求，</w:t>
      </w:r>
      <w:r>
        <w:rPr>
          <w:rFonts w:eastAsia="仿宋_GB2312"/>
          <w:color w:val="000000"/>
          <w:sz w:val="32"/>
          <w:szCs w:val="32"/>
          <w:lang w:val="zh-TW"/>
        </w:rPr>
        <w:t>以及</w:t>
      </w:r>
      <w:r>
        <w:rPr>
          <w:rFonts w:eastAsia="仿宋_GB2312"/>
          <w:color w:val="000000"/>
          <w:sz w:val="32"/>
          <w:szCs w:val="32"/>
          <w:lang w:val="zh-TW" w:eastAsia="zh-TW"/>
        </w:rPr>
        <w:t>应用于医疗器械</w:t>
      </w:r>
      <w:r>
        <w:rPr>
          <w:rFonts w:eastAsia="仿宋_GB2312"/>
          <w:color w:val="000000"/>
          <w:sz w:val="32"/>
          <w:szCs w:val="32"/>
          <w:lang w:val="zh-TW"/>
        </w:rPr>
        <w:t>审评的</w:t>
      </w:r>
      <w:r>
        <w:rPr>
          <w:rFonts w:eastAsia="仿宋_GB2312"/>
          <w:color w:val="000000"/>
          <w:sz w:val="32"/>
          <w:szCs w:val="32"/>
          <w:lang w:val="zh-TW" w:eastAsia="zh-TW"/>
        </w:rPr>
        <w:t>真实世界数据标准、数据获取系统及监管可用性评价方法等，研究符合中国国情的真实世界数据收集、质量评价、处理和分析标准，形成真实世界证据支持监管决策的评价新工具、新标准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新方法。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药品注册司、器械注册司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</w:t>
      </w:r>
      <w:r>
        <w:rPr>
          <w:rFonts w:eastAsia="仿宋_GB2312"/>
          <w:color w:val="000000"/>
          <w:sz w:val="32"/>
          <w:szCs w:val="32"/>
          <w:lang w:val="zh-TW"/>
        </w:rPr>
        <w:t>审中心、器审中心、核查中心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3" w:name="_Toc3"/>
      <w:r>
        <w:rPr>
          <w:rFonts w:eastAsia="黑体"/>
          <w:color w:val="000000"/>
          <w:sz w:val="32"/>
          <w:szCs w:val="32"/>
          <w:lang w:val="zh-TW" w:eastAsia="zh-TW"/>
        </w:rPr>
        <w:t>四、新发突发传染病诊断及治疗产品评价研究</w:t>
      </w:r>
      <w:bookmarkEnd w:id="3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聚焦防疫抗疫临床急需，针对新发突发传染病病原学与防疫技术体系建设、诊断及治疗</w:t>
      </w:r>
      <w:r>
        <w:rPr>
          <w:rFonts w:eastAsia="仿宋_GB2312"/>
          <w:color w:val="000000"/>
          <w:sz w:val="32"/>
          <w:szCs w:val="32"/>
          <w:lang w:val="zh-TW" w:eastAsia="zh-TW"/>
        </w:rPr>
        <w:t>产品的研发、评价等，开展新发突发传染病诊断试剂性能评价、治疗和预防药物研发与评价体系研究，形成相关技术规范指南和评价技术标准。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药品注册司、器械注册司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/>
        </w:rPr>
        <w:t>中检院、药审中心、器审中心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4" w:name="_Toc4"/>
      <w:r>
        <w:rPr>
          <w:rFonts w:eastAsia="黑体"/>
          <w:color w:val="000000"/>
          <w:sz w:val="32"/>
          <w:szCs w:val="32"/>
          <w:lang w:val="zh-TW" w:eastAsia="zh-TW"/>
        </w:rPr>
        <w:t>五、纳米</w:t>
      </w:r>
      <w:r>
        <w:rPr>
          <w:rFonts w:eastAsia="黑体"/>
          <w:color w:val="000000"/>
          <w:sz w:val="32"/>
          <w:szCs w:val="32"/>
          <w:lang w:val="zh-TW"/>
        </w:rPr>
        <w:t>类</w:t>
      </w:r>
      <w:r>
        <w:rPr>
          <w:rFonts w:eastAsia="黑体"/>
          <w:color w:val="000000"/>
          <w:sz w:val="32"/>
          <w:szCs w:val="32"/>
          <w:lang w:val="zh-TW" w:eastAsia="zh-TW"/>
        </w:rPr>
        <w:t>创新药</w:t>
      </w:r>
      <w:r>
        <w:rPr>
          <w:rFonts w:eastAsia="黑体"/>
          <w:color w:val="000000"/>
          <w:sz w:val="32"/>
          <w:szCs w:val="32"/>
          <w:lang w:val="zh-TW"/>
        </w:rPr>
        <w:t>物</w:t>
      </w:r>
      <w:r>
        <w:rPr>
          <w:rFonts w:eastAsia="黑体"/>
          <w:color w:val="000000"/>
          <w:sz w:val="32"/>
          <w:szCs w:val="32"/>
          <w:lang w:val="zh-TW" w:eastAsia="zh-TW"/>
        </w:rPr>
        <w:t>、医疗器械安全性有效性</w:t>
      </w:r>
      <w:r>
        <w:rPr>
          <w:rFonts w:eastAsia="黑体"/>
          <w:color w:val="000000"/>
          <w:sz w:val="32"/>
          <w:szCs w:val="32"/>
          <w:lang w:val="zh-TW"/>
        </w:rPr>
        <w:t>和</w:t>
      </w:r>
      <w:r>
        <w:rPr>
          <w:rFonts w:eastAsia="黑体"/>
          <w:color w:val="000000"/>
          <w:sz w:val="32"/>
          <w:szCs w:val="32"/>
          <w:lang w:val="zh-TW" w:eastAsia="zh-TW"/>
        </w:rPr>
        <w:t>质量控制评价研究</w:t>
      </w:r>
      <w:bookmarkEnd w:id="4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/>
        </w:rPr>
        <w:t>在前期研究的基础上，</w:t>
      </w:r>
      <w:r>
        <w:rPr>
          <w:rFonts w:eastAsia="仿宋_GB2312"/>
          <w:color w:val="000000"/>
          <w:sz w:val="32"/>
          <w:szCs w:val="32"/>
          <w:lang w:val="zh-TW" w:eastAsia="zh-TW"/>
        </w:rPr>
        <w:t>聚焦纳米科技在创新药</w:t>
      </w:r>
      <w:r>
        <w:rPr>
          <w:rFonts w:eastAsia="仿宋_GB2312"/>
          <w:color w:val="000000"/>
          <w:sz w:val="32"/>
          <w:szCs w:val="32"/>
          <w:lang w:val="zh-TW"/>
        </w:rPr>
        <w:t>物</w:t>
      </w:r>
      <w:r>
        <w:rPr>
          <w:rFonts w:eastAsia="仿宋_GB2312"/>
          <w:color w:val="000000"/>
          <w:sz w:val="32"/>
          <w:szCs w:val="32"/>
          <w:lang w:val="zh-TW" w:eastAsia="zh-TW"/>
        </w:rPr>
        <w:t>、医疗器械</w:t>
      </w:r>
      <w:r>
        <w:rPr>
          <w:rFonts w:eastAsia="仿宋_GB2312"/>
          <w:color w:val="000000"/>
          <w:sz w:val="32"/>
          <w:szCs w:val="32"/>
          <w:lang w:val="zh-TW" w:eastAsia="zh-TW"/>
        </w:rPr>
        <w:lastRenderedPageBreak/>
        <w:t>等前沿性、交叉性产品中的应用，</w:t>
      </w:r>
      <w:r>
        <w:rPr>
          <w:rFonts w:eastAsia="仿宋_GB2312"/>
          <w:color w:val="000000"/>
          <w:sz w:val="32"/>
          <w:szCs w:val="32"/>
          <w:lang w:val="zh-TW"/>
        </w:rPr>
        <w:t>深入</w:t>
      </w:r>
      <w:r>
        <w:rPr>
          <w:rFonts w:eastAsia="仿宋_GB2312"/>
          <w:color w:val="000000"/>
          <w:sz w:val="32"/>
          <w:szCs w:val="32"/>
          <w:lang w:val="zh-TW" w:eastAsia="zh-TW"/>
        </w:rPr>
        <w:t>开展纳米类药物安全性</w:t>
      </w:r>
      <w:r>
        <w:rPr>
          <w:rFonts w:eastAsia="仿宋_GB2312"/>
          <w:color w:val="000000"/>
          <w:sz w:val="32"/>
          <w:szCs w:val="32"/>
          <w:lang w:val="zh-TW"/>
        </w:rPr>
        <w:t>有效性和质量控制</w:t>
      </w:r>
      <w:r>
        <w:rPr>
          <w:rFonts w:eastAsia="仿宋_GB2312"/>
          <w:color w:val="000000"/>
          <w:sz w:val="32"/>
          <w:szCs w:val="32"/>
          <w:lang w:val="zh-TW" w:eastAsia="zh-TW"/>
        </w:rPr>
        <w:t>及评价技术、纳米类医疗器械产品质量控制及评价技术等研究，形成审评技术规范指南和相关标准。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pacing w:val="1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</w:t>
      </w:r>
      <w:r>
        <w:rPr>
          <w:rFonts w:eastAsia="楷体_GB2312"/>
          <w:color w:val="000000"/>
          <w:sz w:val="32"/>
          <w:szCs w:val="32"/>
          <w:lang w:val="zh-TW" w:eastAsia="zh-TW"/>
        </w:rPr>
        <w:t>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药品注册司、</w:t>
      </w:r>
      <w:r>
        <w:rPr>
          <w:rFonts w:eastAsia="仿宋_GB2312"/>
          <w:color w:val="000000"/>
          <w:spacing w:val="1"/>
          <w:sz w:val="32"/>
          <w:szCs w:val="32"/>
          <w:lang w:val="zh-TW" w:eastAsia="zh-TW"/>
        </w:rPr>
        <w:t>器械注册司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/>
        </w:rPr>
        <w:t>药审中心、器审中心、核查中心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5" w:name="_Toc5"/>
      <w:r>
        <w:rPr>
          <w:rFonts w:eastAsia="黑体"/>
          <w:color w:val="000000"/>
          <w:sz w:val="32"/>
          <w:szCs w:val="32"/>
          <w:lang w:val="zh-TW" w:eastAsia="zh-TW"/>
        </w:rPr>
        <w:t>六、</w:t>
      </w:r>
      <w:bookmarkStart w:id="6" w:name="_Toc6"/>
      <w:bookmarkEnd w:id="5"/>
      <w:r>
        <w:rPr>
          <w:rFonts w:eastAsia="黑体"/>
          <w:color w:val="000000"/>
          <w:sz w:val="32"/>
          <w:szCs w:val="32"/>
          <w:lang w:val="zh-TW" w:eastAsia="zh-TW"/>
        </w:rPr>
        <w:t>基于远程传输、柔性电子技术及</w:t>
      </w:r>
      <w:r>
        <w:rPr>
          <w:rFonts w:eastAsia="黑体"/>
          <w:color w:val="000000"/>
          <w:sz w:val="32"/>
          <w:szCs w:val="32"/>
          <w:lang w:val="zh-TW"/>
        </w:rPr>
        <w:t>医用</w:t>
      </w:r>
      <w:r>
        <w:rPr>
          <w:rFonts w:eastAsia="黑体"/>
          <w:color w:val="000000"/>
          <w:sz w:val="32"/>
          <w:szCs w:val="32"/>
          <w:lang w:val="zh-TW" w:eastAsia="zh-TW"/>
        </w:rPr>
        <w:t>机器人的创新医疗器械评价研究</w:t>
      </w:r>
      <w:bookmarkEnd w:id="6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聚焦</w:t>
      </w:r>
      <w:r>
        <w:rPr>
          <w:rFonts w:eastAsia="仿宋_GB2312"/>
          <w:color w:val="000000"/>
          <w:sz w:val="32"/>
          <w:szCs w:val="32"/>
          <w:lang w:val="zh-TW"/>
        </w:rPr>
        <w:t>新型</w:t>
      </w:r>
      <w:r>
        <w:rPr>
          <w:rFonts w:eastAsia="仿宋_GB2312"/>
          <w:color w:val="000000"/>
          <w:sz w:val="32"/>
          <w:szCs w:val="32"/>
          <w:lang w:val="zh-TW" w:eastAsia="zh-TW"/>
        </w:rPr>
        <w:t>高端诊疗设备等前沿性、交叉性产品，开展基于远程</w:t>
      </w:r>
      <w:r>
        <w:rPr>
          <w:rFonts w:eastAsia="Calibri"/>
          <w:color w:val="000000"/>
          <w:sz w:val="32"/>
          <w:szCs w:val="32"/>
        </w:rPr>
        <w:t>/</w:t>
      </w:r>
      <w:r>
        <w:rPr>
          <w:rFonts w:eastAsia="仿宋_GB2312"/>
          <w:color w:val="000000"/>
          <w:sz w:val="32"/>
          <w:szCs w:val="32"/>
          <w:lang w:val="zh-TW" w:eastAsia="zh-TW"/>
        </w:rPr>
        <w:t>无线传输技术医疗器械产品的安全</w:t>
      </w:r>
      <w:r>
        <w:rPr>
          <w:rFonts w:eastAsia="仿宋_GB2312"/>
          <w:color w:val="000000"/>
          <w:sz w:val="32"/>
          <w:szCs w:val="32"/>
          <w:lang w:val="zh-TW"/>
        </w:rPr>
        <w:t>性</w:t>
      </w:r>
      <w:r>
        <w:rPr>
          <w:rFonts w:eastAsia="仿宋_GB2312"/>
          <w:color w:val="000000"/>
          <w:sz w:val="32"/>
          <w:szCs w:val="32"/>
          <w:lang w:val="zh-TW" w:eastAsia="zh-TW"/>
        </w:rPr>
        <w:t>有效性评价、基于柔性电子技术的新一代穿戴式和有源植入式医疗器械产品安全</w:t>
      </w:r>
      <w:r>
        <w:rPr>
          <w:rFonts w:eastAsia="仿宋_GB2312"/>
          <w:color w:val="000000"/>
          <w:sz w:val="32"/>
          <w:szCs w:val="32"/>
          <w:lang w:val="zh-TW"/>
        </w:rPr>
        <w:t>性</w:t>
      </w:r>
      <w:r>
        <w:rPr>
          <w:rFonts w:eastAsia="仿宋_GB2312"/>
          <w:color w:val="000000"/>
          <w:sz w:val="32"/>
          <w:szCs w:val="32"/>
          <w:lang w:val="zh-TW" w:eastAsia="zh-TW"/>
        </w:rPr>
        <w:t>有效性评价、医用机器人检验及评价技术</w:t>
      </w:r>
      <w:r>
        <w:rPr>
          <w:rFonts w:eastAsia="仿宋_GB2312"/>
          <w:color w:val="000000"/>
          <w:sz w:val="32"/>
          <w:szCs w:val="32"/>
          <w:lang w:val="zh-TW"/>
        </w:rPr>
        <w:t>研究</w:t>
      </w:r>
      <w:r>
        <w:rPr>
          <w:rFonts w:eastAsia="仿宋_GB2312" w:hint="eastAsia"/>
          <w:color w:val="000000"/>
          <w:sz w:val="32"/>
          <w:szCs w:val="32"/>
          <w:lang w:val="zh-TW"/>
        </w:rPr>
        <w:t>，</w:t>
      </w:r>
      <w:r>
        <w:rPr>
          <w:rFonts w:eastAsia="仿宋_GB2312"/>
          <w:color w:val="000000"/>
          <w:sz w:val="32"/>
          <w:szCs w:val="32"/>
          <w:lang w:val="zh-TW"/>
        </w:rPr>
        <w:t>形成检验及评价技术指南和标准规范等</w:t>
      </w:r>
      <w:r>
        <w:rPr>
          <w:rFonts w:eastAsia="仿宋_GB2312"/>
          <w:color w:val="000000"/>
          <w:sz w:val="32"/>
          <w:szCs w:val="32"/>
          <w:lang w:val="zh-TW" w:eastAsia="zh-TW"/>
        </w:rPr>
        <w:t>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器械注册司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/>
        </w:rPr>
        <w:t>器审中心、中检院、核查中心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7" w:name="_Toc7"/>
      <w:r>
        <w:rPr>
          <w:rFonts w:eastAsia="黑体"/>
          <w:color w:val="000000"/>
          <w:sz w:val="32"/>
          <w:szCs w:val="32"/>
          <w:lang w:val="zh-TW" w:eastAsia="zh-TW"/>
        </w:rPr>
        <w:t>七、新型生物材料安全</w:t>
      </w:r>
      <w:r>
        <w:rPr>
          <w:rFonts w:eastAsia="黑体"/>
          <w:color w:val="000000"/>
          <w:sz w:val="32"/>
          <w:szCs w:val="32"/>
          <w:lang w:val="zh-TW"/>
        </w:rPr>
        <w:t>性</w:t>
      </w:r>
      <w:r>
        <w:rPr>
          <w:rFonts w:eastAsia="黑体"/>
          <w:color w:val="000000"/>
          <w:sz w:val="32"/>
          <w:szCs w:val="32"/>
          <w:lang w:val="zh-TW" w:eastAsia="zh-TW"/>
        </w:rPr>
        <w:t>有效</w:t>
      </w:r>
      <w:r>
        <w:rPr>
          <w:rFonts w:eastAsia="黑体"/>
          <w:color w:val="000000"/>
          <w:sz w:val="32"/>
          <w:szCs w:val="32"/>
          <w:lang w:val="zh-TW"/>
        </w:rPr>
        <w:t>性评价</w:t>
      </w:r>
      <w:r>
        <w:rPr>
          <w:rFonts w:eastAsia="黑体"/>
          <w:color w:val="000000"/>
          <w:sz w:val="32"/>
          <w:szCs w:val="32"/>
          <w:lang w:val="zh-TW" w:eastAsia="zh-TW"/>
        </w:rPr>
        <w:t>研究</w:t>
      </w:r>
      <w:bookmarkEnd w:id="7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</w:t>
      </w:r>
      <w:r>
        <w:rPr>
          <w:rFonts w:eastAsia="楷体_GB2312"/>
          <w:color w:val="000000"/>
          <w:sz w:val="32"/>
          <w:szCs w:val="32"/>
          <w:lang w:val="zh-TW" w:eastAsia="zh-TW"/>
        </w:rPr>
        <w:t>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针对医疗器械新</w:t>
      </w:r>
      <w:r>
        <w:rPr>
          <w:rFonts w:eastAsia="仿宋_GB2312"/>
          <w:color w:val="000000"/>
          <w:sz w:val="32"/>
          <w:szCs w:val="32"/>
          <w:lang w:val="zh-TW"/>
        </w:rPr>
        <w:t>型生物</w:t>
      </w:r>
      <w:r>
        <w:rPr>
          <w:rFonts w:eastAsia="仿宋_GB2312"/>
          <w:color w:val="000000"/>
          <w:sz w:val="32"/>
          <w:szCs w:val="32"/>
          <w:lang w:val="zh-TW" w:eastAsia="zh-TW"/>
        </w:rPr>
        <w:t>材料使用过程中的监管与评价问题，围绕生物</w:t>
      </w:r>
      <w:r>
        <w:rPr>
          <w:rFonts w:eastAsia="仿宋_GB2312"/>
          <w:color w:val="000000"/>
          <w:sz w:val="32"/>
          <w:szCs w:val="32"/>
          <w:lang w:val="zh-TW" w:eastAsia="zh-TW"/>
        </w:rPr>
        <w:t>3D</w:t>
      </w:r>
      <w:r>
        <w:rPr>
          <w:rFonts w:eastAsia="仿宋_GB2312"/>
          <w:color w:val="000000"/>
          <w:sz w:val="32"/>
          <w:szCs w:val="32"/>
          <w:lang w:val="zh-TW" w:eastAsia="zh-TW"/>
        </w:rPr>
        <w:t>打印等新材料</w:t>
      </w:r>
      <w:r>
        <w:rPr>
          <w:rFonts w:eastAsia="仿宋_GB2312"/>
          <w:color w:val="000000"/>
          <w:sz w:val="32"/>
          <w:szCs w:val="32"/>
          <w:lang w:val="zh-TW" w:eastAsia="zh-TW"/>
        </w:rPr>
        <w:t>，</w:t>
      </w:r>
      <w:r>
        <w:rPr>
          <w:rFonts w:eastAsia="仿宋_GB2312"/>
          <w:color w:val="000000"/>
          <w:sz w:val="32"/>
          <w:szCs w:val="32"/>
          <w:lang w:val="zh-TW" w:eastAsia="zh-TW"/>
        </w:rPr>
        <w:t>组织工程类医疗器械产品</w:t>
      </w:r>
      <w:r>
        <w:rPr>
          <w:rFonts w:eastAsia="仿宋_GB2312"/>
          <w:color w:val="000000"/>
          <w:sz w:val="32"/>
          <w:szCs w:val="32"/>
          <w:lang w:val="zh-TW" w:eastAsia="zh-TW"/>
        </w:rPr>
        <w:t>，</w:t>
      </w:r>
      <w:r>
        <w:rPr>
          <w:rFonts w:eastAsia="仿宋_GB2312"/>
          <w:color w:val="000000"/>
          <w:sz w:val="32"/>
          <w:szCs w:val="32"/>
          <w:lang w:val="zh-TW" w:eastAsia="zh-TW"/>
        </w:rPr>
        <w:t>创新医用生物材料</w:t>
      </w:r>
      <w:r>
        <w:rPr>
          <w:rFonts w:eastAsia="仿宋_GB2312"/>
          <w:color w:val="000000"/>
          <w:sz w:val="32"/>
          <w:szCs w:val="32"/>
          <w:lang w:val="zh-TW" w:eastAsia="zh-TW"/>
        </w:rPr>
        <w:t>，</w:t>
      </w:r>
      <w:r>
        <w:rPr>
          <w:rFonts w:eastAsia="仿宋_GB2312"/>
          <w:color w:val="000000"/>
          <w:sz w:val="32"/>
          <w:szCs w:val="32"/>
          <w:lang w:val="zh-TW" w:eastAsia="zh-TW"/>
        </w:rPr>
        <w:t>重组胶原蛋白、软骨再生材料、骨科口腔抗菌材料</w:t>
      </w:r>
      <w:r>
        <w:rPr>
          <w:rFonts w:eastAsia="仿宋_GB2312"/>
          <w:color w:val="000000"/>
          <w:sz w:val="32"/>
          <w:szCs w:val="32"/>
          <w:lang w:val="zh-TW" w:eastAsia="zh-TW"/>
        </w:rPr>
        <w:t>等</w:t>
      </w:r>
      <w:r>
        <w:rPr>
          <w:rFonts w:eastAsia="仿宋_GB2312"/>
          <w:color w:val="000000"/>
          <w:sz w:val="32"/>
          <w:szCs w:val="32"/>
          <w:lang w:val="zh-TW"/>
        </w:rPr>
        <w:t>，</w:t>
      </w:r>
      <w:r>
        <w:rPr>
          <w:rFonts w:eastAsia="仿宋_GB2312"/>
          <w:color w:val="000000"/>
          <w:sz w:val="32"/>
          <w:szCs w:val="32"/>
          <w:lang w:val="zh-TW" w:eastAsia="zh-TW"/>
        </w:rPr>
        <w:t>开展性能评价和安全性有效性评价研究，形成相关指导原则和技术审评体系。开展</w:t>
      </w:r>
      <w:r>
        <w:rPr>
          <w:rFonts w:eastAsia="仿宋_GB2312"/>
          <w:color w:val="000000"/>
          <w:sz w:val="32"/>
          <w:szCs w:val="32"/>
          <w:lang w:val="zh-TW" w:eastAsia="zh-TW"/>
        </w:rPr>
        <w:t>人工皮肤、角膜替代方法研究</w:t>
      </w:r>
      <w:r>
        <w:rPr>
          <w:rFonts w:eastAsia="仿宋_GB2312"/>
          <w:color w:val="000000"/>
          <w:sz w:val="32"/>
          <w:szCs w:val="32"/>
          <w:lang w:val="zh-TW" w:eastAsia="zh-TW"/>
        </w:rPr>
        <w:t>，建立基于中国人源细胞的皮肤模型和基于含黑色素皮肤模型的美白</w:t>
      </w:r>
      <w:r>
        <w:rPr>
          <w:rFonts w:eastAsia="仿宋_GB2312"/>
          <w:color w:val="000000"/>
          <w:sz w:val="32"/>
          <w:szCs w:val="32"/>
          <w:lang w:val="zh-TW" w:eastAsia="zh-TW"/>
        </w:rPr>
        <w:lastRenderedPageBreak/>
        <w:t>功效评价标准等。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器械注册司、化妆品监管司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/>
        </w:rPr>
        <w:t>器审中心、中检院、核查中心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黑体" w:hint="eastAsia"/>
          <w:color w:val="000000"/>
          <w:sz w:val="32"/>
          <w:szCs w:val="32"/>
        </w:rPr>
      </w:pPr>
      <w:bookmarkStart w:id="8" w:name="_Toc8"/>
      <w:r>
        <w:rPr>
          <w:rFonts w:eastAsia="黑体"/>
          <w:color w:val="000000"/>
          <w:sz w:val="32"/>
          <w:szCs w:val="32"/>
          <w:lang w:val="zh-TW" w:eastAsia="zh-TW"/>
        </w:rPr>
        <w:t>八、</w:t>
      </w:r>
      <w:r>
        <w:rPr>
          <w:rFonts w:eastAsia="黑体"/>
          <w:color w:val="000000"/>
          <w:sz w:val="32"/>
          <w:szCs w:val="32"/>
          <w:lang w:val="zh-TW"/>
        </w:rPr>
        <w:t>化妆品</w:t>
      </w:r>
      <w:r>
        <w:rPr>
          <w:rFonts w:eastAsia="黑体"/>
          <w:color w:val="000000"/>
          <w:sz w:val="32"/>
          <w:szCs w:val="32"/>
          <w:lang w:val="zh-TW" w:eastAsia="zh-TW"/>
        </w:rPr>
        <w:t>新原料技术指南研究</w:t>
      </w:r>
      <w:bookmarkEnd w:id="8"/>
      <w:r>
        <w:rPr>
          <w:rFonts w:eastAsia="黑体"/>
          <w:color w:val="000000"/>
          <w:sz w:val="32"/>
          <w:szCs w:val="32"/>
          <w:lang w:val="zh-TW"/>
        </w:rPr>
        <w:t>和</w:t>
      </w:r>
      <w:r>
        <w:rPr>
          <w:rFonts w:eastAsia="黑体"/>
          <w:color w:val="000000"/>
          <w:sz w:val="32"/>
          <w:szCs w:val="32"/>
          <w:lang w:val="zh-TW" w:eastAsia="zh-TW"/>
        </w:rPr>
        <w:t>化妆品安全监测与分析预警方法</w:t>
      </w:r>
      <w:r>
        <w:rPr>
          <w:rFonts w:eastAsia="黑体"/>
          <w:color w:val="000000"/>
          <w:sz w:val="32"/>
          <w:szCs w:val="32"/>
          <w:lang w:val="zh-TW"/>
        </w:rPr>
        <w:t>研究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</w:t>
      </w:r>
      <w:r>
        <w:rPr>
          <w:rFonts w:eastAsia="楷体_GB2312"/>
          <w:color w:val="000000"/>
          <w:sz w:val="32"/>
          <w:szCs w:val="32"/>
          <w:lang w:val="zh-TW" w:eastAsia="zh-TW"/>
        </w:rPr>
        <w:t>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针对我国化妆品新原料质量标准不健全、安全评价技术研究薄弱以及化妆品安全监测评估体系不完善等问题，开展化妆品新原料质量标准、创新</w:t>
      </w:r>
      <w:r>
        <w:rPr>
          <w:rFonts w:eastAsia="仿宋_GB2312"/>
          <w:sz w:val="32"/>
          <w:szCs w:val="32"/>
          <w:lang w:val="zh-TW" w:eastAsia="zh-TW"/>
        </w:rPr>
        <w:t>技术化妆品</w:t>
      </w:r>
      <w:r>
        <w:rPr>
          <w:rFonts w:eastAsia="仿宋_GB2312"/>
          <w:color w:val="000000"/>
          <w:sz w:val="32"/>
          <w:szCs w:val="32"/>
          <w:lang w:val="zh-TW" w:eastAsia="zh-TW"/>
        </w:rPr>
        <w:t>新原料关键技术要点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安全评价以及化妆品不良反应判断标准和安全风险分析预警</w:t>
      </w:r>
      <w:r>
        <w:rPr>
          <w:rFonts w:eastAsia="仿宋_GB2312"/>
          <w:color w:val="000000"/>
          <w:sz w:val="32"/>
          <w:szCs w:val="32"/>
          <w:lang w:val="zh-TW"/>
        </w:rPr>
        <w:t>方法</w:t>
      </w:r>
      <w:r>
        <w:rPr>
          <w:rFonts w:eastAsia="仿宋_GB2312"/>
          <w:color w:val="000000"/>
          <w:sz w:val="32"/>
          <w:szCs w:val="32"/>
          <w:lang w:val="zh-TW" w:eastAsia="zh-TW"/>
        </w:rPr>
        <w:t>等研究，</w:t>
      </w:r>
      <w:r>
        <w:rPr>
          <w:rFonts w:eastAsia="仿宋_GB2312"/>
          <w:sz w:val="32"/>
          <w:szCs w:val="32"/>
          <w:lang w:val="zh-TW" w:eastAsia="zh-TW"/>
        </w:rPr>
        <w:t>形成我国化妆品新原料质量标准体系发展规划和相关质量标准、创新技术化妆品新原料技术指南和审评指导原则、化妆品风险物质在线筛查平台、</w:t>
      </w:r>
      <w:r>
        <w:rPr>
          <w:rFonts w:eastAsia="仿宋_GB2312"/>
          <w:color w:val="000000"/>
          <w:sz w:val="32"/>
          <w:szCs w:val="32"/>
          <w:lang w:val="zh-TW" w:eastAsia="zh-TW"/>
        </w:rPr>
        <w:t>化妆品不良反应判断标准等，提高我国化妆品监管的科学性和有效性。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化妆品监管司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/>
        </w:rPr>
        <w:t>中检院、评价中心、核查中心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9" w:name="_Toc9"/>
      <w:r>
        <w:rPr>
          <w:rFonts w:eastAsia="黑体"/>
          <w:color w:val="000000"/>
          <w:sz w:val="32"/>
          <w:szCs w:val="32"/>
          <w:lang w:val="zh-TW" w:eastAsia="zh-TW"/>
        </w:rPr>
        <w:t>九、</w:t>
      </w:r>
      <w:r>
        <w:rPr>
          <w:rFonts w:eastAsia="黑体"/>
          <w:color w:val="000000"/>
          <w:sz w:val="32"/>
          <w:szCs w:val="32"/>
          <w:lang w:val="zh-TW" w:eastAsia="zh-TW"/>
        </w:rPr>
        <w:t>恶性肿瘤等</w:t>
      </w:r>
      <w:r>
        <w:rPr>
          <w:rFonts w:eastAsia="黑体"/>
          <w:color w:val="000000"/>
          <w:sz w:val="32"/>
          <w:szCs w:val="32"/>
          <w:lang w:val="zh-TW" w:eastAsia="zh-TW"/>
        </w:rPr>
        <w:t>常见</w:t>
      </w:r>
      <w:r>
        <w:rPr>
          <w:rFonts w:eastAsia="黑体"/>
          <w:color w:val="000000"/>
          <w:sz w:val="32"/>
          <w:szCs w:val="32"/>
          <w:lang w:val="zh-TW" w:eastAsia="zh-TW"/>
        </w:rPr>
        <w:t>病、多发病诊疗产品评价</w:t>
      </w:r>
      <w:r>
        <w:rPr>
          <w:rFonts w:eastAsia="黑体"/>
          <w:color w:val="000000"/>
          <w:sz w:val="32"/>
          <w:szCs w:val="32"/>
          <w:lang w:val="zh-TW"/>
        </w:rPr>
        <w:t>新工具、新标准和</w:t>
      </w:r>
      <w:r>
        <w:rPr>
          <w:rFonts w:eastAsia="黑体"/>
          <w:color w:val="000000"/>
          <w:sz w:val="32"/>
          <w:szCs w:val="32"/>
          <w:lang w:val="zh-TW" w:eastAsia="zh-TW"/>
        </w:rPr>
        <w:t>新方法研究</w:t>
      </w:r>
      <w:bookmarkEnd w:id="9"/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针对恶性肿瘤等常见病、多发病，开展早期诊断及筛查产品临床评价、模型引导的药物审评技术和标准、以患者为中心的药物临床试验评价体系、连续制造技术实施和技术要求、伴随诊断体外诊断试剂监管标准和方法等新工具</w:t>
      </w:r>
      <w:r>
        <w:rPr>
          <w:rFonts w:eastAsia="仿宋_GB2312"/>
          <w:color w:val="000000"/>
          <w:sz w:val="32"/>
          <w:szCs w:val="32"/>
          <w:lang w:val="zh-TW"/>
        </w:rPr>
        <w:t>、</w:t>
      </w:r>
      <w:r>
        <w:rPr>
          <w:rFonts w:eastAsia="仿宋_GB2312"/>
          <w:color w:val="000000"/>
          <w:sz w:val="32"/>
          <w:szCs w:val="32"/>
          <w:lang w:val="zh-TW" w:eastAsia="zh-TW"/>
        </w:rPr>
        <w:t>新标准和新方法研究</w:t>
      </w:r>
      <w:r>
        <w:rPr>
          <w:rFonts w:eastAsia="仿宋_GB2312"/>
          <w:color w:val="000000"/>
          <w:sz w:val="32"/>
          <w:szCs w:val="32"/>
          <w:lang w:val="zh-TW"/>
        </w:rPr>
        <w:t>，</w:t>
      </w:r>
      <w:r>
        <w:rPr>
          <w:rFonts w:eastAsia="仿宋_GB2312"/>
          <w:color w:val="000000"/>
          <w:sz w:val="32"/>
          <w:szCs w:val="32"/>
          <w:lang w:val="zh-TW"/>
        </w:rPr>
        <w:lastRenderedPageBreak/>
        <w:t>形成临床评价、药物研发等相关技术指导原则和审评路径</w:t>
      </w:r>
      <w:r>
        <w:rPr>
          <w:rFonts w:eastAsia="仿宋_GB2312"/>
          <w:color w:val="000000"/>
          <w:sz w:val="32"/>
          <w:szCs w:val="32"/>
          <w:lang w:val="zh-TW" w:eastAsia="zh-TW"/>
        </w:rPr>
        <w:t>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药品注册司、器械注册司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 w:hint="eastAsia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/>
        </w:rPr>
        <w:t>药审中心、器审中心、中检院、核查中心</w:t>
      </w:r>
    </w:p>
    <w:p w:rsidR="00000000" w:rsidRDefault="00A1298E" w:rsidP="00DB5949">
      <w:pPr>
        <w:spacing w:line="560" w:lineRule="exact"/>
        <w:ind w:firstLineChars="200" w:firstLine="640"/>
        <w:outlineLvl w:val="0"/>
        <w:rPr>
          <w:rFonts w:eastAsia="Times New Roman"/>
          <w:color w:val="000000"/>
          <w:sz w:val="32"/>
          <w:szCs w:val="32"/>
        </w:rPr>
      </w:pPr>
      <w:bookmarkStart w:id="10" w:name="_Toc10"/>
      <w:r>
        <w:rPr>
          <w:rFonts w:eastAsia="黑体"/>
          <w:color w:val="000000"/>
          <w:sz w:val="32"/>
          <w:szCs w:val="32"/>
          <w:lang w:val="zh-TW" w:eastAsia="zh-TW"/>
        </w:rPr>
        <w:t>十、药品、</w:t>
      </w:r>
      <w:bookmarkEnd w:id="10"/>
      <w:r>
        <w:rPr>
          <w:rFonts w:eastAsia="黑体"/>
          <w:color w:val="000000"/>
          <w:sz w:val="32"/>
          <w:szCs w:val="32"/>
          <w:lang w:val="zh-TW" w:eastAsia="zh-TW"/>
        </w:rPr>
        <w:t>医疗器械</w:t>
      </w:r>
      <w:r>
        <w:rPr>
          <w:rFonts w:eastAsia="黑体"/>
          <w:color w:val="000000"/>
          <w:sz w:val="32"/>
          <w:szCs w:val="32"/>
          <w:lang w:val="zh-TW"/>
        </w:rPr>
        <w:t>警戒</w:t>
      </w:r>
      <w:r>
        <w:rPr>
          <w:rFonts w:eastAsia="黑体"/>
          <w:color w:val="000000"/>
          <w:sz w:val="32"/>
          <w:szCs w:val="32"/>
          <w:lang w:val="zh-TW" w:eastAsia="zh-TW"/>
        </w:rPr>
        <w:t>技术</w:t>
      </w:r>
      <w:r>
        <w:rPr>
          <w:rFonts w:eastAsia="黑体"/>
          <w:color w:val="000000"/>
          <w:sz w:val="32"/>
          <w:szCs w:val="32"/>
          <w:lang w:val="zh-TW"/>
        </w:rPr>
        <w:t>和方法</w:t>
      </w:r>
      <w:r>
        <w:rPr>
          <w:rFonts w:eastAsia="黑体"/>
          <w:color w:val="000000"/>
          <w:sz w:val="32"/>
          <w:szCs w:val="32"/>
          <w:lang w:val="zh-TW" w:eastAsia="zh-TW"/>
        </w:rPr>
        <w:t>研究</w:t>
      </w:r>
    </w:p>
    <w:p w:rsidR="00000000" w:rsidRDefault="00A1298E" w:rsidP="00DB5949">
      <w:pPr>
        <w:spacing w:line="560" w:lineRule="exact"/>
        <w:ind w:firstLineChars="200" w:firstLine="640"/>
        <w:rPr>
          <w:rFonts w:eastAsia="Times New Roman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（一）研究内容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围绕</w:t>
      </w:r>
      <w:r>
        <w:rPr>
          <w:rFonts w:eastAsia="仿宋_GB2312"/>
          <w:color w:val="000000"/>
          <w:sz w:val="32"/>
          <w:szCs w:val="32"/>
          <w:lang w:val="zh-TW"/>
        </w:rPr>
        <w:t>药物</w:t>
      </w:r>
      <w:r>
        <w:rPr>
          <w:rFonts w:eastAsia="仿宋_GB2312"/>
          <w:color w:val="000000"/>
          <w:sz w:val="32"/>
          <w:szCs w:val="32"/>
          <w:lang w:val="zh-TW" w:eastAsia="zh-TW"/>
        </w:rPr>
        <w:t>警戒关键技术及工</w:t>
      </w:r>
      <w:r>
        <w:rPr>
          <w:rFonts w:eastAsia="仿宋_GB2312"/>
          <w:color w:val="000000"/>
          <w:sz w:val="32"/>
          <w:szCs w:val="32"/>
          <w:lang w:val="zh-TW" w:eastAsia="zh-TW"/>
        </w:rPr>
        <w:t>具、有源和高风险植入类无源医疗器械安全性监测与评价技术、上市后中药不良反应监测关键技术等，加强信号识别与预警、验证及风险评估、自动化报告质量评估等关键技术研究</w:t>
      </w:r>
      <w:r>
        <w:rPr>
          <w:rFonts w:eastAsia="仿宋_GB2312"/>
          <w:color w:val="000000"/>
          <w:sz w:val="32"/>
          <w:szCs w:val="32"/>
          <w:lang w:val="zh-TW" w:eastAsia="zh-TW"/>
        </w:rPr>
        <w:t>。</w:t>
      </w:r>
      <w:r>
        <w:rPr>
          <w:rFonts w:eastAsia="仿宋_GB2312"/>
          <w:color w:val="000000"/>
          <w:sz w:val="32"/>
          <w:szCs w:val="32"/>
          <w:lang w:val="zh-TW" w:eastAsia="zh-TW"/>
        </w:rPr>
        <w:t>建设药品医疗器械警戒自发报告和主动监测系统，</w:t>
      </w:r>
      <w:r>
        <w:rPr>
          <w:rFonts w:eastAsia="仿宋_GB2312"/>
          <w:color w:val="000000"/>
          <w:sz w:val="32"/>
          <w:szCs w:val="32"/>
          <w:lang w:val="zh-TW"/>
        </w:rPr>
        <w:t>持续</w:t>
      </w:r>
      <w:r>
        <w:rPr>
          <w:rFonts w:eastAsia="仿宋_GB2312"/>
          <w:color w:val="000000"/>
          <w:sz w:val="32"/>
          <w:szCs w:val="32"/>
          <w:lang w:val="zh-TW" w:eastAsia="zh-TW"/>
        </w:rPr>
        <w:t>提高警戒智能化和现代化</w:t>
      </w:r>
      <w:r>
        <w:rPr>
          <w:rFonts w:eastAsia="仿宋_GB2312"/>
          <w:color w:val="000000"/>
          <w:sz w:val="32"/>
          <w:szCs w:val="32"/>
          <w:lang w:val="zh-TW"/>
        </w:rPr>
        <w:t>监</w:t>
      </w:r>
      <w:r>
        <w:rPr>
          <w:rFonts w:eastAsia="仿宋_GB2312"/>
          <w:color w:val="000000"/>
          <w:sz w:val="32"/>
          <w:szCs w:val="32"/>
          <w:lang w:val="zh-TW" w:eastAsia="zh-TW"/>
        </w:rPr>
        <w:t>测</w:t>
      </w:r>
      <w:r>
        <w:rPr>
          <w:rFonts w:eastAsia="仿宋_GB2312"/>
          <w:color w:val="000000"/>
          <w:sz w:val="32"/>
          <w:szCs w:val="32"/>
          <w:lang w:val="zh-TW"/>
        </w:rPr>
        <w:t>评价</w:t>
      </w:r>
      <w:r>
        <w:rPr>
          <w:rFonts w:eastAsia="仿宋_GB2312"/>
          <w:color w:val="000000"/>
          <w:sz w:val="32"/>
          <w:szCs w:val="32"/>
          <w:lang w:val="zh-TW" w:eastAsia="zh-TW"/>
        </w:rPr>
        <w:t>能力。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（二）牵头单位：</w:t>
      </w:r>
      <w:r>
        <w:rPr>
          <w:rFonts w:eastAsia="仿宋_GB2312"/>
          <w:color w:val="000000"/>
          <w:sz w:val="32"/>
          <w:szCs w:val="32"/>
          <w:lang w:val="zh-TW" w:eastAsia="zh-TW"/>
        </w:rPr>
        <w:t>药品监管司、器械监管司</w:t>
      </w:r>
    </w:p>
    <w:p w:rsidR="00000000" w:rsidRDefault="00A1298E" w:rsidP="00DB5949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  <w:lang w:val="zh-TW"/>
        </w:rPr>
      </w:pPr>
      <w:r>
        <w:rPr>
          <w:rFonts w:eastAsia="楷体_GB2312"/>
          <w:color w:val="000000"/>
          <w:sz w:val="32"/>
          <w:szCs w:val="32"/>
          <w:lang w:val="zh-TW" w:eastAsia="zh-TW"/>
        </w:rPr>
        <w:t>（</w:t>
      </w:r>
      <w:r>
        <w:rPr>
          <w:rFonts w:eastAsia="楷体_GB2312"/>
          <w:color w:val="000000"/>
          <w:sz w:val="32"/>
          <w:szCs w:val="32"/>
          <w:lang w:val="zh-TW"/>
        </w:rPr>
        <w:t>三</w:t>
      </w:r>
      <w:r>
        <w:rPr>
          <w:rFonts w:eastAsia="楷体_GB2312"/>
          <w:color w:val="000000"/>
          <w:sz w:val="32"/>
          <w:szCs w:val="32"/>
          <w:lang w:val="zh-TW" w:eastAsia="zh-TW"/>
        </w:rPr>
        <w:t>）</w:t>
      </w:r>
      <w:r>
        <w:rPr>
          <w:rFonts w:eastAsia="楷体_GB2312"/>
          <w:color w:val="000000"/>
          <w:sz w:val="32"/>
          <w:szCs w:val="32"/>
          <w:lang w:val="zh-TW"/>
        </w:rPr>
        <w:t>实施</w:t>
      </w:r>
      <w:r>
        <w:rPr>
          <w:rFonts w:eastAsia="楷体_GB2312"/>
          <w:color w:val="000000"/>
          <w:sz w:val="32"/>
          <w:szCs w:val="32"/>
          <w:lang w:val="zh-TW" w:eastAsia="zh-TW"/>
        </w:rPr>
        <w:t>单位：</w:t>
      </w:r>
      <w:r>
        <w:rPr>
          <w:rFonts w:eastAsia="仿宋_GB2312"/>
          <w:color w:val="000000"/>
          <w:sz w:val="32"/>
          <w:szCs w:val="32"/>
          <w:lang w:val="zh-TW"/>
        </w:rPr>
        <w:t>评价中心、药审中心、器审中心、中检院、核查中心</w:t>
      </w:r>
    </w:p>
    <w:p w:rsidR="00000000" w:rsidRDefault="00A1298E">
      <w:pPr>
        <w:spacing w:line="560" w:lineRule="exact"/>
        <w:ind w:firstLine="640"/>
        <w:rPr>
          <w:rFonts w:eastAsia="仿宋_GB2312"/>
          <w:color w:val="000000"/>
          <w:sz w:val="32"/>
          <w:szCs w:val="32"/>
          <w:lang w:val="zh-TW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000000" w:rsidRDefault="00A1298E">
      <w:pPr>
        <w:rPr>
          <w:rFonts w:eastAsia="黑体"/>
          <w:sz w:val="30"/>
          <w:szCs w:val="30"/>
        </w:rPr>
      </w:pPr>
    </w:p>
    <w:p w:rsidR="00A1298E" w:rsidRDefault="00A1298E">
      <w:pPr>
        <w:rPr>
          <w:rFonts w:eastAsia="黑体"/>
          <w:sz w:val="30"/>
          <w:szCs w:val="30"/>
        </w:rPr>
      </w:pPr>
      <w:bookmarkStart w:id="11" w:name="_GoBack"/>
      <w:bookmarkEnd w:id="11"/>
    </w:p>
    <w:sectPr w:rsidR="00A1298E">
      <w:footerReference w:type="default" r:id="rId6"/>
      <w:pgSz w:w="11900" w:h="16838"/>
      <w:pgMar w:top="1928" w:right="1531" w:bottom="1814" w:left="1531" w:header="851" w:footer="13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8E" w:rsidRDefault="00A1298E">
      <w:r>
        <w:separator/>
      </w:r>
    </w:p>
  </w:endnote>
  <w:endnote w:type="continuationSeparator" w:id="0">
    <w:p w:rsidR="00A1298E" w:rsidRDefault="00A1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5949">
    <w:pPr>
      <w:tabs>
        <w:tab w:val="center" w:pos="4153"/>
        <w:tab w:val="right" w:pos="8280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3175" t="254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1298E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 w:rsidRPr="00DB594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DB594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DB594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B594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B5949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DB594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5949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DB594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DB5949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DB5949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DB5949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A1298E">
                    <w:pPr>
                      <w:pStyle w:val="a6"/>
                      <w:rPr>
                        <w:rFonts w:hint="eastAsia"/>
                      </w:rPr>
                    </w:pPr>
                    <w:r w:rsidRPr="00DB594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DB594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DB594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DB5949">
                      <w:rPr>
                        <w:sz w:val="28"/>
                        <w:szCs w:val="28"/>
                      </w:rPr>
                      <w:fldChar w:fldCharType="begin"/>
                    </w:r>
                    <w:r w:rsidRPr="00DB5949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DB5949">
                      <w:rPr>
                        <w:sz w:val="28"/>
                        <w:szCs w:val="28"/>
                      </w:rPr>
                      <w:fldChar w:fldCharType="separate"/>
                    </w:r>
                    <w:r w:rsidR="00DB5949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DB5949">
                      <w:rPr>
                        <w:sz w:val="28"/>
                        <w:szCs w:val="28"/>
                      </w:rPr>
                      <w:fldChar w:fldCharType="end"/>
                    </w:r>
                    <w:r w:rsidRPr="00DB5949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DB5949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DB5949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8E" w:rsidRDefault="00A1298E">
      <w:r>
        <w:separator/>
      </w:r>
    </w:p>
  </w:footnote>
  <w:footnote w:type="continuationSeparator" w:id="0">
    <w:p w:rsidR="00A1298E" w:rsidRDefault="00A1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210"/>
  <w:drawingGridVerticalSpacing w:val="-794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0022"/>
    <w:rsid w:val="000335DF"/>
    <w:rsid w:val="00035161"/>
    <w:rsid w:val="0003704E"/>
    <w:rsid w:val="000574F7"/>
    <w:rsid w:val="00061DFE"/>
    <w:rsid w:val="00071507"/>
    <w:rsid w:val="00074D97"/>
    <w:rsid w:val="00076D87"/>
    <w:rsid w:val="0009428B"/>
    <w:rsid w:val="000A2989"/>
    <w:rsid w:val="000A4464"/>
    <w:rsid w:val="000A4FAD"/>
    <w:rsid w:val="000B4396"/>
    <w:rsid w:val="000C1841"/>
    <w:rsid w:val="00101F08"/>
    <w:rsid w:val="00104873"/>
    <w:rsid w:val="00143BFB"/>
    <w:rsid w:val="001666C7"/>
    <w:rsid w:val="00171D86"/>
    <w:rsid w:val="001723F7"/>
    <w:rsid w:val="001754B2"/>
    <w:rsid w:val="00175EF6"/>
    <w:rsid w:val="00185599"/>
    <w:rsid w:val="001A0347"/>
    <w:rsid w:val="001C6B7D"/>
    <w:rsid w:val="00203EBB"/>
    <w:rsid w:val="00221B4C"/>
    <w:rsid w:val="0024221B"/>
    <w:rsid w:val="00261AD8"/>
    <w:rsid w:val="00266D2D"/>
    <w:rsid w:val="00283CBF"/>
    <w:rsid w:val="002A354F"/>
    <w:rsid w:val="002B035C"/>
    <w:rsid w:val="002B3253"/>
    <w:rsid w:val="002D5818"/>
    <w:rsid w:val="002E3B72"/>
    <w:rsid w:val="002E4226"/>
    <w:rsid w:val="002F2CC3"/>
    <w:rsid w:val="00300C24"/>
    <w:rsid w:val="003063A8"/>
    <w:rsid w:val="00316973"/>
    <w:rsid w:val="00317CA7"/>
    <w:rsid w:val="00333067"/>
    <w:rsid w:val="003412EF"/>
    <w:rsid w:val="00343B0E"/>
    <w:rsid w:val="003465C3"/>
    <w:rsid w:val="0035031B"/>
    <w:rsid w:val="0036326B"/>
    <w:rsid w:val="00365874"/>
    <w:rsid w:val="00381E57"/>
    <w:rsid w:val="0039075A"/>
    <w:rsid w:val="0039703E"/>
    <w:rsid w:val="003F5153"/>
    <w:rsid w:val="00400BB6"/>
    <w:rsid w:val="00402F67"/>
    <w:rsid w:val="00406655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F15"/>
    <w:rsid w:val="00512C2E"/>
    <w:rsid w:val="00520E66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93C49"/>
    <w:rsid w:val="005A66E9"/>
    <w:rsid w:val="005C0329"/>
    <w:rsid w:val="005C172C"/>
    <w:rsid w:val="005C1E9F"/>
    <w:rsid w:val="005D344A"/>
    <w:rsid w:val="005D50C9"/>
    <w:rsid w:val="005D7D24"/>
    <w:rsid w:val="005E3E9D"/>
    <w:rsid w:val="005E7595"/>
    <w:rsid w:val="00620134"/>
    <w:rsid w:val="00627D9D"/>
    <w:rsid w:val="00632B3B"/>
    <w:rsid w:val="0064664B"/>
    <w:rsid w:val="00652EEE"/>
    <w:rsid w:val="00660670"/>
    <w:rsid w:val="0067409E"/>
    <w:rsid w:val="00683227"/>
    <w:rsid w:val="00694CA5"/>
    <w:rsid w:val="006A2E3D"/>
    <w:rsid w:val="006C20D6"/>
    <w:rsid w:val="006E0A51"/>
    <w:rsid w:val="006F7A06"/>
    <w:rsid w:val="007045D9"/>
    <w:rsid w:val="00704786"/>
    <w:rsid w:val="007129C4"/>
    <w:rsid w:val="00724899"/>
    <w:rsid w:val="00727597"/>
    <w:rsid w:val="00754F98"/>
    <w:rsid w:val="00766D9A"/>
    <w:rsid w:val="007A3E48"/>
    <w:rsid w:val="007C3B60"/>
    <w:rsid w:val="007C77DD"/>
    <w:rsid w:val="007C7949"/>
    <w:rsid w:val="00810BF8"/>
    <w:rsid w:val="00834B83"/>
    <w:rsid w:val="00843985"/>
    <w:rsid w:val="0086624F"/>
    <w:rsid w:val="00871284"/>
    <w:rsid w:val="0087177C"/>
    <w:rsid w:val="0087484E"/>
    <w:rsid w:val="00874A57"/>
    <w:rsid w:val="00881440"/>
    <w:rsid w:val="008B7435"/>
    <w:rsid w:val="008C461A"/>
    <w:rsid w:val="008D69AA"/>
    <w:rsid w:val="008E4C76"/>
    <w:rsid w:val="008E7729"/>
    <w:rsid w:val="00902736"/>
    <w:rsid w:val="00903996"/>
    <w:rsid w:val="00910D69"/>
    <w:rsid w:val="00913503"/>
    <w:rsid w:val="00926229"/>
    <w:rsid w:val="00935839"/>
    <w:rsid w:val="00944679"/>
    <w:rsid w:val="00953CE3"/>
    <w:rsid w:val="0097437D"/>
    <w:rsid w:val="009A22E6"/>
    <w:rsid w:val="009A2520"/>
    <w:rsid w:val="009A2DB4"/>
    <w:rsid w:val="009A4453"/>
    <w:rsid w:val="009B6E32"/>
    <w:rsid w:val="009C0415"/>
    <w:rsid w:val="009D1D6B"/>
    <w:rsid w:val="009F7B56"/>
    <w:rsid w:val="00A01B9C"/>
    <w:rsid w:val="00A04C8E"/>
    <w:rsid w:val="00A1298E"/>
    <w:rsid w:val="00A1573D"/>
    <w:rsid w:val="00A33460"/>
    <w:rsid w:val="00A344DA"/>
    <w:rsid w:val="00A412EC"/>
    <w:rsid w:val="00A60F9E"/>
    <w:rsid w:val="00A6456B"/>
    <w:rsid w:val="00A646C6"/>
    <w:rsid w:val="00A703C1"/>
    <w:rsid w:val="00A87CF5"/>
    <w:rsid w:val="00A9276E"/>
    <w:rsid w:val="00AA1DD0"/>
    <w:rsid w:val="00AA5D6B"/>
    <w:rsid w:val="00B027D5"/>
    <w:rsid w:val="00B306AC"/>
    <w:rsid w:val="00B51F1D"/>
    <w:rsid w:val="00B5790B"/>
    <w:rsid w:val="00B7175F"/>
    <w:rsid w:val="00B92DE4"/>
    <w:rsid w:val="00B978E2"/>
    <w:rsid w:val="00BA76F9"/>
    <w:rsid w:val="00BB33A4"/>
    <w:rsid w:val="00BC5211"/>
    <w:rsid w:val="00BE381C"/>
    <w:rsid w:val="00BF0CAE"/>
    <w:rsid w:val="00BF3902"/>
    <w:rsid w:val="00C0026F"/>
    <w:rsid w:val="00C04F7F"/>
    <w:rsid w:val="00C334E0"/>
    <w:rsid w:val="00C542E4"/>
    <w:rsid w:val="00C65C49"/>
    <w:rsid w:val="00C72DDC"/>
    <w:rsid w:val="00C766DD"/>
    <w:rsid w:val="00C85A3C"/>
    <w:rsid w:val="00CB042A"/>
    <w:rsid w:val="00CB2F44"/>
    <w:rsid w:val="00CB79BE"/>
    <w:rsid w:val="00CE7EE6"/>
    <w:rsid w:val="00CF61DC"/>
    <w:rsid w:val="00D1160E"/>
    <w:rsid w:val="00D1401C"/>
    <w:rsid w:val="00D1561F"/>
    <w:rsid w:val="00D16D6D"/>
    <w:rsid w:val="00D271C0"/>
    <w:rsid w:val="00D27F0A"/>
    <w:rsid w:val="00D330E7"/>
    <w:rsid w:val="00D367D7"/>
    <w:rsid w:val="00D404B1"/>
    <w:rsid w:val="00D63096"/>
    <w:rsid w:val="00D669CB"/>
    <w:rsid w:val="00D76928"/>
    <w:rsid w:val="00D91F9F"/>
    <w:rsid w:val="00DB5949"/>
    <w:rsid w:val="00DD3744"/>
    <w:rsid w:val="00DE7F37"/>
    <w:rsid w:val="00E035B9"/>
    <w:rsid w:val="00E05A99"/>
    <w:rsid w:val="00E25F5E"/>
    <w:rsid w:val="00E352DB"/>
    <w:rsid w:val="00E71E16"/>
    <w:rsid w:val="00E75376"/>
    <w:rsid w:val="00EA11DA"/>
    <w:rsid w:val="00EA2ACC"/>
    <w:rsid w:val="00EB16E3"/>
    <w:rsid w:val="00EB423B"/>
    <w:rsid w:val="00EE420F"/>
    <w:rsid w:val="00EF0F48"/>
    <w:rsid w:val="00EF6714"/>
    <w:rsid w:val="00F32236"/>
    <w:rsid w:val="00F41AD8"/>
    <w:rsid w:val="00F42D26"/>
    <w:rsid w:val="00F5495A"/>
    <w:rsid w:val="00F64776"/>
    <w:rsid w:val="00F70CB3"/>
    <w:rsid w:val="00F81A04"/>
    <w:rsid w:val="00F8709A"/>
    <w:rsid w:val="00F94606"/>
    <w:rsid w:val="00FA1F2D"/>
    <w:rsid w:val="00FA60C8"/>
    <w:rsid w:val="00FC1DD1"/>
    <w:rsid w:val="00FD08E1"/>
    <w:rsid w:val="00FD443E"/>
    <w:rsid w:val="00FE3321"/>
    <w:rsid w:val="00FE7AE7"/>
    <w:rsid w:val="00FF2072"/>
    <w:rsid w:val="236B7FDA"/>
    <w:rsid w:val="273F9F3F"/>
    <w:rsid w:val="2D7FA4F3"/>
    <w:rsid w:val="2FEA2721"/>
    <w:rsid w:val="35FE8930"/>
    <w:rsid w:val="37C733A1"/>
    <w:rsid w:val="3E75547B"/>
    <w:rsid w:val="3F4351B6"/>
    <w:rsid w:val="3F5FC5D4"/>
    <w:rsid w:val="3FDD078F"/>
    <w:rsid w:val="3FE56F4E"/>
    <w:rsid w:val="3FF7BCE3"/>
    <w:rsid w:val="44530C10"/>
    <w:rsid w:val="4D6140A1"/>
    <w:rsid w:val="4FFC1901"/>
    <w:rsid w:val="565C240E"/>
    <w:rsid w:val="57EB811D"/>
    <w:rsid w:val="5A84016C"/>
    <w:rsid w:val="5B447403"/>
    <w:rsid w:val="5F67A418"/>
    <w:rsid w:val="5FF74E50"/>
    <w:rsid w:val="64FB587A"/>
    <w:rsid w:val="65FFE94A"/>
    <w:rsid w:val="67A41714"/>
    <w:rsid w:val="690C630C"/>
    <w:rsid w:val="6B769FD5"/>
    <w:rsid w:val="6BB76FCA"/>
    <w:rsid w:val="6CB9D6CD"/>
    <w:rsid w:val="709B3342"/>
    <w:rsid w:val="76BA70D0"/>
    <w:rsid w:val="77E733C5"/>
    <w:rsid w:val="7B5DDBD3"/>
    <w:rsid w:val="7B72FAC6"/>
    <w:rsid w:val="7DF7847A"/>
    <w:rsid w:val="7DFE47A6"/>
    <w:rsid w:val="7E7FF1C8"/>
    <w:rsid w:val="7F29E7C7"/>
    <w:rsid w:val="7FACCBEB"/>
    <w:rsid w:val="7FFEE6A0"/>
    <w:rsid w:val="7FFF2E82"/>
    <w:rsid w:val="94EB22A5"/>
    <w:rsid w:val="A9BD2217"/>
    <w:rsid w:val="BEAEB35C"/>
    <w:rsid w:val="BEEE3B1E"/>
    <w:rsid w:val="DE775529"/>
    <w:rsid w:val="DFC7A2F8"/>
    <w:rsid w:val="DFDFD2D6"/>
    <w:rsid w:val="EB3F2329"/>
    <w:rsid w:val="ED8D9D7E"/>
    <w:rsid w:val="EF3B99A3"/>
    <w:rsid w:val="EFFF3498"/>
    <w:rsid w:val="F6B13D6B"/>
    <w:rsid w:val="F7DB8EDC"/>
    <w:rsid w:val="F7F5E3C4"/>
    <w:rsid w:val="F9FD7643"/>
    <w:rsid w:val="FBFC1B8F"/>
    <w:rsid w:val="FD5DAFC0"/>
    <w:rsid w:val="FD77B363"/>
    <w:rsid w:val="FD971C47"/>
    <w:rsid w:val="FDBE7693"/>
    <w:rsid w:val="FECBBE77"/>
    <w:rsid w:val="FFB74C78"/>
    <w:rsid w:val="FFD7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72793-9918-4393-BB67-A9053E9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qFormat/>
    <w:pPr>
      <w:widowControl w:val="0"/>
      <w:spacing w:line="540" w:lineRule="exact"/>
      <w:ind w:firstLine="640"/>
      <w:jc w:val="both"/>
      <w:outlineLvl w:val="0"/>
    </w:pPr>
    <w:rPr>
      <w:rFonts w:ascii="黑体" w:eastAsia="黑体" w:hAnsi="黑体" w:cs="黑体"/>
      <w:color w:val="000000"/>
      <w:sz w:val="32"/>
      <w:szCs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334</Words>
  <Characters>1904</Characters>
  <Application>Microsoft Office Word</Application>
  <DocSecurity>0</DocSecurity>
  <Lines>15</Lines>
  <Paragraphs>4</Paragraphs>
  <ScaleCrop>false</ScaleCrop>
  <Company>Xtzj.Com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2021-06-25T22:38:00Z</cp:lastPrinted>
  <dcterms:created xsi:type="dcterms:W3CDTF">2021-06-28T09:30:00Z</dcterms:created>
  <dcterms:modified xsi:type="dcterms:W3CDTF">2021-06-28T09:30:00Z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