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0"/>
        <w:rPr>
          <w:rFonts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0"/>
        <w:jc w:val="center"/>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涉活性炭吸附排污单位的排污许可管理要求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一、涉活性炭吸附排污单位的排污许可证填报要求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排污单位应根据废气活性炭吸附处理设施设计方案确定活性炭更换周期，并在排污许可证申领填报系统固体废弃物污染物排放信息-申请排放信息模块中，“固体废物排放信息表”中“其他信息”对应废活性炭填报处填报活性炭更换周期，并在附件中上传废气活性炭吸附处理设施设计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排污单位无废气处理设施设计方案或实际建设情况与设计方案不符时，参照以下公式计算活性炭更换周期，并在附件中上传计算过程，计算中动态吸附量取值高于10%的应上传含有动态吸附量取值依据的活性炭性能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T=m×s÷（c×10-6×Q×t）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式中：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T—更换周期，天；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m—活性炭的用量，kg；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s—动态吸附量，%；（一般取值10%）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c—活性炭削减的VOCs浓度，mg/m3；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Q—风量，单位m3/h；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t—运行时间，单位h/d。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计算示例：下表中，后四组分别对第一组数据的活性炭用量、活性炭削减VOCs浓度、风量、运行时间进行改变，得出不同的更换周期。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0"/>
        <w:jc w:val="center"/>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表1  不同条件下活性炭更换周期计算案例</w:t>
      </w:r>
    </w:p>
    <w:tbl>
      <w:tblP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50"/>
        <w:gridCol w:w="1395"/>
        <w:gridCol w:w="1395"/>
        <w:gridCol w:w="1395"/>
        <w:gridCol w:w="1395"/>
        <w:gridCol w:w="139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rPr>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序号</w:t>
            </w:r>
          </w:p>
        </w:tc>
        <w:tc>
          <w:tcPr>
            <w:tcW w:w="13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活性炭用量（</w:t>
            </w:r>
            <w:r>
              <w:rPr>
                <w:rFonts w:hint="default" w:ascii="Times New Roman" w:hAnsi="Times New Roman" w:eastAsia="微软雅黑" w:cs="Times New Roman"/>
                <w:i w:val="0"/>
                <w:iCs w:val="0"/>
                <w:caps w:val="0"/>
                <w:color w:val="4A4949"/>
                <w:spacing w:val="0"/>
                <w:sz w:val="24"/>
                <w:szCs w:val="24"/>
                <w:bdr w:val="none" w:color="auto" w:sz="0" w:space="0"/>
              </w:rPr>
              <w:t>kg</w:t>
            </w:r>
            <w:r>
              <w:rPr>
                <w:rFonts w:hint="eastAsia" w:ascii="宋体" w:hAnsi="宋体" w:eastAsia="宋体" w:cs="宋体"/>
                <w:i w:val="0"/>
                <w:iCs w:val="0"/>
                <w:caps w:val="0"/>
                <w:color w:val="4A4949"/>
                <w:spacing w:val="0"/>
                <w:sz w:val="24"/>
                <w:szCs w:val="24"/>
                <w:bdr w:val="none" w:color="auto" w:sz="0" w:space="0"/>
              </w:rPr>
              <w:t>）</w:t>
            </w:r>
          </w:p>
        </w:tc>
        <w:tc>
          <w:tcPr>
            <w:tcW w:w="13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动态吸附量（</w:t>
            </w:r>
            <w:r>
              <w:rPr>
                <w:rFonts w:hint="default" w:ascii="Times New Roman" w:hAnsi="Times New Roman" w:eastAsia="微软雅黑" w:cs="Times New Roman"/>
                <w:i w:val="0"/>
                <w:iCs w:val="0"/>
                <w:caps w:val="0"/>
                <w:color w:val="4A4949"/>
                <w:spacing w:val="0"/>
                <w:sz w:val="24"/>
                <w:szCs w:val="24"/>
                <w:bdr w:val="none" w:color="auto" w:sz="0" w:space="0"/>
              </w:rPr>
              <w:t>%</w:t>
            </w:r>
            <w:r>
              <w:rPr>
                <w:rFonts w:hint="eastAsia" w:ascii="宋体" w:hAnsi="宋体" w:eastAsia="宋体" w:cs="宋体"/>
                <w:i w:val="0"/>
                <w:iCs w:val="0"/>
                <w:caps w:val="0"/>
                <w:color w:val="4A4949"/>
                <w:spacing w:val="0"/>
                <w:sz w:val="24"/>
                <w:szCs w:val="24"/>
                <w:bdr w:val="none" w:color="auto" w:sz="0" w:space="0"/>
              </w:rPr>
              <w:t>）</w:t>
            </w:r>
          </w:p>
        </w:tc>
        <w:tc>
          <w:tcPr>
            <w:tcW w:w="13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24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活性炭削减</w:t>
            </w:r>
            <w:r>
              <w:rPr>
                <w:rFonts w:hint="default" w:ascii="Times New Roman" w:hAnsi="Times New Roman" w:eastAsia="微软雅黑" w:cs="Times New Roman"/>
                <w:i w:val="0"/>
                <w:iCs w:val="0"/>
                <w:caps w:val="0"/>
                <w:color w:val="4A4949"/>
                <w:spacing w:val="0"/>
                <w:sz w:val="24"/>
                <w:szCs w:val="24"/>
                <w:bdr w:val="none" w:color="auto" w:sz="0" w:space="0"/>
              </w:rPr>
              <w:t>VOCs</w:t>
            </w:r>
            <w:r>
              <w:rPr>
                <w:rFonts w:hint="eastAsia" w:ascii="宋体" w:hAnsi="宋体" w:eastAsia="宋体" w:cs="宋体"/>
                <w:i w:val="0"/>
                <w:iCs w:val="0"/>
                <w:caps w:val="0"/>
                <w:color w:val="4A4949"/>
                <w:spacing w:val="0"/>
                <w:sz w:val="24"/>
                <w:szCs w:val="24"/>
                <w:bdr w:val="none" w:color="auto" w:sz="0" w:space="0"/>
              </w:rPr>
              <w:t>浓度（</w:t>
            </w:r>
            <w:r>
              <w:rPr>
                <w:rFonts w:hint="default" w:ascii="Times New Roman" w:hAnsi="Times New Roman" w:eastAsia="微软雅黑" w:cs="Times New Roman"/>
                <w:i w:val="0"/>
                <w:iCs w:val="0"/>
                <w:caps w:val="0"/>
                <w:color w:val="4A4949"/>
                <w:spacing w:val="0"/>
                <w:sz w:val="24"/>
                <w:szCs w:val="24"/>
                <w:bdr w:val="none" w:color="auto" w:sz="0" w:space="0"/>
              </w:rPr>
              <w:t>mg/m</w:t>
            </w:r>
            <w:r>
              <w:rPr>
                <w:rFonts w:hint="eastAsia" w:ascii="微软雅黑" w:hAnsi="微软雅黑" w:eastAsia="微软雅黑" w:cs="微软雅黑"/>
                <w:i w:val="0"/>
                <w:iCs w:val="0"/>
                <w:caps w:val="0"/>
                <w:color w:val="4A4949"/>
                <w:spacing w:val="0"/>
                <w:sz w:val="24"/>
                <w:szCs w:val="24"/>
                <w:bdr w:val="none" w:color="auto" w:sz="0" w:space="0"/>
              </w:rPr>
              <w:t>3）</w:t>
            </w:r>
          </w:p>
        </w:tc>
        <w:tc>
          <w:tcPr>
            <w:tcW w:w="13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风量（</w:t>
            </w:r>
            <w:r>
              <w:rPr>
                <w:rFonts w:hint="default" w:ascii="Times New Roman" w:hAnsi="Times New Roman" w:eastAsia="微软雅黑" w:cs="Times New Roman"/>
                <w:i w:val="0"/>
                <w:iCs w:val="0"/>
                <w:caps w:val="0"/>
                <w:color w:val="4A4949"/>
                <w:spacing w:val="0"/>
                <w:sz w:val="24"/>
                <w:szCs w:val="24"/>
                <w:bdr w:val="none" w:color="auto" w:sz="0" w:space="0"/>
              </w:rPr>
              <w:t>m</w:t>
            </w:r>
            <w:r>
              <w:rPr>
                <w:rFonts w:hint="eastAsia" w:ascii="微软雅黑" w:hAnsi="微软雅黑" w:eastAsia="微软雅黑" w:cs="微软雅黑"/>
                <w:i w:val="0"/>
                <w:iCs w:val="0"/>
                <w:caps w:val="0"/>
                <w:color w:val="4A4949"/>
                <w:spacing w:val="0"/>
                <w:sz w:val="24"/>
                <w:szCs w:val="24"/>
                <w:bdr w:val="none" w:color="auto" w:sz="0" w:space="0"/>
              </w:rPr>
              <w:t>3/h</w:t>
            </w:r>
            <w:r>
              <w:rPr>
                <w:rFonts w:hint="eastAsia" w:ascii="宋体" w:hAnsi="宋体" w:eastAsia="宋体" w:cs="宋体"/>
                <w:i w:val="0"/>
                <w:iCs w:val="0"/>
                <w:caps w:val="0"/>
                <w:color w:val="4A4949"/>
                <w:spacing w:val="0"/>
                <w:sz w:val="24"/>
                <w:szCs w:val="24"/>
                <w:bdr w:val="none" w:color="auto" w:sz="0" w:space="0"/>
              </w:rPr>
              <w:t>）</w:t>
            </w:r>
          </w:p>
        </w:tc>
        <w:tc>
          <w:tcPr>
            <w:tcW w:w="13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运行时间（</w:t>
            </w:r>
            <w:r>
              <w:rPr>
                <w:rFonts w:hint="default" w:ascii="Times New Roman" w:hAnsi="Times New Roman" w:eastAsia="微软雅黑" w:cs="Times New Roman"/>
                <w:i w:val="0"/>
                <w:iCs w:val="0"/>
                <w:caps w:val="0"/>
                <w:color w:val="4A4949"/>
                <w:spacing w:val="0"/>
                <w:sz w:val="24"/>
                <w:szCs w:val="24"/>
                <w:bdr w:val="none" w:color="auto" w:sz="0" w:space="0"/>
              </w:rPr>
              <w:t>h/d)</w:t>
            </w:r>
          </w:p>
        </w:tc>
        <w:tc>
          <w:tcPr>
            <w:tcW w:w="14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更换周期（天）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650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120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250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24</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2</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850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120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250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24</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3</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650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90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250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24</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4</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650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120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350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24</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5</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650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120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250</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12</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420" w:lineRule="atLeast"/>
              <w:ind w:left="0" w:right="0" w:firstLine="0"/>
              <w:jc w:val="center"/>
              <w:rPr>
                <w:color w:val="4A4949"/>
                <w:sz w:val="24"/>
                <w:szCs w:val="24"/>
              </w:rPr>
            </w:pPr>
            <w:r>
              <w:rPr>
                <w:rFonts w:hint="eastAsia" w:ascii="微软雅黑" w:hAnsi="微软雅黑" w:eastAsia="微软雅黑" w:cs="微软雅黑"/>
                <w:i w:val="0"/>
                <w:iCs w:val="0"/>
                <w:caps w:val="0"/>
                <w:color w:val="4A4949"/>
                <w:spacing w:val="0"/>
                <w:sz w:val="24"/>
                <w:szCs w:val="24"/>
                <w:bdr w:val="none" w:color="auto" w:sz="0" w:space="0"/>
              </w:rPr>
              <w:t>181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jc w:val="left"/>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二、涉活性炭吸附排污单位的环境管理台账要求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jc w:val="left"/>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根据《排污许可管理条例》、《关于印发&lt;重点行业挥发性有机物综合治理方案&gt;的通知》（环大气〔2019〕53号）及《挥发性有机物治理实用手册》中的要求，排污单位应建立环境管理台账记录制度，对吸附剂种类及填装情况，一次性吸附剂更换时间和更换量，再生型吸附剂再生周期、更换情况，废吸附剂储存、处置情况，进行详细记录并妥善保存。环境管理台账记录保存期限不得少于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jc w:val="left"/>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三、涉活性炭吸附排污单位的执行报告填报要求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0" w:afterAutospacing="0" w:line="420" w:lineRule="atLeast"/>
        <w:ind w:left="0" w:right="0" w:firstLine="420"/>
        <w:jc w:val="left"/>
        <w:rPr>
          <w:rFonts w:hint="eastAsia" w:ascii="微软雅黑" w:hAnsi="微软雅黑" w:eastAsia="微软雅黑" w:cs="微软雅黑"/>
          <w:i w:val="0"/>
          <w:iCs w:val="0"/>
          <w:caps w:val="0"/>
          <w:color w:val="4A4949"/>
          <w:spacing w:val="0"/>
          <w:sz w:val="24"/>
          <w:szCs w:val="24"/>
        </w:rPr>
      </w:pPr>
      <w:r>
        <w:rPr>
          <w:rFonts w:hint="eastAsia" w:ascii="微软雅黑" w:hAnsi="微软雅黑" w:eastAsia="微软雅黑" w:cs="微软雅黑"/>
          <w:i w:val="0"/>
          <w:iCs w:val="0"/>
          <w:caps w:val="0"/>
          <w:color w:val="4A4949"/>
          <w:spacing w:val="0"/>
          <w:sz w:val="24"/>
          <w:szCs w:val="24"/>
          <w:bdr w:val="none" w:color="auto" w:sz="0" w:space="0"/>
          <w:shd w:val="clear" w:fill="FFFFFF"/>
        </w:rPr>
        <w:t>排污单位在填报执行报告年报时，应在污染防治设施运行情况-污染治理设施正常运转信息模块，“废气污染治理设施正常运转情况表”涉及活性炭吸附处理设施的信息填报中，填报设施运行时间、运行费用、去除效率和废活性炭产生量等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3612E"/>
    <w:rsid w:val="1DA472E6"/>
    <w:rsid w:val="5233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2021-07-20T07:16:00Z</dcterms:created>
  <dc:creator>Whale Fall</dc:creator>
  <cp:lastModifiedBy>Whale Fall</cp:lastModifiedBy>
  <dcterms:modified xsi:type="dcterms:W3CDTF">2021-07-20T07:18:04Z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051B52FC9DDF4729AF9F6D5DA5C2F071</vt:lpwstr>
  </property>
</Properties>
</file>