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57FB" w:rsidRDefault="00FD5CC5" w:rsidP="004157FB">
      <w:pPr>
        <w:spacing w:line="600" w:lineRule="exact"/>
        <w:jc w:val="center"/>
        <w:rPr>
          <w:rFonts w:ascii="方正小标宋_GBK" w:eastAsia="方正小标宋_GBK" w:hAnsi="方正小标宋_GBK" w:cs="方正小标宋_GBK"/>
          <w:b/>
          <w:bCs/>
          <w:sz w:val="36"/>
          <w:szCs w:val="36"/>
        </w:rPr>
      </w:pPr>
      <w:r w:rsidRPr="00FD5CC5">
        <w:rPr>
          <w:rFonts w:ascii="方正小标宋_GBK" w:eastAsia="方正小标宋_GBK" w:hAnsi="方正小标宋_GBK" w:cs="方正小标宋_GBK" w:hint="eastAsia"/>
          <w:b/>
          <w:bCs/>
          <w:sz w:val="36"/>
          <w:szCs w:val="36"/>
        </w:rPr>
        <w:t>中国人民银行 国家外汇管理局关于银行业金融机构境外贷款业务有关事宜的</w:t>
      </w:r>
      <w:r w:rsidR="00A9571E">
        <w:rPr>
          <w:rFonts w:ascii="方正小标宋_GBK" w:eastAsia="方正小标宋_GBK" w:hAnsi="方正小标宋_GBK" w:cs="方正小标宋_GBK" w:hint="eastAsia"/>
          <w:b/>
          <w:bCs/>
          <w:sz w:val="36"/>
          <w:szCs w:val="36"/>
        </w:rPr>
        <w:t>规定</w:t>
      </w:r>
    </w:p>
    <w:p w:rsidR="004157FB" w:rsidRDefault="00AC2E29" w:rsidP="004157FB">
      <w:pPr>
        <w:spacing w:line="600" w:lineRule="exact"/>
        <w:jc w:val="center"/>
        <w:outlineLvl w:val="0"/>
        <w:rPr>
          <w:rFonts w:ascii="楷体" w:eastAsia="楷体" w:hAnsi="楷体" w:cs="楷体"/>
          <w:sz w:val="32"/>
          <w:szCs w:val="32"/>
        </w:rPr>
      </w:pPr>
      <w:r>
        <w:rPr>
          <w:rFonts w:ascii="楷体" w:eastAsia="楷体" w:hAnsi="楷体" w:cs="楷体" w:hint="eastAsia"/>
          <w:sz w:val="32"/>
          <w:szCs w:val="32"/>
        </w:rPr>
        <w:t>（</w:t>
      </w:r>
      <w:r w:rsidR="00211F35">
        <w:rPr>
          <w:rFonts w:ascii="楷体" w:eastAsia="楷体" w:hAnsi="楷体" w:cs="楷体" w:hint="eastAsia"/>
          <w:sz w:val="32"/>
          <w:szCs w:val="32"/>
        </w:rPr>
        <w:t>征求意见稿</w:t>
      </w:r>
      <w:r>
        <w:rPr>
          <w:rFonts w:ascii="楷体" w:eastAsia="楷体" w:hAnsi="楷体" w:cs="楷体" w:hint="eastAsia"/>
          <w:sz w:val="32"/>
          <w:szCs w:val="32"/>
        </w:rPr>
        <w:t>）</w:t>
      </w:r>
    </w:p>
    <w:p w:rsidR="004157FB" w:rsidRDefault="004157FB" w:rsidP="004157FB">
      <w:pPr>
        <w:spacing w:line="600" w:lineRule="exact"/>
        <w:jc w:val="center"/>
        <w:rPr>
          <w:rFonts w:ascii="宋体" w:hAnsi="宋体" w:cs="宋体"/>
          <w:b/>
          <w:bCs/>
          <w:sz w:val="32"/>
          <w:szCs w:val="32"/>
        </w:rPr>
      </w:pPr>
    </w:p>
    <w:p w:rsidR="004157FB" w:rsidRDefault="00AC2E29" w:rsidP="004157F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w:t>
      </w:r>
      <w:r w:rsidR="00C1097A">
        <w:rPr>
          <w:rFonts w:ascii="仿宋_GB2312" w:eastAsia="仿宋_GB2312" w:hAnsi="仿宋_GB2312" w:cs="仿宋_GB2312" w:hint="eastAsia"/>
          <w:sz w:val="32"/>
          <w:szCs w:val="32"/>
        </w:rPr>
        <w:t>推动形成以国内大循环为主体、国内国际双循环相互促进的新发展格局，切实发挥跨境业务服务实体经济、促进贸易投资便利化的作用，</w:t>
      </w:r>
      <w:r>
        <w:rPr>
          <w:rFonts w:ascii="仿宋_GB2312" w:eastAsia="仿宋_GB2312" w:hAnsi="仿宋_GB2312" w:cs="仿宋_GB2312" w:hint="eastAsia"/>
          <w:sz w:val="32"/>
          <w:szCs w:val="32"/>
        </w:rPr>
        <w:t>进一步</w:t>
      </w:r>
      <w:r w:rsidR="00117677">
        <w:rPr>
          <w:rFonts w:ascii="仿宋_GB2312" w:eastAsia="仿宋_GB2312" w:hAnsi="仿宋_GB2312" w:cs="仿宋_GB2312" w:hint="eastAsia"/>
          <w:sz w:val="32"/>
          <w:szCs w:val="32"/>
        </w:rPr>
        <w:t>支持和规范</w:t>
      </w:r>
      <w:r>
        <w:rPr>
          <w:rFonts w:ascii="仿宋_GB2312" w:eastAsia="仿宋_GB2312" w:hAnsi="仿宋_GB2312" w:cs="仿宋_GB2312" w:hint="eastAsia"/>
          <w:sz w:val="32"/>
          <w:szCs w:val="32"/>
        </w:rPr>
        <w:t>境内银行业金融机构（以下简称境内银行）开展境外贷款业务，现就有关事项</w:t>
      </w:r>
      <w:r w:rsidR="00F34939">
        <w:rPr>
          <w:rFonts w:ascii="仿宋_GB2312" w:eastAsia="仿宋_GB2312" w:hAnsi="仿宋_GB2312" w:cs="仿宋_GB2312" w:hint="eastAsia"/>
          <w:sz w:val="32"/>
          <w:szCs w:val="32"/>
        </w:rPr>
        <w:t>规定</w:t>
      </w:r>
      <w:r>
        <w:rPr>
          <w:rFonts w:ascii="仿宋_GB2312" w:eastAsia="仿宋_GB2312" w:hAnsi="仿宋_GB2312" w:cs="仿宋_GB2312" w:hint="eastAsia"/>
          <w:sz w:val="32"/>
          <w:szCs w:val="32"/>
        </w:rPr>
        <w:t>如下：</w:t>
      </w:r>
    </w:p>
    <w:p w:rsidR="004157FB" w:rsidRDefault="00AC2E29" w:rsidP="004157FB">
      <w:pPr>
        <w:numPr>
          <w:ilvl w:val="0"/>
          <w:numId w:val="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sidR="00F34939">
        <w:rPr>
          <w:rFonts w:ascii="仿宋_GB2312" w:eastAsia="仿宋_GB2312" w:hAnsi="仿宋_GB2312" w:cs="仿宋_GB2312" w:hint="eastAsia"/>
          <w:sz w:val="32"/>
          <w:szCs w:val="32"/>
        </w:rPr>
        <w:t>规定</w:t>
      </w:r>
      <w:r>
        <w:rPr>
          <w:rFonts w:ascii="仿宋_GB2312" w:eastAsia="仿宋_GB2312" w:hAnsi="仿宋_GB2312" w:cs="仿宋_GB2312" w:hint="eastAsia"/>
          <w:sz w:val="32"/>
          <w:szCs w:val="32"/>
        </w:rPr>
        <w:t>所称境外贷款业务是指</w:t>
      </w:r>
      <w:r w:rsidR="005C3839">
        <w:rPr>
          <w:rFonts w:ascii="仿宋_GB2312" w:eastAsia="仿宋_GB2312" w:hAnsi="仿宋_GB2312" w:cs="仿宋_GB2312" w:hint="eastAsia"/>
          <w:sz w:val="32"/>
          <w:szCs w:val="32"/>
        </w:rPr>
        <w:t>具备国际结算业务</w:t>
      </w:r>
      <w:r w:rsidR="00580E5F">
        <w:rPr>
          <w:rFonts w:ascii="仿宋_GB2312" w:eastAsia="仿宋_GB2312" w:hAnsi="仿宋_GB2312" w:cs="仿宋_GB2312" w:hint="eastAsia"/>
          <w:sz w:val="32"/>
          <w:szCs w:val="32"/>
        </w:rPr>
        <w:t>能力的境内银行在经批准的经营范围内直接向境外企业发放本外币贷款，或通过向</w:t>
      </w:r>
      <w:r w:rsidR="00580E5F">
        <w:rPr>
          <w:rFonts w:ascii="仿宋_GB2312" w:eastAsia="仿宋_GB2312" w:hAnsi="仿宋_GB2312" w:cs="仿宋_GB2312" w:hint="eastAsia"/>
          <w:bCs/>
          <w:sz w:val="32"/>
          <w:szCs w:val="32"/>
        </w:rPr>
        <w:t>境外银行融出资金等方式间接</w:t>
      </w:r>
      <w:r w:rsidR="00580E5F">
        <w:rPr>
          <w:rFonts w:ascii="仿宋_GB2312" w:eastAsia="仿宋_GB2312" w:hAnsi="仿宋_GB2312" w:cs="仿宋_GB2312" w:hint="eastAsia"/>
          <w:sz w:val="32"/>
          <w:szCs w:val="32"/>
        </w:rPr>
        <w:t>向境外企业发放一年期以上本外币贷款的行为，不包括银行基于真实跨境贸易结算办理的贸易融资。</w:t>
      </w:r>
    </w:p>
    <w:p w:rsidR="004157FB" w:rsidRDefault="00AC2E29" w:rsidP="004157FB">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本</w:t>
      </w:r>
      <w:r w:rsidR="00F34939">
        <w:rPr>
          <w:rFonts w:ascii="仿宋_GB2312" w:eastAsia="仿宋_GB2312" w:hAnsi="仿宋_GB2312" w:cs="仿宋_GB2312" w:hint="eastAsia"/>
          <w:sz w:val="32"/>
          <w:szCs w:val="32"/>
        </w:rPr>
        <w:t>规定</w:t>
      </w:r>
      <w:r>
        <w:rPr>
          <w:rFonts w:ascii="仿宋_GB2312" w:eastAsia="仿宋_GB2312" w:hAnsi="仿宋_GB2312" w:cs="仿宋_GB2312" w:hint="eastAsia"/>
          <w:sz w:val="32"/>
          <w:szCs w:val="32"/>
        </w:rPr>
        <w:t>所称境外</w:t>
      </w:r>
      <w:r w:rsidR="000927FB">
        <w:rPr>
          <w:rFonts w:ascii="仿宋_GB2312" w:eastAsia="仿宋_GB2312" w:hAnsi="仿宋_GB2312" w:cs="仿宋_GB2312" w:hint="eastAsia"/>
          <w:sz w:val="32"/>
          <w:szCs w:val="32"/>
        </w:rPr>
        <w:t>企业</w:t>
      </w:r>
      <w:r>
        <w:rPr>
          <w:rFonts w:ascii="仿宋_GB2312" w:eastAsia="仿宋_GB2312" w:hAnsi="仿宋_GB2312" w:cs="仿宋_GB2312" w:hint="eastAsia"/>
          <w:sz w:val="32"/>
          <w:szCs w:val="32"/>
        </w:rPr>
        <w:t>是指在中华人民共和国境外（含香港、澳门和台湾地区）合法注册成立的非金融企业</w:t>
      </w:r>
      <w:r w:rsidR="00257332">
        <w:rPr>
          <w:rFonts w:ascii="仿宋_GB2312" w:eastAsia="仿宋_GB2312" w:hAnsi="仿宋_GB2312" w:cs="仿宋_GB2312" w:hint="eastAsia"/>
          <w:bCs/>
          <w:sz w:val="32"/>
          <w:szCs w:val="32"/>
        </w:rPr>
        <w:t>。</w:t>
      </w:r>
    </w:p>
    <w:p w:rsidR="004157FB" w:rsidRDefault="00AC2E29" w:rsidP="004157FB">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602303">
        <w:rPr>
          <w:rFonts w:ascii="仿宋_GB2312" w:eastAsia="仿宋_GB2312" w:hAnsi="仿宋_GB2312" w:cs="仿宋_GB2312" w:hint="eastAsia"/>
          <w:sz w:val="32"/>
          <w:szCs w:val="32"/>
        </w:rPr>
        <w:t>二</w:t>
      </w:r>
      <w:r w:rsidR="0011767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境内</w:t>
      </w:r>
      <w:r w:rsidRPr="00FD332E">
        <w:rPr>
          <w:rFonts w:ascii="仿宋_GB2312" w:eastAsia="仿宋_GB2312" w:hAnsi="仿宋_GB2312" w:cs="仿宋_GB2312" w:hint="eastAsia"/>
          <w:sz w:val="32"/>
          <w:szCs w:val="32"/>
        </w:rPr>
        <w:t>银行</w:t>
      </w:r>
      <w:r w:rsidR="00FD332E" w:rsidRPr="00FD332E">
        <w:rPr>
          <w:rFonts w:ascii="仿宋_GB2312" w:eastAsia="仿宋_GB2312" w:hint="eastAsia"/>
          <w:color w:val="000000"/>
          <w:sz w:val="32"/>
          <w:szCs w:val="32"/>
        </w:rPr>
        <w:t>应按照宏观审慎的原则，综合考虑资产负债情况和币种结构等各方面因素，</w:t>
      </w:r>
      <w:r w:rsidR="00FD332E" w:rsidRPr="00FD332E">
        <w:rPr>
          <w:rFonts w:eastAsia="仿宋_GB2312" w:hint="eastAsia"/>
          <w:color w:val="000000"/>
          <w:sz w:val="32"/>
          <w:szCs w:val="32"/>
        </w:rPr>
        <w:t>统筹境内、外业务发展，</w:t>
      </w:r>
      <w:r w:rsidR="00301700" w:rsidRPr="00FD332E">
        <w:rPr>
          <w:rFonts w:ascii="仿宋_GB2312" w:eastAsia="仿宋_GB2312" w:hAnsi="仿宋_GB2312" w:cs="仿宋_GB2312" w:hint="eastAsia"/>
          <w:sz w:val="32"/>
          <w:szCs w:val="32"/>
        </w:rPr>
        <w:t>在</w:t>
      </w:r>
      <w:r w:rsidR="00640E18" w:rsidRPr="00FD332E">
        <w:rPr>
          <w:rFonts w:ascii="仿宋_GB2312" w:eastAsia="仿宋_GB2312" w:hAnsi="仿宋_GB2312" w:cs="仿宋_GB2312" w:hint="eastAsia"/>
          <w:sz w:val="32"/>
          <w:szCs w:val="32"/>
        </w:rPr>
        <w:t>境外贷款余额上限</w:t>
      </w:r>
      <w:r w:rsidR="00301700" w:rsidRPr="00FD332E">
        <w:rPr>
          <w:rFonts w:ascii="仿宋_GB2312" w:eastAsia="仿宋_GB2312" w:hAnsi="仿宋_GB2312" w:cs="仿宋_GB2312" w:hint="eastAsia"/>
          <w:sz w:val="32"/>
          <w:szCs w:val="32"/>
        </w:rPr>
        <w:t>内按</w:t>
      </w:r>
      <w:r w:rsidR="005E09EC" w:rsidRPr="00FD332E">
        <w:rPr>
          <w:rFonts w:ascii="仿宋_GB2312" w:eastAsia="仿宋_GB2312" w:hAnsi="仿宋_GB2312" w:cs="仿宋_GB2312" w:hint="eastAsia"/>
          <w:sz w:val="32"/>
          <w:szCs w:val="32"/>
        </w:rPr>
        <w:t>规定</w:t>
      </w:r>
      <w:r w:rsidRPr="00FD332E">
        <w:rPr>
          <w:rFonts w:ascii="仿宋_GB2312" w:eastAsia="仿宋_GB2312" w:hAnsi="仿宋_GB2312" w:cs="仿宋_GB2312" w:hint="eastAsia"/>
          <w:sz w:val="32"/>
          <w:szCs w:val="32"/>
        </w:rPr>
        <w:t>自主开展境外贷款业务</w:t>
      </w:r>
      <w:r w:rsidR="004A1901">
        <w:rPr>
          <w:rFonts w:ascii="仿宋_GB2312" w:eastAsia="仿宋_GB2312" w:hAnsi="仿宋_GB2312" w:cs="仿宋_GB2312" w:hint="eastAsia"/>
          <w:sz w:val="32"/>
          <w:szCs w:val="32"/>
        </w:rPr>
        <w:t>，</w:t>
      </w:r>
      <w:r w:rsidR="00D33C80" w:rsidRPr="00D4163F">
        <w:rPr>
          <w:rFonts w:ascii="仿宋_GB2312" w:eastAsia="仿宋_GB2312" w:hAnsi="仿宋_GB2312" w:cs="仿宋_GB2312" w:hint="eastAsia"/>
          <w:sz w:val="32"/>
          <w:szCs w:val="32"/>
        </w:rPr>
        <w:t>鼓励对有实际需求的</w:t>
      </w:r>
      <w:r w:rsidR="004A1901">
        <w:rPr>
          <w:rFonts w:ascii="仿宋_GB2312" w:eastAsia="仿宋_GB2312" w:hAnsi="仿宋_GB2312" w:cs="仿宋_GB2312" w:hint="eastAsia"/>
          <w:sz w:val="32"/>
          <w:szCs w:val="32"/>
        </w:rPr>
        <w:t>境外</w:t>
      </w:r>
      <w:r w:rsidR="00D33C80" w:rsidRPr="00D4163F">
        <w:rPr>
          <w:rFonts w:ascii="仿宋_GB2312" w:eastAsia="仿宋_GB2312" w:hAnsi="仿宋_GB2312" w:cs="仿宋_GB2312" w:hint="eastAsia"/>
          <w:sz w:val="32"/>
          <w:szCs w:val="32"/>
        </w:rPr>
        <w:t>企业优先采用人民币贷款</w:t>
      </w:r>
      <w:r w:rsidR="00C9627D" w:rsidRPr="00D4163F">
        <w:rPr>
          <w:rFonts w:ascii="仿宋_GB2312" w:eastAsia="仿宋_GB2312" w:hAnsi="仿宋_GB2312" w:cs="仿宋_GB2312" w:hint="eastAsia"/>
          <w:sz w:val="32"/>
          <w:szCs w:val="32"/>
        </w:rPr>
        <w:t>。</w:t>
      </w:r>
    </w:p>
    <w:p w:rsidR="004157FB" w:rsidRDefault="00602303" w:rsidP="004157FB">
      <w:pPr>
        <w:spacing w:line="60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三、</w:t>
      </w:r>
      <w:r w:rsidR="00AC2E29">
        <w:rPr>
          <w:rFonts w:ascii="仿宋_GB2312" w:eastAsia="仿宋_GB2312" w:hAnsi="仿宋_GB2312" w:cs="仿宋_GB2312" w:hint="eastAsia"/>
          <w:sz w:val="32"/>
          <w:szCs w:val="32"/>
        </w:rPr>
        <w:t>境内银行境外贷款余额（指已提用未偿余额，下同）不得超过上限，即：</w:t>
      </w:r>
      <w:r w:rsidR="00AC2E29">
        <w:rPr>
          <w:rFonts w:ascii="仿宋_GB2312" w:eastAsia="仿宋_GB2312" w:hAnsi="仿宋_GB2312" w:cs="仿宋_GB2312" w:hint="eastAsia"/>
          <w:b/>
          <w:sz w:val="32"/>
          <w:szCs w:val="32"/>
        </w:rPr>
        <w:t>境外贷款余额≤境外贷款余额上限。</w:t>
      </w:r>
    </w:p>
    <w:p w:rsidR="004157FB" w:rsidRDefault="00AC2E29" w:rsidP="004157F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境外贷款余额上限</w:t>
      </w:r>
      <w:r>
        <w:rPr>
          <w:rFonts w:ascii="仿宋_GB2312" w:eastAsia="仿宋_GB2312" w:hAnsi="仿宋_GB2312" w:cs="仿宋_GB2312" w:hint="eastAsia"/>
          <w:sz w:val="32"/>
          <w:szCs w:val="32"/>
        </w:rPr>
        <w:t>=境内银行一级资本</w:t>
      </w:r>
      <w:r w:rsidR="008643EC">
        <w:rPr>
          <w:rFonts w:ascii="仿宋_GB2312" w:eastAsia="仿宋_GB2312" w:hAnsi="仿宋_GB2312" w:cs="仿宋_GB2312" w:hint="eastAsia"/>
          <w:sz w:val="32"/>
          <w:szCs w:val="32"/>
        </w:rPr>
        <w:t>净额</w:t>
      </w:r>
      <w:r>
        <w:rPr>
          <w:rFonts w:ascii="仿宋_GB2312" w:eastAsia="仿宋_GB2312" w:hAnsi="仿宋_GB2312" w:cs="仿宋_GB2312" w:hint="eastAsia"/>
          <w:sz w:val="32"/>
          <w:szCs w:val="32"/>
        </w:rPr>
        <w:t>（外国银行</w:t>
      </w:r>
      <w:r>
        <w:rPr>
          <w:rFonts w:ascii="仿宋_GB2312" w:eastAsia="仿宋_GB2312" w:hAnsi="仿宋_GB2312" w:cs="仿宋_GB2312" w:hint="eastAsia"/>
          <w:sz w:val="32"/>
          <w:szCs w:val="32"/>
        </w:rPr>
        <w:lastRenderedPageBreak/>
        <w:t>境内分行按</w:t>
      </w:r>
      <w:r w:rsidR="001175E9">
        <w:rPr>
          <w:rFonts w:ascii="仿宋_GB2312" w:eastAsia="仿宋_GB2312" w:hAnsi="仿宋_GB2312" w:cs="仿宋_GB2312" w:hint="eastAsia"/>
          <w:sz w:val="32"/>
          <w:szCs w:val="32"/>
        </w:rPr>
        <w:t>营运</w:t>
      </w:r>
      <w:r w:rsidR="00580E5F">
        <w:rPr>
          <w:rFonts w:ascii="仿宋_GB2312" w:eastAsia="仿宋_GB2312" w:hAnsi="仿宋_GB2312" w:cs="仿宋_GB2312" w:hint="eastAsia"/>
          <w:sz w:val="32"/>
          <w:szCs w:val="32"/>
        </w:rPr>
        <w:t>资金计）</w:t>
      </w:r>
      <w:r w:rsidR="00580E5F">
        <w:rPr>
          <w:rFonts w:ascii="仿宋_GB2312" w:eastAsia="仿宋_GB2312" w:hAnsi="仿宋_GB2312" w:cs="仿宋_GB2312"/>
          <w:sz w:val="32"/>
          <w:szCs w:val="32"/>
        </w:rPr>
        <w:t>*</w:t>
      </w:r>
      <w:r w:rsidR="00580E5F">
        <w:rPr>
          <w:rFonts w:ascii="仿宋_GB2312" w:eastAsia="仿宋_GB2312" w:hAnsi="仿宋_GB2312" w:cs="仿宋_GB2312" w:hint="eastAsia"/>
          <w:sz w:val="32"/>
          <w:szCs w:val="32"/>
        </w:rPr>
        <w:t>境外贷款杠杆率</w:t>
      </w:r>
      <w:r w:rsidR="00580E5F">
        <w:rPr>
          <w:rFonts w:ascii="仿宋_GB2312" w:eastAsia="仿宋_GB2312" w:hAnsi="仿宋_GB2312" w:cs="仿宋_GB2312"/>
          <w:sz w:val="32"/>
          <w:szCs w:val="32"/>
        </w:rPr>
        <w:t>*</w:t>
      </w:r>
      <w:r w:rsidR="00580E5F">
        <w:rPr>
          <w:rFonts w:ascii="仿宋_GB2312" w:eastAsia="仿宋_GB2312" w:hAnsi="仿宋_GB2312" w:cs="仿宋_GB2312" w:hint="eastAsia"/>
          <w:sz w:val="32"/>
          <w:szCs w:val="32"/>
        </w:rPr>
        <w:t>宏观</w:t>
      </w:r>
      <w:r>
        <w:rPr>
          <w:rFonts w:ascii="仿宋_GB2312" w:eastAsia="仿宋_GB2312" w:hAnsi="仿宋_GB2312" w:cs="仿宋_GB2312" w:hint="eastAsia"/>
          <w:sz w:val="32"/>
          <w:szCs w:val="32"/>
        </w:rPr>
        <w:t>审慎调节参数</w:t>
      </w:r>
    </w:p>
    <w:p w:rsidR="004157FB" w:rsidRDefault="001C2548" w:rsidP="004157FB">
      <w:pPr>
        <w:spacing w:line="600" w:lineRule="exact"/>
        <w:ind w:firstLineChars="200" w:firstLine="640"/>
        <w:rPr>
          <w:rFonts w:ascii="仿宋_GB2312" w:eastAsia="仿宋_GB2312" w:hAnsi="仿宋_GB2312" w:cs="仿宋_GB2312"/>
          <w:sz w:val="32"/>
          <w:szCs w:val="32"/>
        </w:rPr>
      </w:pPr>
      <w:r w:rsidRPr="009C42FA">
        <w:rPr>
          <w:rFonts w:ascii="仿宋_GB2312" w:eastAsia="仿宋_GB2312" w:hAnsi="仿宋_GB2312" w:cs="仿宋_GB2312" w:hint="eastAsia"/>
          <w:sz w:val="32"/>
          <w:szCs w:val="32"/>
        </w:rPr>
        <w:t>境外贷款余额</w:t>
      </w:r>
      <w:r w:rsidRPr="009C42FA">
        <w:rPr>
          <w:rFonts w:ascii="仿宋_GB2312" w:eastAsia="仿宋_GB2312" w:hAnsi="仿宋_GB2312" w:cs="仿宋_GB2312"/>
          <w:sz w:val="32"/>
          <w:szCs w:val="32"/>
        </w:rPr>
        <w:t>=</w:t>
      </w:r>
      <w:r w:rsidRPr="009C42FA">
        <w:rPr>
          <w:rFonts w:ascii="仿宋_GB2312" w:eastAsia="仿宋_GB2312" w:hAnsi="仿宋_GB2312" w:cs="仿宋_GB2312" w:hint="eastAsia"/>
          <w:sz w:val="32"/>
          <w:szCs w:val="32"/>
        </w:rPr>
        <w:t>本外币境外贷款余额</w:t>
      </w:r>
      <w:r w:rsidRPr="009C42FA">
        <w:rPr>
          <w:rFonts w:ascii="仿宋_GB2312" w:eastAsia="仿宋_GB2312" w:hAnsi="仿宋_GB2312" w:cs="仿宋_GB2312"/>
          <w:sz w:val="32"/>
          <w:szCs w:val="32"/>
        </w:rPr>
        <w:t>+</w:t>
      </w:r>
      <w:r w:rsidRPr="009C42FA">
        <w:rPr>
          <w:rFonts w:ascii="仿宋_GB2312" w:eastAsia="仿宋_GB2312" w:hAnsi="仿宋_GB2312" w:cs="仿宋_GB2312" w:hint="eastAsia"/>
          <w:sz w:val="32"/>
          <w:szCs w:val="32"/>
        </w:rPr>
        <w:t>外币境外贷款余额</w:t>
      </w:r>
      <w:r w:rsidRPr="009C42FA">
        <w:rPr>
          <w:rFonts w:ascii="仿宋_GB2312" w:eastAsia="仿宋_GB2312" w:hAnsi="仿宋_GB2312" w:cs="仿宋_GB2312"/>
          <w:sz w:val="32"/>
          <w:szCs w:val="32"/>
        </w:rPr>
        <w:t>*</w:t>
      </w:r>
      <w:r w:rsidRPr="009C42FA">
        <w:rPr>
          <w:rFonts w:ascii="仿宋_GB2312" w:eastAsia="仿宋_GB2312" w:hAnsi="仿宋_GB2312" w:cs="仿宋_GB2312" w:hint="eastAsia"/>
          <w:sz w:val="32"/>
          <w:szCs w:val="32"/>
        </w:rPr>
        <w:t>汇率风险折算因子</w:t>
      </w:r>
    </w:p>
    <w:p w:rsidR="004157FB" w:rsidRDefault="001B1BA3" w:rsidP="004157FB">
      <w:pPr>
        <w:spacing w:line="600" w:lineRule="exact"/>
        <w:ind w:firstLineChars="200" w:firstLine="640"/>
        <w:rPr>
          <w:rFonts w:ascii="仿宋_GB2312" w:eastAsia="仿宋_GB2312" w:hAnsi="仿宋_GB2312" w:cs="仿宋_GB2312"/>
          <w:sz w:val="32"/>
          <w:szCs w:val="32"/>
        </w:rPr>
      </w:pPr>
      <w:r w:rsidRPr="009C42FA">
        <w:rPr>
          <w:rFonts w:ascii="仿宋_GB2312" w:eastAsia="仿宋_GB2312" w:hAnsi="仿宋_GB2312" w:cs="仿宋_GB2312" w:hint="eastAsia"/>
          <w:sz w:val="32"/>
          <w:szCs w:val="32"/>
        </w:rPr>
        <w:t>一级资本</w:t>
      </w:r>
      <w:r w:rsidR="00E350BC" w:rsidRPr="009C42FA">
        <w:rPr>
          <w:rFonts w:ascii="仿宋_GB2312" w:eastAsia="仿宋_GB2312" w:hAnsi="仿宋_GB2312" w:cs="仿宋_GB2312" w:hint="eastAsia"/>
          <w:sz w:val="32"/>
          <w:szCs w:val="32"/>
        </w:rPr>
        <w:t>净额</w:t>
      </w:r>
      <w:r w:rsidRPr="009C42FA">
        <w:rPr>
          <w:rFonts w:ascii="仿宋_GB2312" w:eastAsia="仿宋_GB2312" w:hAnsi="仿宋_GB2312" w:cs="仿宋_GB2312" w:hint="eastAsia"/>
          <w:sz w:val="32"/>
          <w:szCs w:val="32"/>
        </w:rPr>
        <w:t>或</w:t>
      </w:r>
      <w:r w:rsidR="00293755" w:rsidRPr="009C42FA">
        <w:rPr>
          <w:rFonts w:ascii="仿宋_GB2312" w:eastAsia="仿宋_GB2312" w:hint="eastAsia"/>
          <w:sz w:val="32"/>
          <w:szCs w:val="32"/>
        </w:rPr>
        <w:t>营运资金</w:t>
      </w:r>
      <w:r w:rsidRPr="009C42FA">
        <w:rPr>
          <w:rFonts w:ascii="仿宋_GB2312" w:eastAsia="仿宋_GB2312" w:hAnsi="仿宋_GB2312" w:cs="仿宋_GB2312" w:hint="eastAsia"/>
          <w:sz w:val="32"/>
          <w:szCs w:val="32"/>
        </w:rPr>
        <w:t>以最近</w:t>
      </w:r>
      <w:r>
        <w:rPr>
          <w:rFonts w:ascii="仿宋_GB2312" w:eastAsia="仿宋_GB2312" w:hAnsi="仿宋_GB2312" w:cs="仿宋_GB2312" w:hint="eastAsia"/>
          <w:sz w:val="32"/>
          <w:szCs w:val="32"/>
        </w:rPr>
        <w:t>一期经审计的财务报告为准</w:t>
      </w:r>
      <w:r w:rsidR="008643EC">
        <w:rPr>
          <w:rFonts w:ascii="仿宋_GB2312" w:eastAsia="仿宋_GB2312" w:hAnsi="仿宋_GB2312" w:cs="仿宋_GB2312" w:hint="eastAsia"/>
          <w:sz w:val="32"/>
          <w:szCs w:val="32"/>
        </w:rPr>
        <w:t>（采用银行法人口径）</w:t>
      </w:r>
      <w:r>
        <w:rPr>
          <w:rFonts w:ascii="仿宋_GB2312" w:eastAsia="仿宋_GB2312" w:hAnsi="仿宋_GB2312" w:cs="仿宋_GB2312" w:hint="eastAsia"/>
          <w:sz w:val="32"/>
          <w:szCs w:val="32"/>
        </w:rPr>
        <w:t>。</w:t>
      </w:r>
      <w:r w:rsidR="00AC2E29">
        <w:rPr>
          <w:rFonts w:ascii="仿宋_GB2312" w:eastAsia="仿宋_GB2312" w:hAnsi="仿宋_GB2312" w:cs="仿宋_GB2312" w:hint="eastAsia"/>
          <w:sz w:val="32"/>
          <w:szCs w:val="32"/>
        </w:rPr>
        <w:t>中国人民银行</w:t>
      </w:r>
      <w:r w:rsidR="006811E3" w:rsidRPr="001175E9">
        <w:rPr>
          <w:rFonts w:ascii="仿宋_GB2312" w:eastAsia="仿宋_GB2312" w:hAnsi="仿宋_GB2312" w:cs="仿宋_GB2312" w:hint="eastAsia"/>
          <w:sz w:val="32"/>
          <w:szCs w:val="32"/>
        </w:rPr>
        <w:t>和国家外汇管理局</w:t>
      </w:r>
      <w:r w:rsidR="00AC2E29">
        <w:rPr>
          <w:rFonts w:ascii="仿宋_GB2312" w:eastAsia="仿宋_GB2312" w:hAnsi="仿宋_GB2312" w:cs="仿宋_GB2312" w:hint="eastAsia"/>
          <w:sz w:val="32"/>
          <w:szCs w:val="32"/>
        </w:rPr>
        <w:t>根据宏观经济形势和跨境资金流动情况对</w:t>
      </w:r>
      <w:r w:rsidR="006811E3">
        <w:rPr>
          <w:rFonts w:ascii="仿宋_GB2312" w:eastAsia="仿宋_GB2312" w:hAnsi="仿宋_GB2312" w:cs="仿宋_GB2312" w:hint="eastAsia"/>
          <w:sz w:val="32"/>
          <w:szCs w:val="32"/>
        </w:rPr>
        <w:t>境外贷款杠杆率</w:t>
      </w:r>
      <w:r w:rsidR="006A5DB4">
        <w:rPr>
          <w:rFonts w:ascii="仿宋_GB2312" w:eastAsia="仿宋_GB2312" w:hAnsi="仿宋_GB2312" w:cs="仿宋_GB2312" w:hint="eastAsia"/>
          <w:sz w:val="32"/>
          <w:szCs w:val="32"/>
        </w:rPr>
        <w:t>、</w:t>
      </w:r>
      <w:r w:rsidR="00AC2E29">
        <w:rPr>
          <w:rFonts w:ascii="仿宋_GB2312" w:eastAsia="仿宋_GB2312" w:hAnsi="仿宋_GB2312" w:cs="仿宋_GB2312" w:hint="eastAsia"/>
          <w:sz w:val="32"/>
          <w:szCs w:val="32"/>
        </w:rPr>
        <w:t>宏观审慎调节参数</w:t>
      </w:r>
      <w:r w:rsidR="006A5DB4">
        <w:rPr>
          <w:rFonts w:ascii="仿宋_GB2312" w:eastAsia="仿宋_GB2312" w:hAnsi="仿宋_GB2312" w:cs="仿宋_GB2312" w:hint="eastAsia"/>
          <w:sz w:val="32"/>
          <w:szCs w:val="32"/>
        </w:rPr>
        <w:t>、汇率风险折算因子</w:t>
      </w:r>
      <w:r w:rsidR="00AC2E29">
        <w:rPr>
          <w:rFonts w:ascii="仿宋_GB2312" w:eastAsia="仿宋_GB2312" w:hAnsi="仿宋_GB2312" w:cs="仿宋_GB2312" w:hint="eastAsia"/>
          <w:sz w:val="32"/>
          <w:szCs w:val="32"/>
        </w:rPr>
        <w:t>进行动态调整</w:t>
      </w:r>
      <w:r w:rsidR="00C71732">
        <w:rPr>
          <w:rFonts w:ascii="仿宋_GB2312" w:eastAsia="仿宋_GB2312" w:hAnsi="仿宋_GB2312" w:cs="仿宋_GB2312" w:hint="eastAsia"/>
          <w:sz w:val="32"/>
          <w:szCs w:val="32"/>
        </w:rPr>
        <w:t>（具体参数设置见附件1）</w:t>
      </w:r>
      <w:r w:rsidR="00AC2E29">
        <w:rPr>
          <w:rFonts w:ascii="仿宋_GB2312" w:eastAsia="仿宋_GB2312" w:hAnsi="仿宋_GB2312" w:cs="仿宋_GB2312" w:hint="eastAsia"/>
          <w:sz w:val="32"/>
          <w:szCs w:val="32"/>
        </w:rPr>
        <w:t>。</w:t>
      </w:r>
    </w:p>
    <w:p w:rsidR="004157FB" w:rsidRDefault="00AC2E29" w:rsidP="004157FB">
      <w:pPr>
        <w:spacing w:line="600" w:lineRule="exact"/>
        <w:ind w:firstLineChars="200" w:firstLine="640"/>
        <w:rPr>
          <w:rFonts w:ascii="仿宋_GB2312" w:eastAsia="仿宋_GB2312" w:hAnsi="Arial" w:cs="Arial"/>
          <w:sz w:val="32"/>
        </w:rPr>
      </w:pPr>
      <w:r>
        <w:rPr>
          <w:rFonts w:ascii="仿宋_GB2312" w:eastAsia="仿宋_GB2312" w:hAnsi="仿宋_GB2312" w:cs="仿宋_GB2312" w:hint="eastAsia"/>
          <w:sz w:val="32"/>
          <w:szCs w:val="32"/>
        </w:rPr>
        <w:t>境内银行应做好境外贷款业务规划和管理，确保任一时点贷款余额不超过上限。</w:t>
      </w:r>
      <w:r w:rsidR="00603B71" w:rsidRPr="00721805">
        <w:rPr>
          <w:rFonts w:ascii="仿宋_GB2312" w:eastAsia="仿宋_GB2312" w:hint="eastAsia"/>
          <w:sz w:val="32"/>
          <w:szCs w:val="32"/>
        </w:rPr>
        <w:t>若因银行一级资本</w:t>
      </w:r>
      <w:r w:rsidR="00BB7FA9">
        <w:rPr>
          <w:rFonts w:ascii="仿宋_GB2312" w:eastAsia="仿宋_GB2312" w:hint="eastAsia"/>
          <w:sz w:val="32"/>
          <w:szCs w:val="32"/>
        </w:rPr>
        <w:t>净额</w:t>
      </w:r>
      <w:r w:rsidR="00603B71" w:rsidRPr="00721805">
        <w:rPr>
          <w:rFonts w:ascii="仿宋_GB2312" w:eastAsia="仿宋_GB2312" w:hint="eastAsia"/>
          <w:sz w:val="32"/>
          <w:szCs w:val="32"/>
        </w:rPr>
        <w:t>（</w:t>
      </w:r>
      <w:r w:rsidR="001175E9">
        <w:rPr>
          <w:rFonts w:ascii="仿宋_GB2312" w:eastAsia="仿宋_GB2312" w:hint="eastAsia"/>
          <w:sz w:val="32"/>
          <w:szCs w:val="32"/>
        </w:rPr>
        <w:t>营运</w:t>
      </w:r>
      <w:r w:rsidR="00603B71" w:rsidRPr="00721805">
        <w:rPr>
          <w:rFonts w:ascii="仿宋_GB2312" w:eastAsia="仿宋_GB2312" w:hint="eastAsia"/>
          <w:sz w:val="32"/>
          <w:szCs w:val="32"/>
        </w:rPr>
        <w:t>资</w:t>
      </w:r>
      <w:r w:rsidR="001175E9">
        <w:rPr>
          <w:rFonts w:ascii="仿宋_GB2312" w:eastAsia="仿宋_GB2312" w:hint="eastAsia"/>
          <w:sz w:val="32"/>
          <w:szCs w:val="32"/>
        </w:rPr>
        <w:t>金</w:t>
      </w:r>
      <w:r w:rsidR="00603B71" w:rsidRPr="00721805">
        <w:rPr>
          <w:rFonts w:ascii="仿宋_GB2312" w:eastAsia="仿宋_GB2312" w:hint="eastAsia"/>
          <w:sz w:val="32"/>
          <w:szCs w:val="32"/>
        </w:rPr>
        <w:t>）</w:t>
      </w:r>
      <w:r w:rsidR="002D61DB">
        <w:rPr>
          <w:rFonts w:ascii="仿宋_GB2312" w:eastAsia="仿宋_GB2312" w:hint="eastAsia"/>
          <w:sz w:val="32"/>
          <w:szCs w:val="32"/>
        </w:rPr>
        <w:t>、境外贷款杠杆率</w:t>
      </w:r>
      <w:r w:rsidR="00603B71" w:rsidRPr="00721805">
        <w:rPr>
          <w:rFonts w:ascii="仿宋_GB2312" w:eastAsia="仿宋_GB2312" w:hint="eastAsia"/>
          <w:sz w:val="32"/>
          <w:szCs w:val="32"/>
        </w:rPr>
        <w:t>或宏观审慎调节参数调整导致</w:t>
      </w:r>
      <w:r w:rsidR="00293755">
        <w:rPr>
          <w:rFonts w:ascii="仿宋_GB2312" w:eastAsia="仿宋_GB2312" w:hint="eastAsia"/>
          <w:sz w:val="32"/>
          <w:szCs w:val="32"/>
        </w:rPr>
        <w:t>境外贷款</w:t>
      </w:r>
      <w:r w:rsidR="00603B71" w:rsidRPr="00721805">
        <w:rPr>
          <w:rFonts w:ascii="仿宋_GB2312" w:eastAsia="仿宋_GB2312" w:hint="eastAsia"/>
          <w:sz w:val="32"/>
          <w:szCs w:val="32"/>
        </w:rPr>
        <w:t>余额超过上限，银行应暂停办理新的境外贷款业务</w:t>
      </w:r>
      <w:r w:rsidR="00603B71">
        <w:rPr>
          <w:rFonts w:ascii="仿宋_GB2312" w:eastAsia="仿宋_GB2312" w:hint="eastAsia"/>
          <w:sz w:val="32"/>
          <w:szCs w:val="32"/>
        </w:rPr>
        <w:t>，</w:t>
      </w:r>
      <w:r w:rsidR="003D32A0">
        <w:rPr>
          <w:rFonts w:ascii="仿宋_GB2312" w:eastAsia="仿宋_GB2312" w:hint="eastAsia"/>
          <w:sz w:val="32"/>
          <w:szCs w:val="32"/>
        </w:rPr>
        <w:t>直至境外贷款余额调整至</w:t>
      </w:r>
      <w:r w:rsidR="00603B71">
        <w:rPr>
          <w:rFonts w:ascii="仿宋_GB2312" w:eastAsia="仿宋_GB2312" w:hint="eastAsia"/>
          <w:sz w:val="32"/>
          <w:szCs w:val="32"/>
        </w:rPr>
        <w:t>上限</w:t>
      </w:r>
      <w:r w:rsidR="003D32A0">
        <w:rPr>
          <w:rFonts w:ascii="仿宋_GB2312" w:eastAsia="仿宋_GB2312" w:hint="eastAsia"/>
          <w:sz w:val="32"/>
          <w:szCs w:val="32"/>
        </w:rPr>
        <w:t>之内</w:t>
      </w:r>
      <w:r w:rsidR="00603B71">
        <w:rPr>
          <w:rFonts w:ascii="仿宋_GB2312" w:eastAsia="仿宋_GB2312" w:hint="eastAsia"/>
          <w:sz w:val="32"/>
          <w:szCs w:val="32"/>
        </w:rPr>
        <w:t>。</w:t>
      </w:r>
    </w:p>
    <w:p w:rsidR="004157FB" w:rsidRDefault="001C2548" w:rsidP="004157FB">
      <w:pPr>
        <w:spacing w:line="600" w:lineRule="exact"/>
        <w:ind w:firstLineChars="200" w:firstLine="640"/>
        <w:rPr>
          <w:rFonts w:ascii="仿宋_GB2312" w:eastAsia="仿宋_GB2312" w:hAnsi="仿宋_GB2312" w:cs="仿宋_GB2312"/>
          <w:sz w:val="32"/>
          <w:szCs w:val="32"/>
        </w:rPr>
      </w:pPr>
      <w:r w:rsidRPr="009C42FA">
        <w:rPr>
          <w:rFonts w:ascii="仿宋_GB2312" w:eastAsia="仿宋_GB2312" w:hAnsi="仿宋_GB2312" w:cs="仿宋_GB2312" w:hint="eastAsia"/>
          <w:sz w:val="32"/>
          <w:szCs w:val="32"/>
        </w:rPr>
        <w:t>四、境内银行开展境外贷款业务的，应充分了解国际化经营规则和风险管理，建立完善的业务操作规程和内控制度，报中国人民银行总行、国家外汇管理局或其分支机构备案后实施。提交备案材料包括但不限于贷款流程管理、专业人员配备、风险控制制度等，与境外银行合作开展境外人民币贷款业务的，还应建立信贷责任、管理和风险分担机制。</w:t>
      </w:r>
    </w:p>
    <w:p w:rsidR="004157FB" w:rsidRDefault="00E7114A" w:rsidP="004157F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AC2E29">
        <w:rPr>
          <w:rFonts w:ascii="仿宋_GB2312" w:eastAsia="仿宋_GB2312" w:hAnsi="仿宋_GB2312" w:cs="仿宋_GB2312" w:hint="eastAsia"/>
          <w:sz w:val="32"/>
          <w:szCs w:val="32"/>
        </w:rPr>
        <w:t>、</w:t>
      </w:r>
      <w:r w:rsidR="003C4CD9">
        <w:rPr>
          <w:rFonts w:ascii="仿宋_GB2312" w:eastAsia="仿宋_GB2312" w:hAnsi="仿宋_GB2312" w:cs="仿宋_GB2312" w:hint="eastAsia"/>
          <w:sz w:val="32"/>
          <w:szCs w:val="32"/>
        </w:rPr>
        <w:t>境内银行</w:t>
      </w:r>
      <w:r w:rsidR="00F06968">
        <w:rPr>
          <w:rFonts w:ascii="仿宋_GB2312" w:eastAsia="仿宋_GB2312" w:hAnsi="仿宋_GB2312" w:cs="仿宋_GB2312" w:hint="eastAsia"/>
          <w:sz w:val="32"/>
          <w:szCs w:val="32"/>
        </w:rPr>
        <w:t>可</w:t>
      </w:r>
      <w:r w:rsidR="00585BCE">
        <w:rPr>
          <w:rFonts w:ascii="仿宋_GB2312" w:eastAsia="仿宋_GB2312" w:hAnsi="仿宋_GB2312" w:cs="仿宋_GB2312" w:hint="eastAsia"/>
          <w:sz w:val="32"/>
          <w:szCs w:val="32"/>
        </w:rPr>
        <w:t>按现行制度规定</w:t>
      </w:r>
      <w:r w:rsidR="00F06968">
        <w:rPr>
          <w:rFonts w:ascii="仿宋_GB2312" w:eastAsia="仿宋_GB2312" w:hAnsi="仿宋_GB2312" w:cs="仿宋_GB2312" w:hint="eastAsia"/>
          <w:sz w:val="32"/>
          <w:szCs w:val="32"/>
        </w:rPr>
        <w:t>为境外</w:t>
      </w:r>
      <w:r w:rsidR="00260642">
        <w:rPr>
          <w:rFonts w:ascii="仿宋_GB2312" w:eastAsia="仿宋_GB2312" w:hAnsi="仿宋_GB2312" w:cs="仿宋_GB2312" w:hint="eastAsia"/>
          <w:sz w:val="32"/>
          <w:szCs w:val="32"/>
        </w:rPr>
        <w:t>企业</w:t>
      </w:r>
      <w:r w:rsidR="00F06968">
        <w:rPr>
          <w:rFonts w:ascii="仿宋_GB2312" w:eastAsia="仿宋_GB2312" w:hAnsi="仿宋_GB2312" w:cs="仿宋_GB2312" w:hint="eastAsia"/>
          <w:sz w:val="32"/>
          <w:szCs w:val="32"/>
        </w:rPr>
        <w:t>开立银行结算账户办理境外贷款业务，也</w:t>
      </w:r>
      <w:r w:rsidR="003C4CD9">
        <w:rPr>
          <w:rFonts w:ascii="仿宋_GB2312" w:eastAsia="仿宋_GB2312" w:hAnsi="仿宋_GB2312" w:cs="仿宋_GB2312" w:hint="eastAsia"/>
          <w:sz w:val="32"/>
          <w:szCs w:val="32"/>
        </w:rPr>
        <w:t>可以通过</w:t>
      </w:r>
      <w:r w:rsidR="00260642">
        <w:rPr>
          <w:rFonts w:ascii="仿宋_GB2312" w:eastAsia="仿宋_GB2312" w:hAnsi="仿宋_GB2312" w:cs="仿宋_GB2312" w:hint="eastAsia"/>
          <w:sz w:val="32"/>
          <w:szCs w:val="32"/>
        </w:rPr>
        <w:t>境外企业</w:t>
      </w:r>
      <w:r w:rsidR="003C4CD9">
        <w:rPr>
          <w:rFonts w:ascii="仿宋_GB2312" w:eastAsia="仿宋_GB2312" w:hAnsi="仿宋_GB2312" w:cs="仿宋_GB2312" w:hint="eastAsia"/>
          <w:sz w:val="32"/>
          <w:szCs w:val="32"/>
        </w:rPr>
        <w:t>在境外银行开立的账户办理</w:t>
      </w:r>
      <w:r w:rsidR="00F06968">
        <w:rPr>
          <w:rFonts w:ascii="仿宋_GB2312" w:eastAsia="仿宋_GB2312" w:hAnsi="仿宋_GB2312" w:cs="仿宋_GB2312" w:hint="eastAsia"/>
          <w:sz w:val="32"/>
          <w:szCs w:val="32"/>
        </w:rPr>
        <w:t>。</w:t>
      </w:r>
    </w:p>
    <w:p w:rsidR="004157FB" w:rsidRDefault="00E7114A" w:rsidP="004157FB">
      <w:pPr>
        <w:spacing w:line="60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lastRenderedPageBreak/>
        <w:t>六</w:t>
      </w:r>
      <w:r w:rsidR="00AC2E29">
        <w:rPr>
          <w:rFonts w:ascii="仿宋_GB2312" w:eastAsia="仿宋_GB2312" w:hAnsi="仿宋_GB2312" w:cs="仿宋_GB2312" w:hint="eastAsia"/>
          <w:sz w:val="32"/>
          <w:szCs w:val="32"/>
        </w:rPr>
        <w:t>、</w:t>
      </w:r>
      <w:r w:rsidR="00E362EE">
        <w:rPr>
          <w:rFonts w:ascii="仿宋_GB2312" w:eastAsia="仿宋_GB2312" w:hAnsi="仿宋_GB2312" w:cs="仿宋_GB2312" w:hint="eastAsia"/>
          <w:sz w:val="32"/>
          <w:szCs w:val="32"/>
        </w:rPr>
        <w:t>贷款利率应符合商业原则，在合理范围内确定</w:t>
      </w:r>
      <w:r w:rsidR="00E362EE" w:rsidRPr="00B262DB">
        <w:rPr>
          <w:rFonts w:ascii="仿宋_GB2312" w:eastAsia="仿宋_GB2312" w:hint="eastAsia"/>
          <w:color w:val="000000"/>
          <w:sz w:val="32"/>
          <w:szCs w:val="32"/>
        </w:rPr>
        <w:t>。</w:t>
      </w:r>
    </w:p>
    <w:p w:rsidR="004157FB" w:rsidRDefault="000F7812" w:rsidP="004157FB">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七</w:t>
      </w:r>
      <w:r w:rsidRPr="00B262DB">
        <w:rPr>
          <w:rFonts w:ascii="仿宋_GB2312" w:eastAsia="仿宋_GB2312" w:hint="eastAsia"/>
          <w:color w:val="000000"/>
          <w:sz w:val="32"/>
          <w:szCs w:val="32"/>
        </w:rPr>
        <w:t>、</w:t>
      </w:r>
      <w:r w:rsidRPr="00602303">
        <w:rPr>
          <w:rFonts w:ascii="仿宋_GB2312" w:eastAsia="仿宋_GB2312" w:hint="eastAsia"/>
          <w:color w:val="000000"/>
          <w:sz w:val="32"/>
          <w:szCs w:val="32"/>
        </w:rPr>
        <w:t>境内银行发放的境外贷款，原则上应用于境外企业经营范围内的相关支出、不得以任何形式直接或间接调回境内使用、不得用于证券投资、不得用于偿还内保外贷项下境外债务，如</w:t>
      </w:r>
      <w:r w:rsidR="001453FF">
        <w:rPr>
          <w:rFonts w:ascii="仿宋_GB2312" w:eastAsia="仿宋_GB2312" w:hint="eastAsia"/>
          <w:color w:val="000000"/>
          <w:sz w:val="32"/>
          <w:szCs w:val="32"/>
        </w:rPr>
        <w:t>境外贷款用于</w:t>
      </w:r>
      <w:r w:rsidRPr="00602303">
        <w:rPr>
          <w:rFonts w:ascii="仿宋_GB2312" w:eastAsia="仿宋_GB2312" w:hint="eastAsia"/>
          <w:color w:val="000000"/>
          <w:sz w:val="32"/>
          <w:szCs w:val="32"/>
        </w:rPr>
        <w:t>境外直接投资，应符合国内相关主管部门有关境外投资的规定。</w:t>
      </w:r>
      <w:r w:rsidR="001C2548" w:rsidRPr="009C42FA">
        <w:rPr>
          <w:rFonts w:ascii="仿宋_GB2312" w:eastAsia="仿宋_GB2312" w:hint="eastAsia"/>
          <w:color w:val="000000"/>
          <w:sz w:val="32"/>
          <w:szCs w:val="32"/>
        </w:rPr>
        <w:t>境内银行应加强对境外贷款业务债务人主体资格、资金用途、预计的还款资金来源及相关交易背景的真实合规性审核，对是否符合境内外相关法律法规进行尽职调查，</w:t>
      </w:r>
      <w:r w:rsidRPr="009C42FA">
        <w:rPr>
          <w:rFonts w:ascii="仿宋_GB2312" w:eastAsia="仿宋_GB2312" w:hAnsi="仿宋_GB2312" w:cs="仿宋_GB2312" w:hint="eastAsia"/>
          <w:bCs/>
          <w:sz w:val="32"/>
          <w:szCs w:val="32"/>
        </w:rPr>
        <w:t>严格审</w:t>
      </w:r>
      <w:r w:rsidRPr="001F314A">
        <w:rPr>
          <w:rFonts w:ascii="仿宋_GB2312" w:eastAsia="仿宋_GB2312" w:hAnsi="仿宋_GB2312" w:cs="仿宋_GB2312" w:hint="eastAsia"/>
          <w:bCs/>
          <w:sz w:val="32"/>
          <w:szCs w:val="32"/>
        </w:rPr>
        <w:t>查</w:t>
      </w:r>
      <w:r>
        <w:rPr>
          <w:rFonts w:ascii="仿宋_GB2312" w:eastAsia="仿宋_GB2312" w:hAnsi="仿宋_GB2312" w:cs="仿宋_GB2312" w:hint="eastAsia"/>
          <w:bCs/>
          <w:sz w:val="32"/>
          <w:szCs w:val="32"/>
        </w:rPr>
        <w:t>境外企业</w:t>
      </w:r>
      <w:r w:rsidRPr="001F314A">
        <w:rPr>
          <w:rFonts w:ascii="仿宋_GB2312" w:eastAsia="仿宋_GB2312" w:hAnsi="仿宋_GB2312" w:cs="仿宋_GB2312" w:hint="eastAsia"/>
          <w:bCs/>
          <w:sz w:val="32"/>
          <w:szCs w:val="32"/>
        </w:rPr>
        <w:t>资信，</w:t>
      </w:r>
      <w:r w:rsidRPr="00602303">
        <w:rPr>
          <w:rFonts w:eastAsia="仿宋_GB2312" w:hint="eastAsia"/>
          <w:color w:val="000000"/>
          <w:sz w:val="32"/>
          <w:szCs w:val="32"/>
        </w:rPr>
        <w:t>并</w:t>
      </w:r>
      <w:r w:rsidRPr="00602303">
        <w:rPr>
          <w:rFonts w:eastAsia="仿宋_GB2312"/>
          <w:color w:val="000000"/>
          <w:sz w:val="32"/>
          <w:szCs w:val="32"/>
        </w:rPr>
        <w:t>监督</w:t>
      </w:r>
      <w:r w:rsidRPr="00602303">
        <w:rPr>
          <w:rFonts w:eastAsia="仿宋_GB2312" w:hint="eastAsia"/>
          <w:color w:val="000000"/>
          <w:sz w:val="32"/>
          <w:szCs w:val="32"/>
        </w:rPr>
        <w:t>境外</w:t>
      </w:r>
      <w:r>
        <w:rPr>
          <w:rFonts w:eastAsia="仿宋_GB2312" w:hint="eastAsia"/>
          <w:color w:val="000000"/>
          <w:sz w:val="32"/>
          <w:szCs w:val="32"/>
        </w:rPr>
        <w:t>企业</w:t>
      </w:r>
      <w:r w:rsidRPr="00602303">
        <w:rPr>
          <w:rFonts w:eastAsia="仿宋_GB2312"/>
          <w:color w:val="000000"/>
          <w:sz w:val="32"/>
          <w:szCs w:val="32"/>
        </w:rPr>
        <w:t>按照其申明的用途使用</w:t>
      </w:r>
      <w:r w:rsidRPr="00602303">
        <w:rPr>
          <w:rFonts w:eastAsia="仿宋_GB2312" w:hint="eastAsia"/>
          <w:color w:val="000000"/>
          <w:sz w:val="32"/>
          <w:szCs w:val="32"/>
        </w:rPr>
        <w:t>贷款</w:t>
      </w:r>
      <w:r w:rsidRPr="00602303">
        <w:rPr>
          <w:rFonts w:eastAsia="仿宋_GB2312"/>
          <w:color w:val="000000"/>
          <w:sz w:val="32"/>
          <w:szCs w:val="32"/>
        </w:rPr>
        <w:t>资金</w:t>
      </w:r>
      <w:r w:rsidRPr="00602303">
        <w:rPr>
          <w:rFonts w:eastAsia="仿宋_GB2312" w:hint="eastAsia"/>
          <w:color w:val="000000"/>
          <w:sz w:val="32"/>
          <w:szCs w:val="32"/>
        </w:rPr>
        <w:t>。</w:t>
      </w:r>
      <w:r w:rsidDel="009B609D">
        <w:rPr>
          <w:rFonts w:ascii="仿宋_GB2312" w:eastAsia="仿宋_GB2312" w:hint="eastAsia"/>
          <w:color w:val="000000"/>
          <w:sz w:val="32"/>
          <w:szCs w:val="32"/>
        </w:rPr>
        <w:t xml:space="preserve"> </w:t>
      </w:r>
    </w:p>
    <w:p w:rsidR="004157FB" w:rsidRDefault="00293755" w:rsidP="004157FB">
      <w:pPr>
        <w:spacing w:line="60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八</w:t>
      </w:r>
      <w:r w:rsidR="00AC2E29">
        <w:rPr>
          <w:rFonts w:ascii="仿宋_GB2312" w:eastAsia="仿宋_GB2312" w:hAnsi="仿宋_GB2312" w:cs="仿宋_GB2312" w:hint="eastAsia"/>
          <w:sz w:val="32"/>
          <w:szCs w:val="32"/>
        </w:rPr>
        <w:t>、</w:t>
      </w:r>
      <w:r w:rsidR="006B5587" w:rsidRPr="006432C3">
        <w:rPr>
          <w:rFonts w:ascii="仿宋_GB2312" w:eastAsia="仿宋_GB2312" w:hAnsi="仿宋_GB2312" w:cs="仿宋_GB2312" w:hint="eastAsia"/>
          <w:sz w:val="32"/>
          <w:szCs w:val="32"/>
        </w:rPr>
        <w:t>境外贷款业务涉及跨境担保</w:t>
      </w:r>
      <w:r w:rsidR="006432C3">
        <w:rPr>
          <w:rFonts w:ascii="仿宋_GB2312" w:eastAsia="仿宋_GB2312" w:hAnsi="仿宋_GB2312" w:cs="仿宋_GB2312" w:hint="eastAsia"/>
          <w:sz w:val="32"/>
          <w:szCs w:val="32"/>
        </w:rPr>
        <w:t>的，</w:t>
      </w:r>
      <w:r w:rsidR="006432C3" w:rsidRPr="006432C3">
        <w:rPr>
          <w:rFonts w:ascii="仿宋_GB2312" w:eastAsia="仿宋_GB2312" w:hint="eastAsia"/>
          <w:color w:val="000000"/>
          <w:sz w:val="32"/>
          <w:szCs w:val="32"/>
        </w:rPr>
        <w:t>应根据</w:t>
      </w:r>
      <w:r w:rsidR="00D33C80">
        <w:rPr>
          <w:rFonts w:ascii="仿宋_GB2312" w:eastAsia="仿宋_GB2312" w:hint="eastAsia"/>
          <w:color w:val="000000"/>
          <w:sz w:val="32"/>
          <w:szCs w:val="32"/>
        </w:rPr>
        <w:t>有关规定</w:t>
      </w:r>
      <w:r w:rsidR="006432C3" w:rsidRPr="006432C3">
        <w:rPr>
          <w:rFonts w:ascii="仿宋_GB2312" w:eastAsia="仿宋_GB2312" w:hint="eastAsia"/>
          <w:color w:val="000000"/>
          <w:sz w:val="32"/>
          <w:szCs w:val="32"/>
        </w:rPr>
        <w:t>，</w:t>
      </w:r>
      <w:r w:rsidR="00200BB7">
        <w:rPr>
          <w:rFonts w:ascii="仿宋_GB2312" w:eastAsia="仿宋_GB2312" w:hint="eastAsia"/>
          <w:color w:val="000000"/>
          <w:sz w:val="32"/>
          <w:szCs w:val="32"/>
        </w:rPr>
        <w:t>区分</w:t>
      </w:r>
      <w:r w:rsidR="006432C3" w:rsidRPr="006432C3">
        <w:rPr>
          <w:rFonts w:ascii="仿宋_GB2312" w:eastAsia="仿宋_GB2312" w:hint="eastAsia"/>
          <w:color w:val="000000"/>
          <w:sz w:val="32"/>
          <w:szCs w:val="32"/>
        </w:rPr>
        <w:t>境内、境外债权人（受益人）分别报送跨境担保相关信息</w:t>
      </w:r>
      <w:r w:rsidR="004017BA">
        <w:rPr>
          <w:rFonts w:ascii="仿宋_GB2312" w:eastAsia="仿宋_GB2312" w:hint="eastAsia"/>
          <w:color w:val="000000"/>
          <w:sz w:val="32"/>
          <w:szCs w:val="32"/>
        </w:rPr>
        <w:t>，</w:t>
      </w:r>
      <w:r w:rsidR="005B2AE5">
        <w:rPr>
          <w:rFonts w:ascii="仿宋_GB2312" w:eastAsia="仿宋_GB2312" w:hint="eastAsia"/>
          <w:color w:val="000000"/>
          <w:sz w:val="32"/>
          <w:szCs w:val="32"/>
        </w:rPr>
        <w:t>境内银行</w:t>
      </w:r>
      <w:r w:rsidR="004017BA">
        <w:rPr>
          <w:rFonts w:ascii="仿宋_GB2312" w:eastAsia="仿宋_GB2312" w:hAnsi="仿宋_GB2312" w:cs="仿宋_GB2312" w:hint="eastAsia"/>
          <w:sz w:val="32"/>
          <w:szCs w:val="32"/>
        </w:rPr>
        <w:t>因</w:t>
      </w:r>
      <w:r w:rsidR="004017BA" w:rsidRPr="003E42A8">
        <w:rPr>
          <w:rFonts w:ascii="仿宋_GB2312" w:eastAsia="仿宋_GB2312" w:hAnsi="仿宋_GB2312" w:cs="仿宋_GB2312" w:hint="eastAsia"/>
          <w:bCs/>
          <w:sz w:val="32"/>
          <w:szCs w:val="32"/>
        </w:rPr>
        <w:t>担保</w:t>
      </w:r>
      <w:r w:rsidR="004017BA">
        <w:rPr>
          <w:rFonts w:ascii="仿宋_GB2312" w:eastAsia="仿宋_GB2312" w:hAnsi="仿宋_GB2312" w:cs="仿宋_GB2312" w:hint="eastAsia"/>
          <w:bCs/>
          <w:sz w:val="32"/>
          <w:szCs w:val="32"/>
        </w:rPr>
        <w:t>履约产生的对外债权应纳入</w:t>
      </w:r>
      <w:r w:rsidR="00722D6B">
        <w:rPr>
          <w:rFonts w:ascii="仿宋_GB2312" w:eastAsia="仿宋_GB2312" w:hAnsi="仿宋_GB2312" w:cs="仿宋_GB2312" w:hint="eastAsia"/>
          <w:bCs/>
          <w:sz w:val="32"/>
          <w:szCs w:val="32"/>
        </w:rPr>
        <w:t>其</w:t>
      </w:r>
      <w:r w:rsidR="004017BA">
        <w:rPr>
          <w:rFonts w:ascii="仿宋_GB2312" w:eastAsia="仿宋_GB2312" w:hAnsi="仿宋_GB2312" w:cs="仿宋_GB2312" w:hint="eastAsia"/>
          <w:bCs/>
          <w:sz w:val="32"/>
          <w:szCs w:val="32"/>
        </w:rPr>
        <w:t>境外贷款余额统计</w:t>
      </w:r>
      <w:r w:rsidR="006432C3" w:rsidRPr="006432C3">
        <w:rPr>
          <w:rFonts w:ascii="仿宋_GB2312" w:eastAsia="仿宋_GB2312" w:hint="eastAsia"/>
          <w:color w:val="000000"/>
          <w:sz w:val="32"/>
          <w:szCs w:val="32"/>
        </w:rPr>
        <w:t>。</w:t>
      </w:r>
    </w:p>
    <w:p w:rsidR="004157FB" w:rsidRDefault="000F7812" w:rsidP="004157F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sidRPr="00454DB0">
        <w:rPr>
          <w:rFonts w:ascii="仿宋_GB2312" w:eastAsia="仿宋_GB2312" w:hAnsi="仿宋_GB2312" w:cs="仿宋_GB2312" w:hint="eastAsia"/>
          <w:sz w:val="32"/>
          <w:szCs w:val="32"/>
        </w:rPr>
        <w:t>、</w:t>
      </w:r>
      <w:r>
        <w:rPr>
          <w:rFonts w:ascii="仿宋_GB2312" w:eastAsia="仿宋_GB2312" w:hint="eastAsia"/>
          <w:color w:val="000000"/>
          <w:sz w:val="32"/>
          <w:szCs w:val="32"/>
        </w:rPr>
        <w:t>境内银行境外贷款</w:t>
      </w:r>
      <w:r w:rsidRPr="001924CC">
        <w:rPr>
          <w:rFonts w:ascii="仿宋_GB2312" w:eastAsia="仿宋_GB2312" w:hAnsi="仿宋_GB2312" w:cs="仿宋_GB2312" w:hint="eastAsia"/>
          <w:sz w:val="32"/>
          <w:szCs w:val="32"/>
        </w:rPr>
        <w:t>还款币种</w:t>
      </w:r>
      <w:r>
        <w:rPr>
          <w:rFonts w:ascii="仿宋_GB2312" w:eastAsia="仿宋_GB2312" w:hAnsi="仿宋_GB2312" w:cs="仿宋_GB2312" w:hint="eastAsia"/>
          <w:sz w:val="32"/>
          <w:szCs w:val="32"/>
        </w:rPr>
        <w:t>原则上</w:t>
      </w:r>
      <w:r w:rsidRPr="001924CC">
        <w:rPr>
          <w:rFonts w:ascii="仿宋_GB2312" w:eastAsia="仿宋_GB2312" w:hAnsi="仿宋_GB2312" w:cs="仿宋_GB2312" w:hint="eastAsia"/>
          <w:sz w:val="32"/>
          <w:szCs w:val="32"/>
        </w:rPr>
        <w:t>应与贷款币种保持一致。</w:t>
      </w:r>
      <w:r w:rsidR="00580E5F">
        <w:rPr>
          <w:rFonts w:ascii="仿宋_GB2312" w:eastAsia="仿宋_GB2312" w:hAnsi="仿宋_GB2312" w:cs="仿宋_GB2312" w:hint="eastAsia"/>
          <w:sz w:val="32"/>
          <w:szCs w:val="32"/>
        </w:rPr>
        <w:t>如境外企业确无人民币收入偿还境内银行境外人民币贷款，境内代理行或境外人民币清算行与参加行可为境外企业偿还境内银行境外人民币贷款所产生的跨境人民币结算需求办理人民币购售业务。境内银行可为境外企业偿还境内银行境外人民币贷款所产生的跨境人民币结算需求提供外汇风险对冲和外汇结汇服务。</w:t>
      </w:r>
    </w:p>
    <w:p w:rsidR="004157FB" w:rsidRDefault="00293755" w:rsidP="004157F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sidR="00AC2E29" w:rsidRPr="00110D83">
        <w:rPr>
          <w:rFonts w:ascii="仿宋_GB2312" w:eastAsia="仿宋_GB2312" w:hAnsi="仿宋_GB2312" w:cs="仿宋_GB2312" w:hint="eastAsia"/>
          <w:sz w:val="32"/>
          <w:szCs w:val="32"/>
        </w:rPr>
        <w:t>、</w:t>
      </w:r>
      <w:r w:rsidR="006B5587" w:rsidRPr="00110D83">
        <w:rPr>
          <w:rFonts w:ascii="仿宋_GB2312" w:eastAsia="仿宋_GB2312" w:hAnsi="仿宋_GB2312" w:cs="仿宋_GB2312" w:hint="eastAsia"/>
          <w:sz w:val="32"/>
          <w:szCs w:val="32"/>
        </w:rPr>
        <w:t>境内银行应按照</w:t>
      </w:r>
      <w:r w:rsidR="00B262DB" w:rsidRPr="00110D83">
        <w:rPr>
          <w:rFonts w:ascii="仿宋_GB2312" w:eastAsia="仿宋_GB2312" w:hAnsi="仿宋_GB2312" w:cs="仿宋_GB2312" w:hint="eastAsia"/>
          <w:sz w:val="32"/>
          <w:szCs w:val="32"/>
        </w:rPr>
        <w:t>有关数据报送要求将</w:t>
      </w:r>
      <w:r w:rsidR="00200BB7">
        <w:rPr>
          <w:rFonts w:ascii="仿宋_GB2312" w:eastAsia="仿宋_GB2312" w:hAnsi="仿宋_GB2312" w:cs="仿宋_GB2312" w:hint="eastAsia"/>
          <w:sz w:val="32"/>
          <w:szCs w:val="32"/>
        </w:rPr>
        <w:t>境外</w:t>
      </w:r>
      <w:r w:rsidR="00B262DB" w:rsidRPr="00110D83">
        <w:rPr>
          <w:rFonts w:ascii="仿宋_GB2312" w:eastAsia="仿宋_GB2312" w:hAnsi="仿宋_GB2312" w:cs="仿宋_GB2312" w:hint="eastAsia"/>
          <w:sz w:val="32"/>
          <w:szCs w:val="32"/>
        </w:rPr>
        <w:t>本外币贷款、</w:t>
      </w:r>
      <w:r w:rsidR="00200BB7">
        <w:rPr>
          <w:rFonts w:ascii="仿宋_GB2312" w:eastAsia="仿宋_GB2312" w:hAnsi="仿宋_GB2312" w:cs="仿宋_GB2312" w:hint="eastAsia"/>
          <w:sz w:val="32"/>
          <w:szCs w:val="32"/>
        </w:rPr>
        <w:t>跨境</w:t>
      </w:r>
      <w:r w:rsidR="00B262DB" w:rsidRPr="00110D83">
        <w:rPr>
          <w:rFonts w:ascii="仿宋_GB2312" w:eastAsia="仿宋_GB2312" w:hAnsi="仿宋_GB2312" w:cs="仿宋_GB2312" w:hint="eastAsia"/>
          <w:sz w:val="32"/>
          <w:szCs w:val="32"/>
        </w:rPr>
        <w:t>收支、账户信息分别报送至</w:t>
      </w:r>
      <w:r>
        <w:rPr>
          <w:rFonts w:ascii="仿宋_GB2312" w:eastAsia="仿宋_GB2312" w:hAnsi="仿宋_GB2312" w:cs="仿宋_GB2312" w:hint="eastAsia"/>
          <w:sz w:val="32"/>
          <w:szCs w:val="32"/>
        </w:rPr>
        <w:t>中国</w:t>
      </w:r>
      <w:r w:rsidR="00B262DB" w:rsidRPr="00110D83">
        <w:rPr>
          <w:rFonts w:ascii="仿宋_GB2312" w:eastAsia="仿宋_GB2312" w:hAnsi="仿宋_GB2312" w:cs="仿宋_GB2312" w:hint="eastAsia"/>
          <w:sz w:val="32"/>
          <w:szCs w:val="32"/>
        </w:rPr>
        <w:t>人民银行和</w:t>
      </w:r>
      <w:r>
        <w:rPr>
          <w:rFonts w:ascii="仿宋_GB2312" w:eastAsia="仿宋_GB2312" w:hAnsi="仿宋_GB2312" w:cs="仿宋_GB2312" w:hint="eastAsia"/>
          <w:sz w:val="32"/>
          <w:szCs w:val="32"/>
        </w:rPr>
        <w:t>国家外</w:t>
      </w:r>
      <w:r>
        <w:rPr>
          <w:rFonts w:ascii="仿宋_GB2312" w:eastAsia="仿宋_GB2312" w:hAnsi="仿宋_GB2312" w:cs="仿宋_GB2312" w:hint="eastAsia"/>
          <w:sz w:val="32"/>
          <w:szCs w:val="32"/>
        </w:rPr>
        <w:lastRenderedPageBreak/>
        <w:t>汇管理局</w:t>
      </w:r>
      <w:r w:rsidR="00B262DB" w:rsidRPr="00110D83">
        <w:rPr>
          <w:rFonts w:ascii="仿宋_GB2312" w:eastAsia="仿宋_GB2312" w:hAnsi="仿宋_GB2312" w:cs="仿宋_GB2312" w:hint="eastAsia"/>
          <w:sz w:val="32"/>
          <w:szCs w:val="32"/>
        </w:rPr>
        <w:t>。</w:t>
      </w:r>
      <w:r w:rsidR="006B5587" w:rsidRPr="00110D83">
        <w:rPr>
          <w:rFonts w:ascii="仿宋_GB2312" w:eastAsia="仿宋_GB2312" w:hAnsi="仿宋_GB2312" w:cs="仿宋_GB2312" w:hint="eastAsia"/>
          <w:sz w:val="32"/>
          <w:szCs w:val="32"/>
        </w:rPr>
        <w:t>所有境外贷款业务材料留存备查，保留期限为该笔境外贷</w:t>
      </w:r>
      <w:r w:rsidR="006B5587">
        <w:rPr>
          <w:rFonts w:ascii="仿宋_GB2312" w:eastAsia="仿宋_GB2312" w:hAnsi="仿宋_GB2312" w:cs="仿宋_GB2312" w:hint="eastAsia"/>
          <w:sz w:val="32"/>
          <w:szCs w:val="32"/>
        </w:rPr>
        <w:t>款业务结束之日起5年。</w:t>
      </w:r>
    </w:p>
    <w:p w:rsidR="004157FB" w:rsidRDefault="00BA7059" w:rsidP="004157FB">
      <w:pPr>
        <w:spacing w:line="600" w:lineRule="exact"/>
        <w:ind w:firstLineChars="180" w:firstLine="576"/>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sidR="00293755">
        <w:rPr>
          <w:rFonts w:ascii="仿宋_GB2312" w:eastAsia="仿宋_GB2312" w:hAnsi="仿宋_GB2312" w:cs="仿宋_GB2312" w:hint="eastAsia"/>
          <w:sz w:val="32"/>
          <w:szCs w:val="32"/>
        </w:rPr>
        <w:t>一</w:t>
      </w:r>
      <w:r w:rsidR="00AC2E29">
        <w:rPr>
          <w:rFonts w:ascii="仿宋_GB2312" w:eastAsia="仿宋_GB2312" w:hAnsi="仿宋_GB2312" w:cs="仿宋_GB2312" w:hint="eastAsia"/>
          <w:sz w:val="32"/>
          <w:szCs w:val="32"/>
        </w:rPr>
        <w:t>、</w:t>
      </w:r>
      <w:r w:rsidR="00200BB7">
        <w:rPr>
          <w:rFonts w:ascii="仿宋_GB2312" w:eastAsia="仿宋_GB2312" w:hAnsi="仿宋_GB2312" w:cs="仿宋_GB2312" w:hint="eastAsia"/>
          <w:sz w:val="32"/>
          <w:szCs w:val="32"/>
        </w:rPr>
        <w:t>境内银行在办</w:t>
      </w:r>
      <w:r w:rsidR="00200BB7" w:rsidRPr="00B16EDC">
        <w:rPr>
          <w:rFonts w:ascii="仿宋_GB2312" w:eastAsia="仿宋_GB2312" w:hAnsi="仿宋_GB2312" w:cs="仿宋_GB2312" w:hint="eastAsia"/>
          <w:sz w:val="32"/>
          <w:szCs w:val="32"/>
        </w:rPr>
        <w:t>理境外贷款业务时，</w:t>
      </w:r>
      <w:r w:rsidR="00200BB7" w:rsidRPr="009B609D">
        <w:rPr>
          <w:rFonts w:ascii="仿宋_GB2312" w:eastAsia="仿宋_GB2312" w:hAnsi="仿宋_GB2312" w:cs="仿宋_GB2312" w:hint="eastAsia"/>
          <w:sz w:val="32"/>
          <w:szCs w:val="32"/>
        </w:rPr>
        <w:t>应</w:t>
      </w:r>
      <w:r w:rsidR="00200BB7" w:rsidRPr="009B609D">
        <w:rPr>
          <w:rFonts w:ascii="仿宋_GB2312" w:eastAsia="仿宋_GB2312" w:hAnsi="仿宋_GB2312" w:cs="仿宋_GB2312"/>
          <w:sz w:val="32"/>
          <w:szCs w:val="32"/>
        </w:rPr>
        <w:t>当遵守国家法律法规和</w:t>
      </w:r>
      <w:r w:rsidR="00200BB7" w:rsidRPr="009B609D">
        <w:rPr>
          <w:rFonts w:ascii="仿宋_GB2312" w:eastAsia="仿宋_GB2312" w:hAnsi="仿宋_GB2312" w:cs="仿宋_GB2312" w:hint="eastAsia"/>
          <w:sz w:val="32"/>
          <w:szCs w:val="32"/>
        </w:rPr>
        <w:t>相关</w:t>
      </w:r>
      <w:r w:rsidR="00200BB7" w:rsidRPr="009B609D">
        <w:rPr>
          <w:rFonts w:ascii="仿宋_GB2312" w:eastAsia="仿宋_GB2312" w:hAnsi="仿宋_GB2312" w:cs="仿宋_GB2312"/>
          <w:sz w:val="32"/>
          <w:szCs w:val="32"/>
        </w:rPr>
        <w:t>主管部门的规定，</w:t>
      </w:r>
      <w:r w:rsidR="00200BB7" w:rsidRPr="009B609D">
        <w:rPr>
          <w:rFonts w:ascii="仿宋_GB2312" w:eastAsia="仿宋_GB2312" w:hAnsi="仿宋_GB2312" w:cs="仿宋_GB2312" w:hint="eastAsia"/>
          <w:sz w:val="32"/>
          <w:szCs w:val="32"/>
        </w:rPr>
        <w:t>遵循依法合规、审慎经营、风险可控的原则</w:t>
      </w:r>
      <w:r w:rsidR="00200BB7">
        <w:rPr>
          <w:rFonts w:ascii="仿宋_GB2312" w:eastAsia="仿宋_GB2312" w:hAnsi="仿宋_GB2312" w:cs="仿宋_GB2312" w:hint="eastAsia"/>
          <w:sz w:val="32"/>
          <w:szCs w:val="32"/>
        </w:rPr>
        <w:t>,</w:t>
      </w:r>
      <w:r w:rsidR="00B16EDC" w:rsidRPr="00B16EDC">
        <w:rPr>
          <w:rFonts w:eastAsia="仿宋_GB2312" w:hint="eastAsia"/>
          <w:color w:val="000000"/>
          <w:sz w:val="32"/>
          <w:szCs w:val="32"/>
        </w:rPr>
        <w:t>切实做好</w:t>
      </w:r>
      <w:r w:rsidR="006432C3">
        <w:rPr>
          <w:rFonts w:ascii="仿宋_GB2312" w:eastAsia="仿宋_GB2312" w:hAnsi="Times New Roman" w:cs="Times New Roman" w:hint="eastAsia"/>
          <w:color w:val="000000"/>
          <w:sz w:val="32"/>
          <w:szCs w:val="32"/>
        </w:rPr>
        <w:t>境外贷款</w:t>
      </w:r>
      <w:r w:rsidR="00B16EDC" w:rsidRPr="00B16EDC">
        <w:rPr>
          <w:rFonts w:eastAsia="仿宋_GB2312" w:hint="eastAsia"/>
          <w:color w:val="000000"/>
          <w:sz w:val="32"/>
          <w:szCs w:val="32"/>
        </w:rPr>
        <w:t>业务的风险管理工作；应</w:t>
      </w:r>
      <w:r w:rsidR="00300A34" w:rsidRPr="00B16EDC">
        <w:rPr>
          <w:rFonts w:ascii="仿宋_GB2312" w:eastAsia="仿宋_GB2312" w:hAnsi="仿宋_GB2312" w:cs="仿宋_GB2312" w:hint="eastAsia"/>
          <w:sz w:val="32"/>
          <w:szCs w:val="32"/>
        </w:rPr>
        <w:t>按照《</w:t>
      </w:r>
      <w:r w:rsidR="00300A34">
        <w:rPr>
          <w:rFonts w:ascii="仿宋_GB2312" w:eastAsia="仿宋_GB2312" w:hAnsi="仿宋_GB2312" w:cs="仿宋_GB2312" w:hint="eastAsia"/>
          <w:sz w:val="32"/>
          <w:szCs w:val="32"/>
        </w:rPr>
        <w:t>中华人民共和国反洗钱法》和其他有关规定，切实履行反洗钱、反恐怖融资、反逃税义务。</w:t>
      </w:r>
      <w:r w:rsidR="004B59BE" w:rsidRPr="004B59BE">
        <w:rPr>
          <w:rFonts w:ascii="仿宋_GB2312" w:eastAsia="仿宋_GB2312"/>
          <w:color w:val="000000"/>
          <w:sz w:val="30"/>
          <w:szCs w:val="30"/>
        </w:rPr>
        <w:t xml:space="preserve"> </w:t>
      </w:r>
    </w:p>
    <w:p w:rsidR="004157FB" w:rsidRDefault="00FF7BC5" w:rsidP="004157F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w:t>
      </w:r>
      <w:r w:rsidR="005B0030">
        <w:rPr>
          <w:rFonts w:ascii="仿宋_GB2312" w:eastAsia="仿宋_GB2312" w:hAnsi="仿宋_GB2312" w:cs="仿宋_GB2312" w:hint="eastAsia"/>
          <w:sz w:val="32"/>
          <w:szCs w:val="32"/>
        </w:rPr>
        <w:t>、政策性银行境外贷款</w:t>
      </w:r>
      <w:r w:rsidR="00404531">
        <w:rPr>
          <w:rFonts w:ascii="仿宋_GB2312" w:eastAsia="仿宋_GB2312" w:hAnsi="仿宋_GB2312" w:cs="仿宋_GB2312" w:hint="eastAsia"/>
          <w:sz w:val="32"/>
          <w:szCs w:val="32"/>
        </w:rPr>
        <w:t>以及自由贸易试验区银行境外贷款等</w:t>
      </w:r>
      <w:r w:rsidR="005B0030">
        <w:rPr>
          <w:rFonts w:ascii="仿宋_GB2312" w:eastAsia="仿宋_GB2312" w:hAnsi="仿宋_GB2312" w:cs="仿宋_GB2312" w:hint="eastAsia"/>
          <w:sz w:val="32"/>
          <w:szCs w:val="32"/>
        </w:rPr>
        <w:t>统一按本</w:t>
      </w:r>
      <w:r w:rsidR="00F34939">
        <w:rPr>
          <w:rFonts w:ascii="仿宋_GB2312" w:eastAsia="仿宋_GB2312" w:hAnsi="仿宋_GB2312" w:cs="仿宋_GB2312" w:hint="eastAsia"/>
          <w:sz w:val="32"/>
          <w:szCs w:val="32"/>
        </w:rPr>
        <w:t>规定</w:t>
      </w:r>
      <w:r w:rsidR="005B0030">
        <w:rPr>
          <w:rFonts w:ascii="仿宋_GB2312" w:eastAsia="仿宋_GB2312" w:hAnsi="仿宋_GB2312" w:cs="仿宋_GB2312" w:hint="eastAsia"/>
          <w:sz w:val="32"/>
          <w:szCs w:val="32"/>
        </w:rPr>
        <w:t>模式管理，境内银行已发放境外贷款余额纳入本</w:t>
      </w:r>
      <w:r w:rsidR="00F34939">
        <w:rPr>
          <w:rFonts w:ascii="仿宋_GB2312" w:eastAsia="仿宋_GB2312" w:hAnsi="仿宋_GB2312" w:cs="仿宋_GB2312" w:hint="eastAsia"/>
          <w:sz w:val="32"/>
          <w:szCs w:val="32"/>
        </w:rPr>
        <w:t>规定</w:t>
      </w:r>
      <w:r w:rsidR="005B0030">
        <w:rPr>
          <w:rFonts w:ascii="仿宋_GB2312" w:eastAsia="仿宋_GB2312" w:hAnsi="仿宋_GB2312" w:cs="仿宋_GB2312" w:hint="eastAsia"/>
          <w:sz w:val="32"/>
          <w:szCs w:val="32"/>
        </w:rPr>
        <w:t>境外贷款余额计算</w:t>
      </w:r>
      <w:r w:rsidR="00580E5F">
        <w:rPr>
          <w:rFonts w:ascii="仿宋_GB2312" w:eastAsia="仿宋_GB2312" w:hAnsi="仿宋_GB2312" w:cs="仿宋_GB2312" w:hint="eastAsia"/>
          <w:sz w:val="32"/>
          <w:szCs w:val="32"/>
        </w:rPr>
        <w:t>。境内银行向境外主权类机构发放贷款业务参照本</w:t>
      </w:r>
      <w:r w:rsidR="00F34939">
        <w:rPr>
          <w:rFonts w:ascii="仿宋_GB2312" w:eastAsia="仿宋_GB2312" w:hAnsi="仿宋_GB2312" w:cs="仿宋_GB2312" w:hint="eastAsia"/>
          <w:sz w:val="32"/>
          <w:szCs w:val="32"/>
        </w:rPr>
        <w:t>规定</w:t>
      </w:r>
      <w:r w:rsidR="00580E5F">
        <w:rPr>
          <w:rFonts w:ascii="仿宋_GB2312" w:eastAsia="仿宋_GB2312" w:hAnsi="仿宋_GB2312" w:cs="仿宋_GB2312" w:hint="eastAsia"/>
          <w:sz w:val="32"/>
          <w:szCs w:val="32"/>
        </w:rPr>
        <w:t>执行，纳入境外贷款余额统计。</w:t>
      </w:r>
      <w:r w:rsidR="00506DEE" w:rsidRPr="004A331E">
        <w:rPr>
          <w:rFonts w:ascii="仿宋_GB2312" w:eastAsia="仿宋_GB2312" w:hAnsi="仿宋_GB2312" w:cs="仿宋_GB2312" w:hint="eastAsia"/>
          <w:sz w:val="32"/>
          <w:szCs w:val="32"/>
        </w:rPr>
        <w:t>境内银行通过</w:t>
      </w:r>
      <w:r w:rsidR="001C2548" w:rsidRPr="004A331E">
        <w:rPr>
          <w:rFonts w:ascii="仿宋_GB2312" w:eastAsia="仿宋_GB2312" w:hAnsi="仿宋_GB2312" w:cs="仿宋_GB2312" w:hint="eastAsia"/>
          <w:sz w:val="32"/>
          <w:szCs w:val="32"/>
        </w:rPr>
        <w:t>自由贸易账户分账核算单元向境外企业发放的人民币贷款，按自由贸易账户相关规定办理</w:t>
      </w:r>
      <w:r w:rsidR="001C2548" w:rsidRPr="001C2548">
        <w:rPr>
          <w:rFonts w:ascii="仿宋_GB2312" w:eastAsia="仿宋_GB2312" w:hAnsi="仿宋_GB2312" w:cs="仿宋_GB2312" w:hint="eastAsia"/>
          <w:sz w:val="32"/>
          <w:szCs w:val="32"/>
        </w:rPr>
        <w:t>（使用境内总行下拨资金发放的境外企业人民币贷款需纳入境外贷款余额统计）。</w:t>
      </w:r>
    </w:p>
    <w:p w:rsidR="004157FB" w:rsidRDefault="00FF7BC5" w:rsidP="004157FB">
      <w:pPr>
        <w:spacing w:line="600" w:lineRule="exact"/>
        <w:ind w:firstLineChars="200" w:firstLine="640"/>
        <w:rPr>
          <w:rFonts w:ascii="仿宋_GB2312" w:eastAsia="仿宋_GB2312" w:hAnsi="仿宋_GB2312" w:cs="仿宋_GB2312"/>
          <w:sz w:val="32"/>
          <w:szCs w:val="32"/>
        </w:rPr>
      </w:pPr>
      <w:r w:rsidRPr="009C42FA">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三</w:t>
      </w:r>
      <w:r w:rsidR="001C2548" w:rsidRPr="009C42FA">
        <w:rPr>
          <w:rFonts w:ascii="仿宋_GB2312" w:eastAsia="仿宋_GB2312" w:hAnsi="仿宋_GB2312" w:cs="仿宋_GB2312" w:hint="eastAsia"/>
          <w:sz w:val="32"/>
          <w:szCs w:val="32"/>
        </w:rPr>
        <w:t>、中国人民银行总行、国家外汇管理局对</w:t>
      </w:r>
      <w:r w:rsidR="001C2548" w:rsidRPr="009C42FA">
        <w:rPr>
          <w:rFonts w:ascii="仿宋_GB2312" w:eastAsia="仿宋_GB2312" w:hAnsi="仿宋_GB2312" w:cs="仿宋_GB2312"/>
          <w:sz w:val="32"/>
          <w:szCs w:val="32"/>
        </w:rPr>
        <w:t>27家银行境外贷款业务实行统一管理，中国人民银行、国家外汇管理局副省级以上分支机构按照属地管理原则对27家银行以外的其他银行境外贷款业务进行管理</w:t>
      </w:r>
      <w:r w:rsidR="007312F2">
        <w:rPr>
          <w:rFonts w:ascii="仿宋_GB2312" w:eastAsia="仿宋_GB2312" w:hAnsi="仿宋_GB2312" w:cs="仿宋_GB2312" w:hint="eastAsia"/>
          <w:sz w:val="32"/>
          <w:szCs w:val="32"/>
        </w:rPr>
        <w:t>（27家银行名单见附件2）</w:t>
      </w:r>
      <w:r w:rsidR="001C2548" w:rsidRPr="009C42FA">
        <w:rPr>
          <w:rFonts w:ascii="仿宋_GB2312" w:eastAsia="仿宋_GB2312" w:hAnsi="仿宋_GB2312" w:cs="仿宋_GB2312"/>
          <w:sz w:val="32"/>
          <w:szCs w:val="32"/>
        </w:rPr>
        <w:t>。开展境外贷款业务的银行应于每年6月底之前向中国人民银行总行</w:t>
      </w:r>
      <w:r w:rsidR="001C2548" w:rsidRPr="009C42FA">
        <w:rPr>
          <w:rFonts w:ascii="仿宋_GB2312" w:eastAsia="仿宋_GB2312" w:hAnsi="仿宋_GB2312" w:cs="仿宋_GB2312" w:hint="eastAsia"/>
          <w:sz w:val="32"/>
          <w:szCs w:val="32"/>
        </w:rPr>
        <w:t>、国家外汇管理局或其分支机构报告最近一期经审计的资本数据、上年度境外贷款业务开展情况和本年度计划。</w:t>
      </w:r>
    </w:p>
    <w:p w:rsidR="004157FB" w:rsidRDefault="00F45AFA" w:rsidP="004157F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十四</w:t>
      </w:r>
      <w:r w:rsidR="00AC2E29">
        <w:rPr>
          <w:rFonts w:ascii="仿宋_GB2312" w:eastAsia="仿宋_GB2312" w:hAnsi="仿宋_GB2312" w:cs="仿宋_GB2312" w:hint="eastAsia"/>
          <w:sz w:val="32"/>
          <w:szCs w:val="32"/>
        </w:rPr>
        <w:t>、</w:t>
      </w:r>
      <w:r w:rsidR="00300A34">
        <w:rPr>
          <w:rFonts w:ascii="仿宋_GB2312" w:eastAsia="仿宋_GB2312" w:hAnsi="仿宋_GB2312" w:cs="仿宋_GB2312" w:hint="eastAsia"/>
          <w:sz w:val="32"/>
          <w:szCs w:val="32"/>
        </w:rPr>
        <w:t>本</w:t>
      </w:r>
      <w:r w:rsidR="00F34939">
        <w:rPr>
          <w:rFonts w:ascii="仿宋_GB2312" w:eastAsia="仿宋_GB2312" w:hAnsi="仿宋_GB2312" w:cs="仿宋_GB2312" w:hint="eastAsia"/>
          <w:sz w:val="32"/>
          <w:szCs w:val="32"/>
        </w:rPr>
        <w:t>规定</w:t>
      </w:r>
      <w:r w:rsidR="00300A34">
        <w:rPr>
          <w:rFonts w:ascii="仿宋_GB2312" w:eastAsia="仿宋_GB2312" w:hAnsi="仿宋_GB2312" w:cs="仿宋_GB2312" w:hint="eastAsia"/>
          <w:sz w:val="32"/>
          <w:szCs w:val="32"/>
        </w:rPr>
        <w:t>自XX年XX月 XX日起实施，《中国人民银行关于政策性银行为合格境外机构办理人民币贷款业务和货币互换业务有关问题的通知》（银发〔2007〕81号）、《中国人民银行关于境内银行业金融机构境外项目人民币贷款的指导意见》（银发〔2011〕255号）同时废止。</w:t>
      </w:r>
    </w:p>
    <w:p w:rsidR="004157FB" w:rsidRDefault="004157FB" w:rsidP="004157FB">
      <w:pPr>
        <w:spacing w:line="600" w:lineRule="exact"/>
        <w:ind w:firstLineChars="200" w:firstLine="640"/>
        <w:rPr>
          <w:rFonts w:ascii="仿宋_GB2312" w:eastAsia="仿宋_GB2312" w:hAnsi="仿宋_GB2312" w:cs="仿宋_GB2312"/>
          <w:sz w:val="32"/>
          <w:szCs w:val="32"/>
        </w:rPr>
      </w:pPr>
    </w:p>
    <w:p w:rsidR="004157FB" w:rsidRPr="003D4005" w:rsidRDefault="004157FB" w:rsidP="004157FB">
      <w:pPr>
        <w:spacing w:line="600" w:lineRule="exact"/>
        <w:ind w:firstLineChars="200" w:firstLine="640"/>
        <w:rPr>
          <w:rFonts w:ascii="仿宋_GB2312" w:eastAsia="仿宋_GB2312" w:hAnsi="仿宋_GB2312" w:cs="仿宋_GB2312"/>
          <w:sz w:val="32"/>
          <w:szCs w:val="32"/>
        </w:rPr>
      </w:pPr>
    </w:p>
    <w:p w:rsidR="00700520" w:rsidRDefault="00AC2E29" w:rsidP="004157F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700520">
        <w:rPr>
          <w:rFonts w:ascii="仿宋_GB2312" w:eastAsia="仿宋_GB2312" w:hAnsi="仿宋_GB2312" w:cs="仿宋_GB2312" w:hint="eastAsia"/>
          <w:sz w:val="32"/>
          <w:szCs w:val="32"/>
        </w:rPr>
        <w:t>1</w:t>
      </w:r>
      <w:r w:rsidR="00700520" w:rsidRPr="002F317E">
        <w:rPr>
          <w:rFonts w:ascii="仿宋_GB2312" w:eastAsia="仿宋_GB2312" w:hAnsi="仿宋_GB2312" w:cs="仿宋_GB2312" w:hint="eastAsia"/>
          <w:sz w:val="32"/>
          <w:szCs w:val="32"/>
        </w:rPr>
        <w:t>. 参数设置</w:t>
      </w:r>
    </w:p>
    <w:p w:rsidR="004157FB" w:rsidRPr="002F317E" w:rsidRDefault="00700520" w:rsidP="00700520">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BD3336" w:rsidRPr="002F317E">
        <w:rPr>
          <w:rFonts w:ascii="仿宋_GB2312" w:eastAsia="仿宋_GB2312" w:hAnsi="仿宋_GB2312" w:cs="仿宋_GB2312" w:hint="eastAsia"/>
          <w:sz w:val="32"/>
          <w:szCs w:val="32"/>
        </w:rPr>
        <w:t xml:space="preserve">. </w:t>
      </w:r>
      <w:r w:rsidR="00AC2E29" w:rsidRPr="002F317E">
        <w:rPr>
          <w:rFonts w:ascii="仿宋_GB2312" w:eastAsia="仿宋_GB2312" w:hAnsi="仿宋_GB2312" w:cs="仿宋_GB2312" w:hint="eastAsia"/>
          <w:sz w:val="32"/>
          <w:szCs w:val="32"/>
        </w:rPr>
        <w:t>27家银行类金融机构名单</w:t>
      </w:r>
    </w:p>
    <w:p w:rsidR="00BD3336" w:rsidRDefault="002F317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2F317E" w:rsidRDefault="002F317E">
      <w:pPr>
        <w:rPr>
          <w:rFonts w:ascii="仿宋_GB2312" w:eastAsia="仿宋_GB2312" w:hAnsi="仿宋_GB2312" w:cs="仿宋_GB2312"/>
          <w:sz w:val="32"/>
          <w:szCs w:val="32"/>
        </w:rPr>
      </w:pPr>
    </w:p>
    <w:p w:rsidR="002F317E" w:rsidRDefault="002F317E">
      <w:pPr>
        <w:rPr>
          <w:rFonts w:ascii="仿宋_GB2312" w:eastAsia="仿宋_GB2312" w:hAnsi="仿宋_GB2312" w:cs="仿宋_GB2312"/>
          <w:sz w:val="32"/>
          <w:szCs w:val="32"/>
        </w:rPr>
      </w:pPr>
    </w:p>
    <w:p w:rsidR="002F317E" w:rsidRDefault="002F317E">
      <w:pPr>
        <w:rPr>
          <w:rFonts w:ascii="仿宋_GB2312" w:eastAsia="仿宋_GB2312" w:hAnsi="仿宋_GB2312" w:cs="仿宋_GB2312"/>
          <w:sz w:val="32"/>
          <w:szCs w:val="32"/>
        </w:rPr>
      </w:pPr>
    </w:p>
    <w:p w:rsidR="002F317E" w:rsidRDefault="002F317E">
      <w:pPr>
        <w:rPr>
          <w:rFonts w:ascii="仿宋_GB2312" w:eastAsia="仿宋_GB2312" w:hAnsi="仿宋_GB2312" w:cs="仿宋_GB2312"/>
          <w:sz w:val="32"/>
          <w:szCs w:val="32"/>
        </w:rPr>
      </w:pPr>
    </w:p>
    <w:p w:rsidR="002F317E" w:rsidRDefault="002F317E">
      <w:pPr>
        <w:rPr>
          <w:rFonts w:ascii="仿宋_GB2312" w:eastAsia="仿宋_GB2312" w:hAnsi="仿宋_GB2312" w:cs="仿宋_GB2312"/>
          <w:sz w:val="32"/>
          <w:szCs w:val="32"/>
        </w:rPr>
      </w:pPr>
    </w:p>
    <w:p w:rsidR="002F317E" w:rsidRDefault="002F317E">
      <w:pPr>
        <w:rPr>
          <w:rFonts w:ascii="仿宋_GB2312" w:eastAsia="仿宋_GB2312" w:hAnsi="仿宋_GB2312" w:cs="仿宋_GB2312"/>
          <w:sz w:val="32"/>
          <w:szCs w:val="32"/>
        </w:rPr>
      </w:pPr>
    </w:p>
    <w:p w:rsidR="002F317E" w:rsidRDefault="002F317E">
      <w:pPr>
        <w:rPr>
          <w:rFonts w:ascii="仿宋_GB2312" w:eastAsia="仿宋_GB2312" w:hAnsi="仿宋_GB2312" w:cs="仿宋_GB2312"/>
          <w:sz w:val="32"/>
          <w:szCs w:val="32"/>
        </w:rPr>
      </w:pPr>
    </w:p>
    <w:p w:rsidR="002F317E" w:rsidRDefault="002F317E">
      <w:pPr>
        <w:rPr>
          <w:rFonts w:ascii="仿宋_GB2312" w:eastAsia="仿宋_GB2312" w:hAnsi="仿宋_GB2312" w:cs="仿宋_GB2312"/>
          <w:sz w:val="32"/>
          <w:szCs w:val="32"/>
        </w:rPr>
      </w:pPr>
    </w:p>
    <w:p w:rsidR="00700520" w:rsidRDefault="00700520" w:rsidP="00904136">
      <w:pPr>
        <w:spacing w:beforeLines="50" w:afterLines="50"/>
        <w:rPr>
          <w:rFonts w:ascii="黑体" w:eastAsia="黑体" w:hAnsi="仿宋_GB2312" w:cs="仿宋_GB2312"/>
          <w:sz w:val="36"/>
          <w:szCs w:val="36"/>
        </w:rPr>
      </w:pPr>
    </w:p>
    <w:p w:rsidR="000C017F" w:rsidRDefault="000C017F" w:rsidP="00904136">
      <w:pPr>
        <w:spacing w:beforeLines="50" w:afterLines="50"/>
        <w:rPr>
          <w:rFonts w:ascii="黑体" w:eastAsia="黑体" w:hAnsi="仿宋_GB2312" w:cs="仿宋_GB2312"/>
          <w:sz w:val="36"/>
          <w:szCs w:val="36"/>
        </w:rPr>
      </w:pPr>
    </w:p>
    <w:p w:rsidR="000C017F" w:rsidRDefault="000C017F" w:rsidP="00904136">
      <w:pPr>
        <w:spacing w:beforeLines="50" w:afterLines="50"/>
        <w:rPr>
          <w:rFonts w:ascii="黑体" w:eastAsia="黑体" w:hAnsi="仿宋_GB2312" w:cs="仿宋_GB2312"/>
          <w:sz w:val="36"/>
          <w:szCs w:val="36"/>
        </w:rPr>
      </w:pPr>
    </w:p>
    <w:p w:rsidR="005E412C" w:rsidRPr="005E412C" w:rsidRDefault="005E412C" w:rsidP="00904136">
      <w:pPr>
        <w:spacing w:afterLines="100"/>
        <w:jc w:val="left"/>
        <w:rPr>
          <w:rFonts w:ascii="仿宋_GB2312" w:eastAsia="仿宋_GB2312" w:hAnsi="仿宋_GB2312" w:cs="仿宋_GB2312"/>
          <w:sz w:val="32"/>
          <w:szCs w:val="30"/>
        </w:rPr>
      </w:pPr>
      <w:r w:rsidRPr="005E412C">
        <w:rPr>
          <w:rFonts w:ascii="仿宋_GB2312" w:eastAsia="仿宋_GB2312" w:hAnsi="仿宋_GB2312" w:cs="仿宋_GB2312" w:hint="eastAsia"/>
          <w:sz w:val="32"/>
          <w:szCs w:val="30"/>
        </w:rPr>
        <w:lastRenderedPageBreak/>
        <w:t>附件</w:t>
      </w:r>
      <w:r>
        <w:rPr>
          <w:rFonts w:ascii="仿宋_GB2312" w:eastAsia="仿宋_GB2312" w:hAnsi="仿宋_GB2312" w:cs="仿宋_GB2312" w:hint="eastAsia"/>
          <w:sz w:val="32"/>
          <w:szCs w:val="30"/>
        </w:rPr>
        <w:t>1</w:t>
      </w:r>
    </w:p>
    <w:p w:rsidR="002F317E" w:rsidRPr="002F317E" w:rsidRDefault="002F317E" w:rsidP="00904136">
      <w:pPr>
        <w:spacing w:beforeLines="50" w:afterLines="50"/>
        <w:jc w:val="center"/>
        <w:rPr>
          <w:rFonts w:ascii="黑体" w:eastAsia="黑体" w:hAnsi="仿宋_GB2312" w:cs="仿宋_GB2312"/>
          <w:sz w:val="36"/>
          <w:szCs w:val="36"/>
        </w:rPr>
      </w:pPr>
      <w:r w:rsidRPr="002F317E">
        <w:rPr>
          <w:rFonts w:ascii="黑体" w:eastAsia="黑体" w:hAnsi="仿宋_GB2312" w:cs="仿宋_GB2312" w:hint="eastAsia"/>
          <w:sz w:val="36"/>
          <w:szCs w:val="36"/>
        </w:rPr>
        <w:t>参数设置</w:t>
      </w:r>
    </w:p>
    <w:tbl>
      <w:tblPr>
        <w:tblStyle w:val="ab"/>
        <w:tblW w:w="0" w:type="auto"/>
        <w:tblLook w:val="04A0"/>
      </w:tblPr>
      <w:tblGrid>
        <w:gridCol w:w="2916"/>
        <w:gridCol w:w="3288"/>
        <w:gridCol w:w="2318"/>
      </w:tblGrid>
      <w:tr w:rsidR="002F317E" w:rsidTr="002F317E">
        <w:tc>
          <w:tcPr>
            <w:tcW w:w="2916" w:type="dxa"/>
            <w:vMerge w:val="restart"/>
            <w:vAlign w:val="center"/>
          </w:tcPr>
          <w:p w:rsidR="002F317E" w:rsidRDefault="002F317E" w:rsidP="002F317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境外贷款杠杆率</w:t>
            </w:r>
          </w:p>
        </w:tc>
        <w:tc>
          <w:tcPr>
            <w:tcW w:w="3288" w:type="dxa"/>
            <w:vAlign w:val="center"/>
          </w:tcPr>
          <w:p w:rsidR="002F317E" w:rsidRDefault="002F317E" w:rsidP="002F317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国家开发银行</w:t>
            </w:r>
          </w:p>
        </w:tc>
        <w:tc>
          <w:tcPr>
            <w:tcW w:w="2318" w:type="dxa"/>
            <w:vMerge w:val="restart"/>
            <w:vAlign w:val="center"/>
          </w:tcPr>
          <w:p w:rsidR="002F317E" w:rsidRDefault="002F317E" w:rsidP="002F317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w:t>
            </w:r>
          </w:p>
        </w:tc>
      </w:tr>
      <w:tr w:rsidR="002F317E" w:rsidTr="002F317E">
        <w:tc>
          <w:tcPr>
            <w:tcW w:w="2916" w:type="dxa"/>
            <w:vMerge/>
            <w:vAlign w:val="center"/>
          </w:tcPr>
          <w:p w:rsidR="002F317E" w:rsidRDefault="002F317E" w:rsidP="002F317E">
            <w:pPr>
              <w:jc w:val="center"/>
              <w:rPr>
                <w:rFonts w:ascii="仿宋_GB2312" w:eastAsia="仿宋_GB2312" w:hAnsi="仿宋_GB2312" w:cs="仿宋_GB2312"/>
                <w:sz w:val="32"/>
                <w:szCs w:val="32"/>
              </w:rPr>
            </w:pPr>
          </w:p>
        </w:tc>
        <w:tc>
          <w:tcPr>
            <w:tcW w:w="3288" w:type="dxa"/>
            <w:vAlign w:val="center"/>
          </w:tcPr>
          <w:p w:rsidR="002F317E" w:rsidRDefault="002F317E" w:rsidP="002F317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进出口银行</w:t>
            </w:r>
          </w:p>
        </w:tc>
        <w:tc>
          <w:tcPr>
            <w:tcW w:w="2318" w:type="dxa"/>
            <w:vMerge/>
            <w:vAlign w:val="center"/>
          </w:tcPr>
          <w:p w:rsidR="002F317E" w:rsidRDefault="002F317E" w:rsidP="002F317E">
            <w:pPr>
              <w:jc w:val="center"/>
              <w:rPr>
                <w:rFonts w:ascii="仿宋_GB2312" w:eastAsia="仿宋_GB2312" w:hAnsi="仿宋_GB2312" w:cs="仿宋_GB2312"/>
                <w:sz w:val="32"/>
                <w:szCs w:val="32"/>
              </w:rPr>
            </w:pPr>
          </w:p>
        </w:tc>
      </w:tr>
      <w:tr w:rsidR="002F317E" w:rsidTr="002F317E">
        <w:tc>
          <w:tcPr>
            <w:tcW w:w="2916" w:type="dxa"/>
            <w:vMerge/>
            <w:vAlign w:val="center"/>
          </w:tcPr>
          <w:p w:rsidR="002F317E" w:rsidRDefault="002F317E" w:rsidP="002F317E">
            <w:pPr>
              <w:jc w:val="center"/>
              <w:rPr>
                <w:rFonts w:ascii="仿宋_GB2312" w:eastAsia="仿宋_GB2312" w:hAnsi="仿宋_GB2312" w:cs="仿宋_GB2312"/>
                <w:sz w:val="32"/>
                <w:szCs w:val="32"/>
              </w:rPr>
            </w:pPr>
          </w:p>
        </w:tc>
        <w:tc>
          <w:tcPr>
            <w:tcW w:w="3288" w:type="dxa"/>
            <w:vAlign w:val="center"/>
          </w:tcPr>
          <w:p w:rsidR="002F317E" w:rsidRDefault="002F317E" w:rsidP="002F317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其他银行</w:t>
            </w:r>
          </w:p>
        </w:tc>
        <w:tc>
          <w:tcPr>
            <w:tcW w:w="2318" w:type="dxa"/>
            <w:vAlign w:val="center"/>
          </w:tcPr>
          <w:p w:rsidR="002F317E" w:rsidRDefault="002F317E" w:rsidP="002F317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0.5</w:t>
            </w:r>
          </w:p>
        </w:tc>
      </w:tr>
      <w:tr w:rsidR="002F317E" w:rsidTr="002F317E">
        <w:tc>
          <w:tcPr>
            <w:tcW w:w="2916" w:type="dxa"/>
            <w:vAlign w:val="center"/>
          </w:tcPr>
          <w:p w:rsidR="002F317E" w:rsidRDefault="002F317E" w:rsidP="002F317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宏观审慎调节参数</w:t>
            </w:r>
          </w:p>
        </w:tc>
        <w:tc>
          <w:tcPr>
            <w:tcW w:w="5606" w:type="dxa"/>
            <w:gridSpan w:val="2"/>
            <w:vAlign w:val="center"/>
          </w:tcPr>
          <w:p w:rsidR="002F317E" w:rsidRDefault="002F317E" w:rsidP="002F317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r>
      <w:tr w:rsidR="002F317E" w:rsidTr="002F317E">
        <w:tc>
          <w:tcPr>
            <w:tcW w:w="2916" w:type="dxa"/>
            <w:vAlign w:val="center"/>
          </w:tcPr>
          <w:p w:rsidR="002F317E" w:rsidRDefault="002F317E" w:rsidP="002F317E">
            <w:pPr>
              <w:jc w:val="center"/>
              <w:rPr>
                <w:rFonts w:ascii="仿宋_GB2312" w:eastAsia="仿宋_GB2312" w:hAnsi="仿宋_GB2312" w:cs="仿宋_GB2312"/>
                <w:sz w:val="32"/>
                <w:szCs w:val="32"/>
              </w:rPr>
            </w:pPr>
            <w:r w:rsidRPr="009C42FA">
              <w:rPr>
                <w:rFonts w:ascii="仿宋_GB2312" w:eastAsia="仿宋_GB2312" w:hAnsi="仿宋_GB2312" w:cs="仿宋_GB2312" w:hint="eastAsia"/>
                <w:sz w:val="32"/>
                <w:szCs w:val="32"/>
              </w:rPr>
              <w:t>汇率风险折算因子</w:t>
            </w:r>
          </w:p>
        </w:tc>
        <w:tc>
          <w:tcPr>
            <w:tcW w:w="5606" w:type="dxa"/>
            <w:gridSpan w:val="2"/>
            <w:vAlign w:val="center"/>
          </w:tcPr>
          <w:p w:rsidR="002F317E" w:rsidRDefault="002F317E" w:rsidP="002F317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0.5</w:t>
            </w:r>
          </w:p>
        </w:tc>
      </w:tr>
      <w:tr w:rsidR="00834405" w:rsidTr="00FE0329">
        <w:tc>
          <w:tcPr>
            <w:tcW w:w="8522" w:type="dxa"/>
            <w:gridSpan w:val="3"/>
            <w:vAlign w:val="center"/>
          </w:tcPr>
          <w:p w:rsidR="00834405" w:rsidRDefault="00834405" w:rsidP="00C848D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一级资本净额</w:t>
            </w:r>
            <w:r w:rsidR="007312F2">
              <w:rPr>
                <w:rFonts w:ascii="仿宋_GB2312" w:eastAsia="仿宋_GB2312" w:hAnsi="仿宋_GB2312" w:cs="仿宋_GB2312" w:hint="eastAsia"/>
                <w:sz w:val="32"/>
                <w:szCs w:val="32"/>
              </w:rPr>
              <w:t>（外国银行境内分行按营运资金计）</w:t>
            </w:r>
            <w:r w:rsidR="00893F74" w:rsidRPr="00893F74">
              <w:rPr>
                <w:rFonts w:ascii="宋体" w:hAnsi="宋体" w:cs="宋体" w:hint="eastAsia"/>
                <w:sz w:val="32"/>
                <w:szCs w:val="32"/>
              </w:rPr>
              <w:t>≦</w:t>
            </w:r>
            <w:r>
              <w:rPr>
                <w:rFonts w:ascii="宋体" w:hAnsi="宋体" w:cs="宋体" w:hint="eastAsia"/>
                <w:sz w:val="32"/>
                <w:szCs w:val="32"/>
              </w:rPr>
              <w:t>20</w:t>
            </w:r>
            <w:r w:rsidRPr="00AF32A0">
              <w:rPr>
                <w:rFonts w:ascii="仿宋_GB2312" w:eastAsia="仿宋_GB2312" w:hAnsi="宋体" w:cs="宋体" w:hint="eastAsia"/>
                <w:sz w:val="32"/>
                <w:szCs w:val="32"/>
              </w:rPr>
              <w:t>亿元的银行</w:t>
            </w:r>
            <w:r>
              <w:rPr>
                <w:rFonts w:ascii="仿宋_GB2312" w:eastAsia="仿宋_GB2312" w:hAnsi="宋体" w:cs="宋体" w:hint="eastAsia"/>
                <w:sz w:val="32"/>
                <w:szCs w:val="32"/>
              </w:rPr>
              <w:t>，</w:t>
            </w:r>
            <w:r w:rsidR="007312F2">
              <w:rPr>
                <w:rFonts w:ascii="仿宋_GB2312" w:eastAsia="仿宋_GB2312" w:hAnsi="仿宋_GB2312" w:cs="仿宋_GB2312" w:hint="eastAsia"/>
                <w:sz w:val="32"/>
                <w:szCs w:val="32"/>
              </w:rPr>
              <w:t>境外贷款余额上限</w:t>
            </w:r>
            <w:r w:rsidR="00C848DE">
              <w:rPr>
                <w:rFonts w:ascii="仿宋_GB2312" w:eastAsia="仿宋_GB2312" w:hAnsi="仿宋_GB2312" w:cs="仿宋_GB2312" w:hint="eastAsia"/>
                <w:sz w:val="32"/>
                <w:szCs w:val="32"/>
              </w:rPr>
              <w:t>=</w:t>
            </w:r>
            <w:r w:rsidR="007312F2">
              <w:rPr>
                <w:rFonts w:ascii="仿宋_GB2312" w:eastAsia="仿宋_GB2312" w:hAnsi="仿宋_GB2312" w:cs="仿宋_GB2312" w:hint="eastAsia"/>
                <w:sz w:val="32"/>
                <w:szCs w:val="32"/>
              </w:rPr>
              <w:t>境内银行一级资本净额（外国银行境内分行按营运资金计）</w:t>
            </w:r>
            <w:r w:rsidR="007312F2">
              <w:rPr>
                <w:rFonts w:ascii="仿宋_GB2312" w:eastAsia="仿宋_GB2312" w:hAnsi="仿宋_GB2312" w:cs="仿宋_GB2312"/>
                <w:sz w:val="32"/>
                <w:szCs w:val="32"/>
              </w:rPr>
              <w:t>*</w:t>
            </w:r>
            <w:r w:rsidR="007312F2">
              <w:rPr>
                <w:rFonts w:ascii="仿宋_GB2312" w:eastAsia="仿宋_GB2312" w:hAnsi="仿宋_GB2312" w:cs="仿宋_GB2312" w:hint="eastAsia"/>
                <w:sz w:val="32"/>
                <w:szCs w:val="32"/>
              </w:rPr>
              <w:t>境外贷款杠杆率</w:t>
            </w:r>
            <w:r w:rsidR="007312F2">
              <w:rPr>
                <w:rFonts w:ascii="仿宋_GB2312" w:eastAsia="仿宋_GB2312" w:hAnsi="仿宋_GB2312" w:cs="仿宋_GB2312"/>
                <w:sz w:val="32"/>
                <w:szCs w:val="32"/>
              </w:rPr>
              <w:t>*</w:t>
            </w:r>
            <w:r w:rsidR="007312F2">
              <w:rPr>
                <w:rFonts w:ascii="仿宋_GB2312" w:eastAsia="仿宋_GB2312" w:hAnsi="仿宋_GB2312" w:cs="仿宋_GB2312" w:hint="eastAsia"/>
                <w:sz w:val="32"/>
                <w:szCs w:val="32"/>
              </w:rPr>
              <w:t>宏观审慎调节参数</w:t>
            </w:r>
            <w:r w:rsidR="00C848DE">
              <w:rPr>
                <w:rFonts w:ascii="仿宋_GB2312" w:eastAsia="仿宋_GB2312" w:hAnsi="仿宋_GB2312" w:cs="仿宋_GB2312" w:hint="eastAsia"/>
                <w:sz w:val="32"/>
                <w:szCs w:val="32"/>
              </w:rPr>
              <w:t>+</w:t>
            </w:r>
            <w:r w:rsidR="007312F2">
              <w:rPr>
                <w:rFonts w:ascii="仿宋_GB2312" w:eastAsia="仿宋_GB2312" w:hAnsi="仿宋_GB2312" w:cs="仿宋_GB2312" w:hint="eastAsia"/>
                <w:sz w:val="32"/>
                <w:szCs w:val="32"/>
              </w:rPr>
              <w:t>20亿元</w:t>
            </w:r>
            <w:r w:rsidR="00C848DE">
              <w:rPr>
                <w:rFonts w:ascii="仿宋_GB2312" w:eastAsia="仿宋_GB2312" w:hAnsi="仿宋_GB2312" w:cs="仿宋_GB2312" w:hint="eastAsia"/>
                <w:sz w:val="32"/>
                <w:szCs w:val="32"/>
              </w:rPr>
              <w:t>初始额度</w:t>
            </w:r>
            <w:r>
              <w:rPr>
                <w:rFonts w:ascii="仿宋_GB2312" w:eastAsia="仿宋_GB2312" w:hAnsi="仿宋_GB2312" w:cs="仿宋_GB2312" w:hint="eastAsia"/>
                <w:sz w:val="32"/>
                <w:szCs w:val="32"/>
              </w:rPr>
              <w:t>。</w:t>
            </w:r>
          </w:p>
        </w:tc>
      </w:tr>
    </w:tbl>
    <w:p w:rsidR="002F317E" w:rsidRPr="002F317E" w:rsidRDefault="002F317E" w:rsidP="002F317E">
      <w:pPr>
        <w:jc w:val="center"/>
        <w:rPr>
          <w:rFonts w:ascii="仿宋_GB2312" w:eastAsia="仿宋_GB2312" w:hAnsi="仿宋_GB2312" w:cs="仿宋_GB2312"/>
          <w:sz w:val="32"/>
          <w:szCs w:val="32"/>
        </w:rPr>
      </w:pPr>
    </w:p>
    <w:p w:rsidR="00BD3336" w:rsidRPr="00BD3336" w:rsidRDefault="00BD3336">
      <w:pPr>
        <w:rPr>
          <w:rFonts w:ascii="仿宋_GB2312" w:eastAsia="仿宋_GB2312" w:hAnsi="仿宋_GB2312" w:cs="仿宋_GB2312"/>
          <w:sz w:val="30"/>
          <w:szCs w:val="30"/>
        </w:rPr>
        <w:sectPr w:rsidR="00BD3336" w:rsidRPr="00BD3336">
          <w:footerReference w:type="default" r:id="rId8"/>
          <w:pgSz w:w="11906" w:h="16838"/>
          <w:pgMar w:top="1440" w:right="1800" w:bottom="1440" w:left="1800" w:header="851" w:footer="992" w:gutter="0"/>
          <w:cols w:space="720"/>
          <w:docGrid w:type="lines" w:linePitch="312"/>
        </w:sectPr>
      </w:pPr>
      <w:r>
        <w:rPr>
          <w:rFonts w:ascii="仿宋_GB2312" w:eastAsia="仿宋_GB2312" w:hAnsi="仿宋_GB2312" w:cs="仿宋_GB2312" w:hint="eastAsia"/>
          <w:sz w:val="30"/>
          <w:szCs w:val="30"/>
        </w:rPr>
        <w:t xml:space="preserve">          </w:t>
      </w:r>
    </w:p>
    <w:p w:rsidR="005E412C" w:rsidRPr="005E412C" w:rsidRDefault="005E412C" w:rsidP="00904136">
      <w:pPr>
        <w:spacing w:afterLines="100"/>
        <w:jc w:val="left"/>
        <w:rPr>
          <w:rFonts w:ascii="仿宋_GB2312" w:eastAsia="仿宋_GB2312" w:hAnsi="仿宋_GB2312" w:cs="仿宋_GB2312"/>
          <w:sz w:val="32"/>
          <w:szCs w:val="30"/>
        </w:rPr>
      </w:pPr>
      <w:bookmarkStart w:id="0" w:name="_GoBack"/>
      <w:bookmarkEnd w:id="0"/>
      <w:r w:rsidRPr="005E412C">
        <w:rPr>
          <w:rFonts w:ascii="仿宋_GB2312" w:eastAsia="仿宋_GB2312" w:hAnsi="仿宋_GB2312" w:cs="仿宋_GB2312" w:hint="eastAsia"/>
          <w:sz w:val="32"/>
          <w:szCs w:val="30"/>
        </w:rPr>
        <w:lastRenderedPageBreak/>
        <w:t>附件2</w:t>
      </w:r>
    </w:p>
    <w:p w:rsidR="00FB56F2" w:rsidRDefault="00AC2E29" w:rsidP="00904136">
      <w:pPr>
        <w:spacing w:afterLines="100"/>
        <w:jc w:val="center"/>
        <w:rPr>
          <w:rFonts w:ascii="黑体" w:eastAsia="黑体" w:hAnsi="仿宋_GB2312" w:cs="仿宋_GB2312"/>
          <w:bCs/>
          <w:sz w:val="36"/>
          <w:szCs w:val="30"/>
        </w:rPr>
      </w:pPr>
      <w:r w:rsidRPr="00EE3322">
        <w:rPr>
          <w:rFonts w:ascii="黑体" w:eastAsia="黑体" w:hAnsi="仿宋_GB2312" w:cs="仿宋_GB2312" w:hint="eastAsia"/>
          <w:bCs/>
          <w:sz w:val="36"/>
          <w:szCs w:val="30"/>
        </w:rPr>
        <w:t>27家银行类金融机构名单</w:t>
      </w:r>
    </w:p>
    <w:p w:rsidR="00EE3322" w:rsidRDefault="00EE3322">
      <w:pPr>
        <w:jc w:val="center"/>
        <w:rPr>
          <w:rFonts w:ascii="仿宋_GB2312" w:eastAsia="仿宋_GB2312" w:hAnsi="仿宋_GB2312" w:cs="仿宋_GB2312"/>
          <w:b/>
          <w:bCs/>
          <w:sz w:val="30"/>
          <w:szCs w:val="30"/>
        </w:rPr>
        <w:sectPr w:rsidR="00EE3322">
          <w:pgSz w:w="11906" w:h="16838"/>
          <w:pgMar w:top="1440" w:right="1800" w:bottom="1440" w:left="1800" w:header="851" w:footer="992" w:gutter="0"/>
          <w:cols w:space="720"/>
          <w:docGrid w:type="lines" w:linePitch="312"/>
        </w:sectPr>
      </w:pP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lastRenderedPageBreak/>
        <w:t>1.国家开发银行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2.进出口银行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3.农业发展银行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4.中国工商银行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5.中国农业银行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6.中国银行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7.中国建设银行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8.交通银行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9.中信银行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10.中国光大银行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11.华夏银行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12.中国民生银行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13.招商银行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14.兴业银行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15.广发银行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16.平安银行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17.浦发银行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18.恒丰银行</w:t>
      </w:r>
    </w:p>
    <w:p w:rsidR="00AC2E29" w:rsidRPr="00EE3322" w:rsidRDefault="00AC2E29" w:rsidP="00EE3322">
      <w:pPr>
        <w:ind w:firstLineChars="450" w:firstLine="1440"/>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19.浙商银行</w:t>
      </w:r>
    </w:p>
    <w:p w:rsidR="00AC2E29" w:rsidRPr="00EE3322" w:rsidRDefault="00AC2E29" w:rsidP="005E412C">
      <w:pPr>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lastRenderedPageBreak/>
        <w:t>20.渤海银行</w:t>
      </w:r>
    </w:p>
    <w:p w:rsidR="00AC2E29" w:rsidRPr="00EE3322" w:rsidRDefault="00AC2E29" w:rsidP="005E412C">
      <w:pPr>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21.中国邮政储蓄银行</w:t>
      </w:r>
    </w:p>
    <w:p w:rsidR="00AC2E29" w:rsidRPr="00EE3322" w:rsidRDefault="00AC2E29" w:rsidP="00EE3322">
      <w:pPr>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22.北京银行</w:t>
      </w:r>
    </w:p>
    <w:p w:rsidR="00AC2E29" w:rsidRPr="00EE3322" w:rsidRDefault="00AC2E29">
      <w:pPr>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23.上海银行</w:t>
      </w:r>
    </w:p>
    <w:p w:rsidR="00AC2E29" w:rsidRPr="00EE3322" w:rsidRDefault="00AC2E29">
      <w:pPr>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24.江苏银行</w:t>
      </w:r>
    </w:p>
    <w:p w:rsidR="00AC2E29" w:rsidRPr="00EE3322" w:rsidRDefault="00AC2E29">
      <w:pPr>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25.汇丰银行（中国）有限公司</w:t>
      </w:r>
    </w:p>
    <w:p w:rsidR="00AC2E29" w:rsidRPr="00EE3322" w:rsidRDefault="00AC2E29">
      <w:pPr>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26.花旗银行（中国）有限公司</w:t>
      </w:r>
    </w:p>
    <w:p w:rsidR="00AC2E29" w:rsidRDefault="00AC2E29">
      <w:pPr>
        <w:rPr>
          <w:rFonts w:ascii="仿宋_GB2312" w:eastAsia="仿宋_GB2312" w:hAnsi="仿宋_GB2312" w:cs="仿宋_GB2312"/>
          <w:sz w:val="32"/>
          <w:szCs w:val="30"/>
        </w:rPr>
      </w:pPr>
      <w:r w:rsidRPr="00EE3322">
        <w:rPr>
          <w:rFonts w:ascii="仿宋_GB2312" w:eastAsia="仿宋_GB2312" w:hAnsi="仿宋_GB2312" w:cs="仿宋_GB2312" w:hint="eastAsia"/>
          <w:sz w:val="32"/>
          <w:szCs w:val="30"/>
        </w:rPr>
        <w:t>27.渣打银行（中国）有限公司</w:t>
      </w:r>
    </w:p>
    <w:p w:rsidR="00700520" w:rsidRDefault="00700520">
      <w:pPr>
        <w:rPr>
          <w:rFonts w:ascii="仿宋_GB2312" w:eastAsia="仿宋_GB2312" w:hAnsi="仿宋_GB2312" w:cs="仿宋_GB2312"/>
          <w:sz w:val="32"/>
          <w:szCs w:val="30"/>
        </w:rPr>
      </w:pPr>
    </w:p>
    <w:p w:rsidR="00700520" w:rsidRDefault="00700520">
      <w:pPr>
        <w:rPr>
          <w:rFonts w:ascii="仿宋_GB2312" w:eastAsia="仿宋_GB2312" w:hAnsi="仿宋_GB2312" w:cs="仿宋_GB2312"/>
          <w:sz w:val="32"/>
          <w:szCs w:val="30"/>
        </w:rPr>
      </w:pPr>
    </w:p>
    <w:p w:rsidR="00700520" w:rsidRDefault="00700520">
      <w:pPr>
        <w:rPr>
          <w:rFonts w:ascii="仿宋_GB2312" w:eastAsia="仿宋_GB2312" w:hAnsi="仿宋_GB2312" w:cs="仿宋_GB2312"/>
          <w:sz w:val="32"/>
          <w:szCs w:val="30"/>
        </w:rPr>
      </w:pPr>
    </w:p>
    <w:p w:rsidR="00700520" w:rsidRDefault="00700520">
      <w:pPr>
        <w:rPr>
          <w:rFonts w:ascii="仿宋_GB2312" w:eastAsia="仿宋_GB2312" w:hAnsi="仿宋_GB2312" w:cs="仿宋_GB2312"/>
          <w:sz w:val="32"/>
          <w:szCs w:val="30"/>
        </w:rPr>
      </w:pPr>
    </w:p>
    <w:p w:rsidR="00700520" w:rsidRDefault="00700520">
      <w:pPr>
        <w:rPr>
          <w:rFonts w:ascii="仿宋_GB2312" w:eastAsia="仿宋_GB2312" w:hAnsi="仿宋_GB2312" w:cs="仿宋_GB2312"/>
          <w:sz w:val="32"/>
          <w:szCs w:val="30"/>
        </w:rPr>
      </w:pPr>
    </w:p>
    <w:p w:rsidR="00700520" w:rsidRDefault="00700520">
      <w:pPr>
        <w:rPr>
          <w:rFonts w:ascii="仿宋_GB2312" w:eastAsia="仿宋_GB2312" w:hAnsi="仿宋_GB2312" w:cs="仿宋_GB2312"/>
          <w:sz w:val="32"/>
          <w:szCs w:val="30"/>
        </w:rPr>
      </w:pPr>
    </w:p>
    <w:p w:rsidR="00700520" w:rsidRDefault="00700520">
      <w:pPr>
        <w:rPr>
          <w:rFonts w:ascii="仿宋_GB2312" w:eastAsia="仿宋_GB2312" w:hAnsi="仿宋_GB2312" w:cs="仿宋_GB2312"/>
          <w:sz w:val="32"/>
          <w:szCs w:val="30"/>
        </w:rPr>
      </w:pPr>
    </w:p>
    <w:p w:rsidR="00700520" w:rsidRDefault="00700520">
      <w:pPr>
        <w:rPr>
          <w:rFonts w:ascii="仿宋_GB2312" w:eastAsia="仿宋_GB2312" w:hAnsi="仿宋_GB2312" w:cs="仿宋_GB2312"/>
          <w:sz w:val="32"/>
          <w:szCs w:val="30"/>
        </w:rPr>
      </w:pPr>
    </w:p>
    <w:p w:rsidR="00700520" w:rsidRDefault="00700520">
      <w:pPr>
        <w:rPr>
          <w:rFonts w:ascii="仿宋_GB2312" w:eastAsia="仿宋_GB2312" w:hAnsi="仿宋_GB2312" w:cs="仿宋_GB2312"/>
          <w:sz w:val="32"/>
          <w:szCs w:val="30"/>
        </w:rPr>
      </w:pPr>
    </w:p>
    <w:p w:rsidR="00700520" w:rsidRDefault="00700520">
      <w:pPr>
        <w:rPr>
          <w:rFonts w:ascii="仿宋_GB2312" w:eastAsia="仿宋_GB2312" w:hAnsi="仿宋_GB2312" w:cs="仿宋_GB2312"/>
          <w:sz w:val="32"/>
          <w:szCs w:val="30"/>
        </w:rPr>
      </w:pPr>
    </w:p>
    <w:p w:rsidR="00700520" w:rsidRPr="00EE3322" w:rsidRDefault="00700520">
      <w:pPr>
        <w:rPr>
          <w:rFonts w:ascii="仿宋_GB2312" w:eastAsia="仿宋_GB2312" w:hAnsi="仿宋_GB2312" w:cs="仿宋_GB2312"/>
          <w:sz w:val="32"/>
          <w:szCs w:val="30"/>
        </w:rPr>
      </w:pPr>
    </w:p>
    <w:sectPr w:rsidR="00700520" w:rsidRPr="00EE3322" w:rsidSect="00EE3322">
      <w:type w:val="continuous"/>
      <w:pgSz w:w="11906" w:h="16838"/>
      <w:pgMar w:top="720" w:right="720" w:bottom="720" w:left="720" w:header="851" w:footer="992" w:gutter="0"/>
      <w:cols w:num="2"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E03" w:rsidRDefault="003B0E03">
      <w:r>
        <w:separator/>
      </w:r>
    </w:p>
  </w:endnote>
  <w:endnote w:type="continuationSeparator" w:id="1">
    <w:p w:rsidR="003B0E03" w:rsidRDefault="003B0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楷体">
    <w:altName w:val="Arial Unicode MS"/>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E29" w:rsidRDefault="00023AB9">
    <w:pPr>
      <w:pStyle w:val="a6"/>
    </w:pPr>
    <w:r>
      <w:pict>
        <v:rect id="_x0000_s2049" style="position:absolute;margin-left:0;margin-top:0;width:2in;height:2in;z-index:251657728;mso-wrap-style:none;mso-position-horizontal:center;mso-position-horizontal-relative:margin" filled="f" stroked="f">
          <v:textbox style="mso-next-textbox:#_x0000_s2049;mso-fit-shape-to-text:t" inset="0,0,0,0">
            <w:txbxContent>
              <w:p w:rsidR="00AC2E29" w:rsidRDefault="00023AB9">
                <w:pPr>
                  <w:pStyle w:val="a6"/>
                </w:pPr>
                <w:fldSimple w:instr=" PAGE  \* MERGEFORMAT ">
                  <w:r w:rsidR="00904136">
                    <w:rPr>
                      <w:noProof/>
                    </w:rPr>
                    <w:t>2</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E03" w:rsidRDefault="003B0E03">
      <w:r>
        <w:separator/>
      </w:r>
    </w:p>
  </w:footnote>
  <w:footnote w:type="continuationSeparator" w:id="1">
    <w:p w:rsidR="003B0E03" w:rsidRDefault="003B0E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rPr>
        <w:rFonts w:hint="eastAsia"/>
      </w:rPr>
    </w:lvl>
  </w:abstractNum>
  <w:abstractNum w:abstractNumId="1">
    <w:nsid w:val="0000000B"/>
    <w:multiLevelType w:val="singleLevel"/>
    <w:tmpl w:val="0000000B"/>
    <w:lvl w:ilvl="0">
      <w:start w:val="4"/>
      <w:numFmt w:val="chineseCounting"/>
      <w:suff w:val="nothing"/>
      <w:lvlText w:val="%1、"/>
      <w:lvlJc w:val="left"/>
      <w:rPr>
        <w:rFonts w:hint="eastAsia"/>
      </w:rPr>
    </w:lvl>
  </w:abstractNum>
  <w:abstractNum w:abstractNumId="2">
    <w:nsid w:val="0000000C"/>
    <w:multiLevelType w:val="singleLevel"/>
    <w:tmpl w:val="0000000C"/>
    <w:lvl w:ilvl="0">
      <w:start w:val="3"/>
      <w:numFmt w:val="chineseCounting"/>
      <w:suff w:val="nothing"/>
      <w:lvlText w:val="%1、"/>
      <w:lvlJc w:val="left"/>
    </w:lvl>
  </w:abstractNum>
  <w:abstractNum w:abstractNumId="3">
    <w:nsid w:val="0000000D"/>
    <w:multiLevelType w:val="singleLevel"/>
    <w:tmpl w:val="0000000D"/>
    <w:lvl w:ilvl="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87042"/>
    <o:shapelayout v:ext="edit">
      <o:idmap v:ext="edit" data="2"/>
    </o:shapelayout>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01CFB"/>
    <w:rsid w:val="00006385"/>
    <w:rsid w:val="00020CA1"/>
    <w:rsid w:val="00021F6C"/>
    <w:rsid w:val="00023AB9"/>
    <w:rsid w:val="00026D8E"/>
    <w:rsid w:val="0003012F"/>
    <w:rsid w:val="00035700"/>
    <w:rsid w:val="00041435"/>
    <w:rsid w:val="00041F4F"/>
    <w:rsid w:val="000428DD"/>
    <w:rsid w:val="00047DBA"/>
    <w:rsid w:val="00055217"/>
    <w:rsid w:val="00064A7D"/>
    <w:rsid w:val="0007584E"/>
    <w:rsid w:val="00077D46"/>
    <w:rsid w:val="00083B3E"/>
    <w:rsid w:val="00087676"/>
    <w:rsid w:val="000907C8"/>
    <w:rsid w:val="000927FB"/>
    <w:rsid w:val="000A011E"/>
    <w:rsid w:val="000A2A5B"/>
    <w:rsid w:val="000A326B"/>
    <w:rsid w:val="000B16FE"/>
    <w:rsid w:val="000B52A3"/>
    <w:rsid w:val="000C017F"/>
    <w:rsid w:val="000C2AE4"/>
    <w:rsid w:val="000D26FA"/>
    <w:rsid w:val="000E7DE9"/>
    <w:rsid w:val="000F29C0"/>
    <w:rsid w:val="000F5B09"/>
    <w:rsid w:val="000F7812"/>
    <w:rsid w:val="00110D83"/>
    <w:rsid w:val="0011466C"/>
    <w:rsid w:val="001175E9"/>
    <w:rsid w:val="00117677"/>
    <w:rsid w:val="001177AC"/>
    <w:rsid w:val="0013030D"/>
    <w:rsid w:val="00134B30"/>
    <w:rsid w:val="001453FF"/>
    <w:rsid w:val="001611D7"/>
    <w:rsid w:val="00161965"/>
    <w:rsid w:val="00172A27"/>
    <w:rsid w:val="0017352A"/>
    <w:rsid w:val="00174B47"/>
    <w:rsid w:val="00182621"/>
    <w:rsid w:val="00182A1F"/>
    <w:rsid w:val="00185224"/>
    <w:rsid w:val="001924CC"/>
    <w:rsid w:val="00192E02"/>
    <w:rsid w:val="00197204"/>
    <w:rsid w:val="001A03E6"/>
    <w:rsid w:val="001B1BA3"/>
    <w:rsid w:val="001C2548"/>
    <w:rsid w:val="001C546F"/>
    <w:rsid w:val="001D5557"/>
    <w:rsid w:val="001D636B"/>
    <w:rsid w:val="001E1B1C"/>
    <w:rsid w:val="001F314A"/>
    <w:rsid w:val="00200BB7"/>
    <w:rsid w:val="00211DD5"/>
    <w:rsid w:val="00211F35"/>
    <w:rsid w:val="00212062"/>
    <w:rsid w:val="00232F2A"/>
    <w:rsid w:val="00233DF0"/>
    <w:rsid w:val="00257332"/>
    <w:rsid w:val="00257DC4"/>
    <w:rsid w:val="00260642"/>
    <w:rsid w:val="002607C4"/>
    <w:rsid w:val="00274FDD"/>
    <w:rsid w:val="00280523"/>
    <w:rsid w:val="00282AB0"/>
    <w:rsid w:val="002854F8"/>
    <w:rsid w:val="002867E7"/>
    <w:rsid w:val="00293755"/>
    <w:rsid w:val="002C2011"/>
    <w:rsid w:val="002C6D03"/>
    <w:rsid w:val="002D0E58"/>
    <w:rsid w:val="002D61DB"/>
    <w:rsid w:val="002F0805"/>
    <w:rsid w:val="002F1930"/>
    <w:rsid w:val="002F317E"/>
    <w:rsid w:val="002F5661"/>
    <w:rsid w:val="00300A34"/>
    <w:rsid w:val="00301700"/>
    <w:rsid w:val="00317FF1"/>
    <w:rsid w:val="00333FB1"/>
    <w:rsid w:val="00344276"/>
    <w:rsid w:val="00346301"/>
    <w:rsid w:val="0036127D"/>
    <w:rsid w:val="003806D0"/>
    <w:rsid w:val="003A1211"/>
    <w:rsid w:val="003A34B7"/>
    <w:rsid w:val="003A6A76"/>
    <w:rsid w:val="003B0E03"/>
    <w:rsid w:val="003B43FC"/>
    <w:rsid w:val="003C2E89"/>
    <w:rsid w:val="003C4CD9"/>
    <w:rsid w:val="003D0F04"/>
    <w:rsid w:val="003D2670"/>
    <w:rsid w:val="003D32A0"/>
    <w:rsid w:val="003D4005"/>
    <w:rsid w:val="003D67A2"/>
    <w:rsid w:val="003E418D"/>
    <w:rsid w:val="003E42A8"/>
    <w:rsid w:val="003F4458"/>
    <w:rsid w:val="003F7023"/>
    <w:rsid w:val="004017BA"/>
    <w:rsid w:val="00404531"/>
    <w:rsid w:val="00410A81"/>
    <w:rsid w:val="004157FB"/>
    <w:rsid w:val="00432051"/>
    <w:rsid w:val="004505FA"/>
    <w:rsid w:val="00454DB0"/>
    <w:rsid w:val="00464A34"/>
    <w:rsid w:val="00464D2D"/>
    <w:rsid w:val="00497E99"/>
    <w:rsid w:val="004A1901"/>
    <w:rsid w:val="004A2548"/>
    <w:rsid w:val="004A2D7E"/>
    <w:rsid w:val="004A331E"/>
    <w:rsid w:val="004A7547"/>
    <w:rsid w:val="004B2CF7"/>
    <w:rsid w:val="004B3AA8"/>
    <w:rsid w:val="004B492A"/>
    <w:rsid w:val="004B59BE"/>
    <w:rsid w:val="004B7D31"/>
    <w:rsid w:val="004F5132"/>
    <w:rsid w:val="004F660F"/>
    <w:rsid w:val="004F77A8"/>
    <w:rsid w:val="00506DEE"/>
    <w:rsid w:val="00512F1B"/>
    <w:rsid w:val="0052331E"/>
    <w:rsid w:val="00531BD2"/>
    <w:rsid w:val="00545C8E"/>
    <w:rsid w:val="00545E7B"/>
    <w:rsid w:val="00550833"/>
    <w:rsid w:val="0055437F"/>
    <w:rsid w:val="005558BB"/>
    <w:rsid w:val="00557395"/>
    <w:rsid w:val="005606D2"/>
    <w:rsid w:val="00560C7E"/>
    <w:rsid w:val="00571726"/>
    <w:rsid w:val="00580E5F"/>
    <w:rsid w:val="00585BCE"/>
    <w:rsid w:val="005B0030"/>
    <w:rsid w:val="005B27AC"/>
    <w:rsid w:val="005B2AE5"/>
    <w:rsid w:val="005B2D69"/>
    <w:rsid w:val="005B3A10"/>
    <w:rsid w:val="005C3839"/>
    <w:rsid w:val="005D00F7"/>
    <w:rsid w:val="005D1D10"/>
    <w:rsid w:val="005D4E69"/>
    <w:rsid w:val="005E09EC"/>
    <w:rsid w:val="005E412C"/>
    <w:rsid w:val="005F21BC"/>
    <w:rsid w:val="00602303"/>
    <w:rsid w:val="00603B71"/>
    <w:rsid w:val="00605F64"/>
    <w:rsid w:val="00631DD1"/>
    <w:rsid w:val="006356DE"/>
    <w:rsid w:val="00640E18"/>
    <w:rsid w:val="006432C3"/>
    <w:rsid w:val="00650560"/>
    <w:rsid w:val="00650937"/>
    <w:rsid w:val="00660C47"/>
    <w:rsid w:val="006811E3"/>
    <w:rsid w:val="006929FA"/>
    <w:rsid w:val="00692D04"/>
    <w:rsid w:val="0069333C"/>
    <w:rsid w:val="006A5DB4"/>
    <w:rsid w:val="006A7712"/>
    <w:rsid w:val="006B2E44"/>
    <w:rsid w:val="006B5587"/>
    <w:rsid w:val="006C0C9E"/>
    <w:rsid w:val="006C1A7D"/>
    <w:rsid w:val="006E0EC2"/>
    <w:rsid w:val="006F7E15"/>
    <w:rsid w:val="00700520"/>
    <w:rsid w:val="007210EE"/>
    <w:rsid w:val="00722D6B"/>
    <w:rsid w:val="00723D05"/>
    <w:rsid w:val="007312F2"/>
    <w:rsid w:val="00731B9F"/>
    <w:rsid w:val="00734CFA"/>
    <w:rsid w:val="00736397"/>
    <w:rsid w:val="00746E0B"/>
    <w:rsid w:val="0075553E"/>
    <w:rsid w:val="00764EFF"/>
    <w:rsid w:val="00772F7E"/>
    <w:rsid w:val="007B40F1"/>
    <w:rsid w:val="007B6739"/>
    <w:rsid w:val="007D4BF8"/>
    <w:rsid w:val="00800B98"/>
    <w:rsid w:val="0081119F"/>
    <w:rsid w:val="0082074F"/>
    <w:rsid w:val="00834405"/>
    <w:rsid w:val="0085253D"/>
    <w:rsid w:val="008539B4"/>
    <w:rsid w:val="00856969"/>
    <w:rsid w:val="00860C73"/>
    <w:rsid w:val="008643EC"/>
    <w:rsid w:val="00875D98"/>
    <w:rsid w:val="008771B1"/>
    <w:rsid w:val="0088691B"/>
    <w:rsid w:val="00893F74"/>
    <w:rsid w:val="008A391E"/>
    <w:rsid w:val="008C24D7"/>
    <w:rsid w:val="008D480D"/>
    <w:rsid w:val="008D4D11"/>
    <w:rsid w:val="008F5AC1"/>
    <w:rsid w:val="00904136"/>
    <w:rsid w:val="0090483F"/>
    <w:rsid w:val="00910F07"/>
    <w:rsid w:val="00926C1B"/>
    <w:rsid w:val="0094141B"/>
    <w:rsid w:val="00943581"/>
    <w:rsid w:val="00965653"/>
    <w:rsid w:val="00977E2F"/>
    <w:rsid w:val="00987682"/>
    <w:rsid w:val="009A1968"/>
    <w:rsid w:val="009A3AEF"/>
    <w:rsid w:val="009B3199"/>
    <w:rsid w:val="009B609D"/>
    <w:rsid w:val="009C42FA"/>
    <w:rsid w:val="009D6A34"/>
    <w:rsid w:val="009E0936"/>
    <w:rsid w:val="00A027B7"/>
    <w:rsid w:val="00A134FC"/>
    <w:rsid w:val="00A35CDE"/>
    <w:rsid w:val="00A450BD"/>
    <w:rsid w:val="00A45E43"/>
    <w:rsid w:val="00A525B0"/>
    <w:rsid w:val="00A54D53"/>
    <w:rsid w:val="00A57E5B"/>
    <w:rsid w:val="00A608AE"/>
    <w:rsid w:val="00A673A4"/>
    <w:rsid w:val="00A725FE"/>
    <w:rsid w:val="00A811B7"/>
    <w:rsid w:val="00A8527F"/>
    <w:rsid w:val="00A91A03"/>
    <w:rsid w:val="00A9571E"/>
    <w:rsid w:val="00AB289B"/>
    <w:rsid w:val="00AB464F"/>
    <w:rsid w:val="00AB6D03"/>
    <w:rsid w:val="00AC2E29"/>
    <w:rsid w:val="00AC5F50"/>
    <w:rsid w:val="00AC7421"/>
    <w:rsid w:val="00AD544E"/>
    <w:rsid w:val="00AE289A"/>
    <w:rsid w:val="00AE2F5C"/>
    <w:rsid w:val="00AF32A0"/>
    <w:rsid w:val="00AF593B"/>
    <w:rsid w:val="00B151ED"/>
    <w:rsid w:val="00B16EDC"/>
    <w:rsid w:val="00B20325"/>
    <w:rsid w:val="00B25CB3"/>
    <w:rsid w:val="00B262DB"/>
    <w:rsid w:val="00B26D15"/>
    <w:rsid w:val="00B3596D"/>
    <w:rsid w:val="00B37E5B"/>
    <w:rsid w:val="00B46264"/>
    <w:rsid w:val="00B75CDE"/>
    <w:rsid w:val="00B80BB3"/>
    <w:rsid w:val="00B825F5"/>
    <w:rsid w:val="00B82EA6"/>
    <w:rsid w:val="00B84F6B"/>
    <w:rsid w:val="00B9300C"/>
    <w:rsid w:val="00B96B3B"/>
    <w:rsid w:val="00B96FFF"/>
    <w:rsid w:val="00BA7059"/>
    <w:rsid w:val="00BB04CF"/>
    <w:rsid w:val="00BB1320"/>
    <w:rsid w:val="00BB7FA9"/>
    <w:rsid w:val="00BC1A46"/>
    <w:rsid w:val="00BC3016"/>
    <w:rsid w:val="00BC33CB"/>
    <w:rsid w:val="00BC3DDE"/>
    <w:rsid w:val="00BC6B11"/>
    <w:rsid w:val="00BD3336"/>
    <w:rsid w:val="00BE11B9"/>
    <w:rsid w:val="00BF75C4"/>
    <w:rsid w:val="00C00A10"/>
    <w:rsid w:val="00C02635"/>
    <w:rsid w:val="00C046C8"/>
    <w:rsid w:val="00C1097A"/>
    <w:rsid w:val="00C17C92"/>
    <w:rsid w:val="00C31170"/>
    <w:rsid w:val="00C32421"/>
    <w:rsid w:val="00C46402"/>
    <w:rsid w:val="00C47F1E"/>
    <w:rsid w:val="00C518E9"/>
    <w:rsid w:val="00C5254A"/>
    <w:rsid w:val="00C57E75"/>
    <w:rsid w:val="00C71732"/>
    <w:rsid w:val="00C848DE"/>
    <w:rsid w:val="00C9627D"/>
    <w:rsid w:val="00C97E6F"/>
    <w:rsid w:val="00CA2987"/>
    <w:rsid w:val="00CB40DF"/>
    <w:rsid w:val="00CC6821"/>
    <w:rsid w:val="00CD5428"/>
    <w:rsid w:val="00CD7B32"/>
    <w:rsid w:val="00CF1840"/>
    <w:rsid w:val="00D11A5B"/>
    <w:rsid w:val="00D14038"/>
    <w:rsid w:val="00D224CE"/>
    <w:rsid w:val="00D33C80"/>
    <w:rsid w:val="00D4162D"/>
    <w:rsid w:val="00D4163F"/>
    <w:rsid w:val="00D550AE"/>
    <w:rsid w:val="00D620FF"/>
    <w:rsid w:val="00D63B4C"/>
    <w:rsid w:val="00D74541"/>
    <w:rsid w:val="00D768B8"/>
    <w:rsid w:val="00D909E8"/>
    <w:rsid w:val="00D95710"/>
    <w:rsid w:val="00D97371"/>
    <w:rsid w:val="00DA2606"/>
    <w:rsid w:val="00DA30EB"/>
    <w:rsid w:val="00DB1C78"/>
    <w:rsid w:val="00DC11E4"/>
    <w:rsid w:val="00DC1B99"/>
    <w:rsid w:val="00DC4714"/>
    <w:rsid w:val="00DE1808"/>
    <w:rsid w:val="00DF4EBA"/>
    <w:rsid w:val="00DF5BD8"/>
    <w:rsid w:val="00E07136"/>
    <w:rsid w:val="00E14A3F"/>
    <w:rsid w:val="00E34F36"/>
    <w:rsid w:val="00E350BC"/>
    <w:rsid w:val="00E362EE"/>
    <w:rsid w:val="00E37C52"/>
    <w:rsid w:val="00E66AC0"/>
    <w:rsid w:val="00E67F73"/>
    <w:rsid w:val="00E7114A"/>
    <w:rsid w:val="00E7390B"/>
    <w:rsid w:val="00E819BC"/>
    <w:rsid w:val="00E94B15"/>
    <w:rsid w:val="00EA3B13"/>
    <w:rsid w:val="00EB16D0"/>
    <w:rsid w:val="00EB219D"/>
    <w:rsid w:val="00ED4954"/>
    <w:rsid w:val="00EE3322"/>
    <w:rsid w:val="00EE4438"/>
    <w:rsid w:val="00EE5B9B"/>
    <w:rsid w:val="00F06968"/>
    <w:rsid w:val="00F24420"/>
    <w:rsid w:val="00F30F22"/>
    <w:rsid w:val="00F34939"/>
    <w:rsid w:val="00F36CEB"/>
    <w:rsid w:val="00F453A8"/>
    <w:rsid w:val="00F45AFA"/>
    <w:rsid w:val="00F551D5"/>
    <w:rsid w:val="00F60372"/>
    <w:rsid w:val="00F65F13"/>
    <w:rsid w:val="00F82D34"/>
    <w:rsid w:val="00F926E2"/>
    <w:rsid w:val="00FA49A2"/>
    <w:rsid w:val="00FA71B1"/>
    <w:rsid w:val="00FA7F95"/>
    <w:rsid w:val="00FB2A59"/>
    <w:rsid w:val="00FB56F2"/>
    <w:rsid w:val="00FB69A8"/>
    <w:rsid w:val="00FD053B"/>
    <w:rsid w:val="00FD29A7"/>
    <w:rsid w:val="00FD332E"/>
    <w:rsid w:val="00FD5CC5"/>
    <w:rsid w:val="00FE57A9"/>
    <w:rsid w:val="00FF6B9B"/>
    <w:rsid w:val="00FF7B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C0"/>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basedOn w:val="a0"/>
    <w:link w:val="a3"/>
    <w:rsid w:val="000F29C0"/>
    <w:rPr>
      <w:rFonts w:ascii="Calibri" w:hAnsi="Calibri" w:cs="黑体"/>
      <w:kern w:val="2"/>
      <w:sz w:val="21"/>
      <w:szCs w:val="24"/>
    </w:rPr>
  </w:style>
  <w:style w:type="character" w:customStyle="1" w:styleId="Char0">
    <w:name w:val="批注主题 Char"/>
    <w:basedOn w:val="Char"/>
    <w:link w:val="1"/>
    <w:rsid w:val="000F29C0"/>
  </w:style>
  <w:style w:type="character" w:customStyle="1" w:styleId="10">
    <w:name w:val="批注引用1"/>
    <w:basedOn w:val="a0"/>
    <w:rsid w:val="000F29C0"/>
    <w:rPr>
      <w:sz w:val="21"/>
      <w:szCs w:val="21"/>
    </w:rPr>
  </w:style>
  <w:style w:type="character" w:customStyle="1" w:styleId="Char1">
    <w:name w:val="批注框文本 Char"/>
    <w:basedOn w:val="a0"/>
    <w:link w:val="a4"/>
    <w:rsid w:val="000F29C0"/>
    <w:rPr>
      <w:rFonts w:ascii="Calibri" w:hAnsi="Calibri" w:cs="黑体"/>
      <w:kern w:val="2"/>
      <w:sz w:val="18"/>
      <w:szCs w:val="18"/>
    </w:rPr>
  </w:style>
  <w:style w:type="paragraph" w:customStyle="1" w:styleId="1">
    <w:name w:val="批注主题1"/>
    <w:basedOn w:val="a3"/>
    <w:next w:val="a3"/>
    <w:link w:val="Char0"/>
    <w:rsid w:val="000F29C0"/>
  </w:style>
  <w:style w:type="paragraph" w:styleId="a4">
    <w:name w:val="Balloon Text"/>
    <w:basedOn w:val="a"/>
    <w:link w:val="Char1"/>
    <w:rsid w:val="000F29C0"/>
    <w:rPr>
      <w:sz w:val="18"/>
      <w:szCs w:val="18"/>
    </w:rPr>
  </w:style>
  <w:style w:type="paragraph" w:styleId="a3">
    <w:name w:val="annotation text"/>
    <w:basedOn w:val="a"/>
    <w:link w:val="Char"/>
    <w:rsid w:val="000F29C0"/>
    <w:pPr>
      <w:jc w:val="left"/>
    </w:pPr>
  </w:style>
  <w:style w:type="paragraph" w:styleId="a5">
    <w:name w:val="header"/>
    <w:basedOn w:val="a"/>
    <w:rsid w:val="000F29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rsid w:val="000F29C0"/>
    <w:pPr>
      <w:tabs>
        <w:tab w:val="center" w:pos="4153"/>
        <w:tab w:val="right" w:pos="8306"/>
      </w:tabs>
      <w:snapToGrid w:val="0"/>
      <w:jc w:val="left"/>
    </w:pPr>
    <w:rPr>
      <w:sz w:val="18"/>
    </w:rPr>
  </w:style>
  <w:style w:type="paragraph" w:customStyle="1" w:styleId="11">
    <w:name w:val="修订1"/>
    <w:rsid w:val="000F29C0"/>
    <w:rPr>
      <w:rFonts w:ascii="Calibri" w:hAnsi="Calibri" w:cs="黑体"/>
      <w:kern w:val="2"/>
      <w:sz w:val="21"/>
      <w:szCs w:val="24"/>
    </w:rPr>
  </w:style>
  <w:style w:type="paragraph" w:styleId="a7">
    <w:name w:val="Document Map"/>
    <w:basedOn w:val="a"/>
    <w:link w:val="Char2"/>
    <w:uiPriority w:val="99"/>
    <w:semiHidden/>
    <w:unhideWhenUsed/>
    <w:rsid w:val="006811E3"/>
    <w:rPr>
      <w:rFonts w:ascii="宋体"/>
      <w:sz w:val="18"/>
      <w:szCs w:val="18"/>
    </w:rPr>
  </w:style>
  <w:style w:type="character" w:customStyle="1" w:styleId="Char2">
    <w:name w:val="文档结构图 Char"/>
    <w:basedOn w:val="a0"/>
    <w:link w:val="a7"/>
    <w:uiPriority w:val="99"/>
    <w:semiHidden/>
    <w:rsid w:val="006811E3"/>
    <w:rPr>
      <w:rFonts w:ascii="宋体" w:hAnsi="Calibri" w:cs="黑体"/>
      <w:kern w:val="2"/>
      <w:sz w:val="18"/>
      <w:szCs w:val="18"/>
    </w:rPr>
  </w:style>
  <w:style w:type="character" w:styleId="a8">
    <w:name w:val="annotation reference"/>
    <w:basedOn w:val="a0"/>
    <w:uiPriority w:val="99"/>
    <w:semiHidden/>
    <w:unhideWhenUsed/>
    <w:rsid w:val="00432051"/>
    <w:rPr>
      <w:sz w:val="21"/>
      <w:szCs w:val="21"/>
    </w:rPr>
  </w:style>
  <w:style w:type="paragraph" w:styleId="a9">
    <w:name w:val="annotation subject"/>
    <w:basedOn w:val="a3"/>
    <w:next w:val="a3"/>
    <w:link w:val="Char10"/>
    <w:uiPriority w:val="99"/>
    <w:semiHidden/>
    <w:unhideWhenUsed/>
    <w:rsid w:val="00432051"/>
    <w:rPr>
      <w:b/>
      <w:bCs/>
    </w:rPr>
  </w:style>
  <w:style w:type="character" w:customStyle="1" w:styleId="Char10">
    <w:name w:val="批注主题 Char1"/>
    <w:basedOn w:val="Char"/>
    <w:link w:val="a9"/>
    <w:uiPriority w:val="99"/>
    <w:semiHidden/>
    <w:rsid w:val="00432051"/>
    <w:rPr>
      <w:b/>
      <w:bCs/>
    </w:rPr>
  </w:style>
  <w:style w:type="paragraph" w:styleId="aa">
    <w:name w:val="Revision"/>
    <w:hidden/>
    <w:uiPriority w:val="99"/>
    <w:semiHidden/>
    <w:rsid w:val="009B609D"/>
    <w:rPr>
      <w:rFonts w:ascii="Calibri" w:hAnsi="Calibri" w:cs="黑体"/>
      <w:kern w:val="2"/>
      <w:sz w:val="21"/>
      <w:szCs w:val="24"/>
    </w:rPr>
  </w:style>
  <w:style w:type="table" w:styleId="ab">
    <w:name w:val="Table Grid"/>
    <w:basedOn w:val="a1"/>
    <w:uiPriority w:val="59"/>
    <w:rsid w:val="002F31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1DF6-6A20-4DA3-8F38-786B6796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7</Pages>
  <Words>407</Words>
  <Characters>2321</Characters>
  <Application>Microsoft Office Word</Application>
  <DocSecurity>0</DocSecurity>
  <PresentationFormat/>
  <Lines>19</Lines>
  <Paragraphs>5</Paragraphs>
  <Slides>0</Slides>
  <Notes>0</Notes>
  <HiddenSlides>0</HiddenSlides>
  <MMClips>0</MMClips>
  <ScaleCrop>false</ScaleCrop>
  <Manager/>
  <Company>PBC</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关于优化境内银行业金融机构境外人民币</dc:title>
  <dc:subject/>
  <dc:creator>yzl</dc:creator>
  <cp:keywords/>
  <dc:description/>
  <cp:lastModifiedBy>pbc</cp:lastModifiedBy>
  <cp:revision>41</cp:revision>
  <cp:lastPrinted>2021-09-18T02:11:00Z</cp:lastPrinted>
  <dcterms:created xsi:type="dcterms:W3CDTF">2021-04-19T06:37:00Z</dcterms:created>
  <dcterms:modified xsi:type="dcterms:W3CDTF">2021-09-18T07:27:00Z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