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EFEFE"/>
          <w:lang w:val="en-US" w:eastAsia="zh-CN" w:bidi="ar"/>
        </w:rPr>
        <w:t>附件</w:t>
      </w: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249" w:afterAutospacing="0" w:line="600" w:lineRule="atLeast"/>
        <w:ind w:left="0" w:right="0" w:firstLine="0"/>
        <w:jc w:val="center"/>
        <w:rPr>
          <w:rFonts w:hint="default"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关于责任准备金覆盖率计算公式的说明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sz w:val="36"/>
          <w:szCs w:val="36"/>
          <w:bdr w:val="none" w:color="auto" w:sz="0" w:space="0"/>
          <w:shd w:val="clear" w:fill="FEFEFE"/>
        </w:rPr>
        <w:t>责任准备金覆盖率＝（资产－其他负债＋费用调整项）</w:t>
      </w:r>
      <w:r>
        <w:rPr>
          <w:rFonts w:hint="default" w:ascii="仿宋_GB2312" w:hAnsi="宋体" w:eastAsia="仿宋_GB2312" w:cs="仿宋_GB2312"/>
          <w:i w:val="0"/>
          <w:iCs w:val="0"/>
          <w:caps w:val="0"/>
          <w:color w:val="333333"/>
          <w:spacing w:val="0"/>
          <w:sz w:val="36"/>
          <w:szCs w:val="36"/>
          <w:bdr w:val="none" w:color="auto" w:sz="0" w:space="0"/>
          <w:shd w:val="clear" w:fill="FEFEFE"/>
        </w:rPr>
        <w:t>÷责任准备金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36"/>
          <w:szCs w:val="36"/>
          <w:bdr w:val="none" w:color="auto" w:sz="0" w:space="0"/>
          <w:shd w:val="clear" w:fill="FEFEFE"/>
        </w:rPr>
        <w:t>其中：“资产”“其他负债”“费用调整项”均取自保险公司母公司口径的财务报表。有关口径如下：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36"/>
          <w:szCs w:val="36"/>
          <w:bdr w:val="none" w:color="auto" w:sz="0" w:space="0"/>
          <w:shd w:val="clear" w:fill="FEFEFE"/>
        </w:rPr>
        <w:t>1.资产：指总资产扣除应收分保准备金、应收分保账款和其他资产项目中与分出摊余成本有关的项目。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36"/>
          <w:szCs w:val="36"/>
          <w:bdr w:val="none" w:color="auto" w:sz="0" w:space="0"/>
          <w:shd w:val="clear" w:fill="FEFEFE"/>
        </w:rPr>
        <w:t>2.其他负债：指总负债除准备金相关负债、与保单利益相关的其他负债、次级定期债务和资本补充债券账面价值与认可负债的差额、应付分保账款的负债金额。其中，</w:t>
      </w:r>
      <w:r>
        <w:rPr>
          <w:rFonts w:hint="default" w:ascii="仿宋_GB2312" w:hAnsi="宋体" w:eastAsia="仿宋_GB2312" w:cs="仿宋_GB2312"/>
          <w:b/>
          <w:bCs/>
          <w:i w:val="0"/>
          <w:iCs w:val="0"/>
          <w:caps w:val="0"/>
          <w:color w:val="333333"/>
          <w:spacing w:val="0"/>
          <w:sz w:val="36"/>
          <w:szCs w:val="36"/>
          <w:bdr w:val="none" w:color="auto" w:sz="0" w:space="0"/>
          <w:shd w:val="clear" w:fill="FEFEFE"/>
        </w:rPr>
        <w:t>准备金相关负债</w:t>
      </w:r>
      <w:r>
        <w:rPr>
          <w:rFonts w:hint="default" w:ascii="仿宋_GB2312" w:hAnsi="宋体" w:eastAsia="仿宋_GB2312" w:cs="仿宋_GB2312"/>
          <w:i w:val="0"/>
          <w:iCs w:val="0"/>
          <w:caps w:val="0"/>
          <w:color w:val="333333"/>
          <w:spacing w:val="0"/>
          <w:sz w:val="36"/>
          <w:szCs w:val="36"/>
          <w:bdr w:val="none" w:color="auto" w:sz="0" w:space="0"/>
          <w:shd w:val="clear" w:fill="FEFEFE"/>
        </w:rPr>
        <w:t>指寿险责任准备金、长期健康险责任准备金、长期意外险责任准备金、未到期责任准备金、未决赔款准备金、保户储金及投资款和独立账户负债；</w:t>
      </w:r>
      <w:r>
        <w:rPr>
          <w:rFonts w:hint="default" w:ascii="仿宋_GB2312" w:hAnsi="宋体" w:eastAsia="仿宋_GB2312" w:cs="仿宋_GB2312"/>
          <w:b/>
          <w:bCs/>
          <w:i w:val="0"/>
          <w:iCs w:val="0"/>
          <w:caps w:val="0"/>
          <w:color w:val="333333"/>
          <w:spacing w:val="0"/>
          <w:sz w:val="36"/>
          <w:szCs w:val="36"/>
          <w:bdr w:val="none" w:color="auto" w:sz="0" w:space="0"/>
          <w:shd w:val="clear" w:fill="FEFEFE"/>
        </w:rPr>
        <w:t>与保单利益相关的其他负债</w:t>
      </w:r>
      <w:r>
        <w:rPr>
          <w:rFonts w:hint="default" w:ascii="仿宋_GB2312" w:hAnsi="宋体" w:eastAsia="仿宋_GB2312" w:cs="仿宋_GB2312"/>
          <w:i w:val="0"/>
          <w:iCs w:val="0"/>
          <w:caps w:val="0"/>
          <w:color w:val="333333"/>
          <w:spacing w:val="0"/>
          <w:sz w:val="36"/>
          <w:szCs w:val="36"/>
          <w:bdr w:val="none" w:color="auto" w:sz="0" w:space="0"/>
          <w:shd w:val="clear" w:fill="FEFEFE"/>
        </w:rPr>
        <w:t>指应当给付的效力终止保单的现金价值及其他应给付但尚未实际支付的保险利益，包括但不限于应付满期金、应付退保金、应付红利金等；</w:t>
      </w:r>
      <w:r>
        <w:rPr>
          <w:rFonts w:hint="default" w:ascii="仿宋_GB2312" w:hAnsi="宋体" w:eastAsia="仿宋_GB2312" w:cs="仿宋_GB2312"/>
          <w:b/>
          <w:bCs/>
          <w:i w:val="0"/>
          <w:iCs w:val="0"/>
          <w:caps w:val="0"/>
          <w:color w:val="333333"/>
          <w:spacing w:val="0"/>
          <w:sz w:val="36"/>
          <w:szCs w:val="36"/>
          <w:bdr w:val="none" w:color="auto" w:sz="0" w:space="0"/>
          <w:shd w:val="clear" w:fill="FEFEFE"/>
        </w:rPr>
        <w:t>次级定期债务和资本补充债券的认可负债</w:t>
      </w:r>
      <w:r>
        <w:rPr>
          <w:rFonts w:hint="default" w:ascii="仿宋_GB2312" w:hAnsi="宋体" w:eastAsia="仿宋_GB2312" w:cs="仿宋_GB2312"/>
          <w:i w:val="0"/>
          <w:iCs w:val="0"/>
          <w:caps w:val="0"/>
          <w:color w:val="333333"/>
          <w:spacing w:val="0"/>
          <w:sz w:val="36"/>
          <w:szCs w:val="36"/>
          <w:bdr w:val="none" w:color="auto" w:sz="0" w:space="0"/>
          <w:shd w:val="clear" w:fill="FEFEFE"/>
        </w:rPr>
        <w:t>按保险公司偿付能力规则相关规定计算。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156"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36"/>
          <w:szCs w:val="36"/>
          <w:bdr w:val="none" w:color="auto" w:sz="0" w:space="0"/>
          <w:shd w:val="clear" w:fill="FEFEFE"/>
        </w:rPr>
        <w:t>3.费用调整项:指按下表计算的保险公司总费用加权之和，总费用包括业务及管理费、佣金及手续费。加权系数如下：</w:t>
      </w:r>
    </w:p>
    <w:tbl>
      <w:tblPr>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Layout w:type="autofit"/>
        <w:tblCellMar>
          <w:top w:w="15" w:type="dxa"/>
          <w:left w:w="15" w:type="dxa"/>
          <w:bottom w:w="15" w:type="dxa"/>
          <w:right w:w="15" w:type="dxa"/>
        </w:tblCellMar>
      </w:tblPr>
      <w:tblGrid>
        <w:gridCol w:w="3112"/>
        <w:gridCol w:w="3112"/>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CellMar>
            <w:top w:w="15" w:type="dxa"/>
            <w:left w:w="15" w:type="dxa"/>
            <w:bottom w:w="15" w:type="dxa"/>
            <w:right w:w="15" w:type="dxa"/>
          </w:tblCellMar>
        </w:tblPrEx>
        <w:trPr>
          <w:trHeight w:val="340" w:hRule="atLeast"/>
          <w:jc w:val="center"/>
        </w:trPr>
        <w:tc>
          <w:tcPr>
            <w:tcW w:w="3112" w:type="dxa"/>
            <w:tcBorders>
              <w:top w:val="single" w:color="auto" w:sz="8" w:space="0"/>
              <w:left w:val="single" w:color="auto" w:sz="8" w:space="0"/>
              <w:bottom w:val="single" w:color="auto" w:sz="8" w:space="0"/>
              <w:right w:val="single" w:color="auto" w:sz="8" w:space="0"/>
            </w:tcBorders>
            <w:shd w:val="clear" w:color="auto" w:fill="FEFEFE"/>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起始日期（不含当日）</w:t>
            </w:r>
          </w:p>
        </w:tc>
        <w:tc>
          <w:tcPr>
            <w:tcW w:w="3112"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结束日期（含当日）</w:t>
            </w:r>
          </w:p>
        </w:tc>
        <w:tc>
          <w:tcPr>
            <w:tcW w:w="2293" w:type="dxa"/>
            <w:tcBorders>
              <w:top w:val="single" w:color="auto" w:sz="8" w:space="0"/>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费用加权系数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CellMar>
            <w:top w:w="15" w:type="dxa"/>
            <w:left w:w="15" w:type="dxa"/>
            <w:bottom w:w="15" w:type="dxa"/>
            <w:right w:w="15" w:type="dxa"/>
          </w:tblCellMar>
        </w:tblPrEx>
        <w:trPr>
          <w:trHeight w:val="340" w:hRule="atLeast"/>
          <w:jc w:val="center"/>
        </w:trPr>
        <w:tc>
          <w:tcPr>
            <w:tcW w:w="3112" w:type="dxa"/>
            <w:tcBorders>
              <w:top w:val="nil"/>
              <w:left w:val="single" w:color="auto" w:sz="8" w:space="0"/>
              <w:bottom w:val="single" w:color="auto" w:sz="8" w:space="0"/>
              <w:right w:val="single" w:color="auto" w:sz="8" w:space="0"/>
            </w:tcBorders>
            <w:shd w:val="clear" w:color="auto" w:fill="FEFEFE"/>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评估日-1年</w:t>
            </w:r>
          </w:p>
        </w:tc>
        <w:tc>
          <w:tcPr>
            <w:tcW w:w="3112"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w:t>
            </w:r>
          </w:p>
        </w:tc>
        <w:tc>
          <w:tcPr>
            <w:tcW w:w="2293"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CellMar>
            <w:top w:w="15" w:type="dxa"/>
            <w:left w:w="15" w:type="dxa"/>
            <w:bottom w:w="15" w:type="dxa"/>
            <w:right w:w="15" w:type="dxa"/>
          </w:tblCellMar>
        </w:tblPrEx>
        <w:trPr>
          <w:trHeight w:val="340" w:hRule="atLeast"/>
          <w:jc w:val="center"/>
        </w:trPr>
        <w:tc>
          <w:tcPr>
            <w:tcW w:w="3112" w:type="dxa"/>
            <w:tcBorders>
              <w:top w:val="nil"/>
              <w:left w:val="single" w:color="auto" w:sz="8" w:space="0"/>
              <w:bottom w:val="single" w:color="auto" w:sz="8" w:space="0"/>
              <w:right w:val="single" w:color="auto" w:sz="8" w:space="0"/>
            </w:tcBorders>
            <w:shd w:val="clear" w:color="auto" w:fill="FEFEFE"/>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评估日-2年</w:t>
            </w:r>
          </w:p>
        </w:tc>
        <w:tc>
          <w:tcPr>
            <w:tcW w:w="3112"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评估日-1年</w:t>
            </w:r>
          </w:p>
        </w:tc>
        <w:tc>
          <w:tcPr>
            <w:tcW w:w="2293"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EFE"/>
          <w:tblCellMar>
            <w:top w:w="15" w:type="dxa"/>
            <w:left w:w="15" w:type="dxa"/>
            <w:bottom w:w="15" w:type="dxa"/>
            <w:right w:w="15" w:type="dxa"/>
          </w:tblCellMar>
        </w:tblPrEx>
        <w:trPr>
          <w:trHeight w:val="356" w:hRule="atLeast"/>
          <w:jc w:val="center"/>
        </w:trPr>
        <w:tc>
          <w:tcPr>
            <w:tcW w:w="3112" w:type="dxa"/>
            <w:tcBorders>
              <w:top w:val="nil"/>
              <w:left w:val="single" w:color="auto" w:sz="8" w:space="0"/>
              <w:bottom w:val="single" w:color="auto" w:sz="8" w:space="0"/>
              <w:right w:val="single" w:color="auto" w:sz="8" w:space="0"/>
            </w:tcBorders>
            <w:shd w:val="clear" w:color="auto" w:fill="FEFEFE"/>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评估日-3年</w:t>
            </w:r>
          </w:p>
        </w:tc>
        <w:tc>
          <w:tcPr>
            <w:tcW w:w="3112"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评估日-2年</w:t>
            </w:r>
          </w:p>
        </w:tc>
        <w:tc>
          <w:tcPr>
            <w:tcW w:w="2293"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3112" w:type="dxa"/>
            <w:tcBorders>
              <w:top w:val="nil"/>
              <w:left w:val="single" w:color="auto" w:sz="8" w:space="0"/>
              <w:bottom w:val="single" w:color="auto" w:sz="8" w:space="0"/>
              <w:right w:val="single" w:color="auto" w:sz="8" w:space="0"/>
            </w:tcBorders>
            <w:shd w:val="clear" w:color="auto" w:fill="FEFEFE"/>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评估日-4年</w:t>
            </w:r>
          </w:p>
        </w:tc>
        <w:tc>
          <w:tcPr>
            <w:tcW w:w="3112"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评估日-3年</w:t>
            </w:r>
          </w:p>
        </w:tc>
        <w:tc>
          <w:tcPr>
            <w:tcW w:w="2293" w:type="dxa"/>
            <w:tcBorders>
              <w:top w:val="nil"/>
              <w:left w:val="nil"/>
              <w:bottom w:val="single" w:color="auto" w:sz="8" w:space="0"/>
              <w:right w:val="single" w:color="auto" w:sz="8" w:space="0"/>
            </w:tcBorders>
            <w:shd w:val="clear" w:color="auto" w:fill="FEFEFE"/>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rPr>
              <w:t>0.2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sz w:val="36"/>
          <w:szCs w:val="36"/>
          <w:bdr w:val="none" w:color="auto" w:sz="0" w:space="0"/>
          <w:shd w:val="clear" w:fill="FEFEFE"/>
        </w:rPr>
        <w:t>4.责任准备金：包括长期险未到期责任准备金、短险未到期责任准备金、未决赔款准备金、与保单利益相关的其他负债，不包括分红保险特别储备及万能保险特别储备。“责任准备金”指以上各项责任准备金净额合计，其中责任准备金净额＝直接业务＋分入业务－分出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Calibri" w:hAnsi="Calibri" w:cs="Calibri"/>
          <w:i w:val="0"/>
          <w:iCs w:val="0"/>
          <w:caps w:val="0"/>
          <w:color w:val="333333"/>
          <w:spacing w:val="0"/>
          <w:sz w:val="21"/>
          <w:szCs w:val="21"/>
        </w:rP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249" w:afterAutospacing="0" w:line="60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EFEFE"/>
          <w:lang w:val="en-US" w:eastAsia="zh-CN" w:bidi="ar"/>
        </w:rPr>
        <w:t>2XXX年互联网人身保险业务经营情况报告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645" w:right="0" w:firstLine="0"/>
        <w:rPr>
          <w:rFonts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EFEFE"/>
        </w:rPr>
        <w:t>一、互联网人身保险业务经营情况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5"/>
        <w:jc w:val="both"/>
        <w:rPr>
          <w:rFonts w:hint="default" w:ascii="Calibri" w:hAnsi="Calibri" w:cs="Calibri"/>
          <w:i w:val="0"/>
          <w:iCs w:val="0"/>
          <w:caps w:val="0"/>
          <w:color w:val="333333"/>
          <w:spacing w:val="0"/>
          <w:sz w:val="21"/>
          <w:szCs w:val="21"/>
        </w:rPr>
      </w:pPr>
      <w:r>
        <w:rPr>
          <w:rFonts w:ascii="楷体_GB2312" w:hAnsi="Calibri" w:eastAsia="楷体_GB2312" w:cs="楷体_GB2312"/>
          <w:i w:val="0"/>
          <w:iCs w:val="0"/>
          <w:caps w:val="0"/>
          <w:color w:val="333333"/>
          <w:spacing w:val="0"/>
          <w:kern w:val="0"/>
          <w:sz w:val="36"/>
          <w:szCs w:val="36"/>
          <w:bdr w:val="none" w:color="auto" w:sz="0" w:space="0"/>
          <w:shd w:val="clear" w:fill="FEFEFE"/>
          <w:lang w:val="en-US" w:eastAsia="zh-CN" w:bidi="ar"/>
        </w:rPr>
        <w:t>（一）意外险经营情况。</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 xml:space="preserve">包括：业务发展指标，保费规模、保单件数、承保人数等；业务结构指标，主流产品形态、自营和中介业务占比，保险期间等；业务持续性指标，成本费用情况、盈利性等。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5"/>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6"/>
          <w:szCs w:val="36"/>
          <w:bdr w:val="none" w:color="auto" w:sz="0" w:space="0"/>
          <w:shd w:val="clear" w:fill="FEFEFE"/>
          <w:lang w:val="en-US" w:eastAsia="zh-CN" w:bidi="ar"/>
        </w:rPr>
        <w:t>（二）人寿保险经营情况。</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同（一）。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5"/>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6"/>
          <w:szCs w:val="36"/>
          <w:bdr w:val="none" w:color="auto" w:sz="0" w:space="0"/>
          <w:shd w:val="clear" w:fill="FEFEFE"/>
          <w:lang w:val="en-US" w:eastAsia="zh-CN" w:bidi="ar"/>
        </w:rPr>
        <w:t>（三）健康保险经营情况。</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除前述外，应列明经营区域及网点建设相关内容。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30"/>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6"/>
          <w:szCs w:val="36"/>
          <w:bdr w:val="none" w:color="auto" w:sz="0" w:space="0"/>
          <w:shd w:val="clear" w:fill="FEFEFE"/>
          <w:lang w:val="en-US" w:eastAsia="zh-CN" w:bidi="ar"/>
        </w:rPr>
        <w:t>（四）年金保险。</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同（一）。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645"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EFEFE"/>
        </w:rPr>
        <w:t>二、互联网人身保险经营资质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（一）基本情况。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包括：上年度偿付能力、风险综合评级、责任准备金监管相关指标、互联网保险业务合规经营等情况。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（二）业务范围调整情况及相关保障措施。</w:t>
      </w:r>
      <w:r>
        <w:rPr>
          <w:rFonts w:hint="default" w:ascii="仿宋_GB2312" w:hAnsi="微软雅黑" w:eastAsia="仿宋_GB2312" w:cs="仿宋_GB2312"/>
          <w:i w:val="0"/>
          <w:iCs w:val="0"/>
          <w:caps w:val="0"/>
          <w:color w:val="333333"/>
          <w:spacing w:val="0"/>
          <w:sz w:val="36"/>
          <w:szCs w:val="36"/>
          <w:bdr w:val="none" w:color="auto" w:sz="0" w:space="0"/>
          <w:shd w:val="clear" w:fill="FEFEFE"/>
        </w:rPr>
        <w:t>包括：是否需要开展业务范围调整，及触发调整的原因。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（三）互联网人身保险产品情况。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包括：在售产品列表，报告期内停售产品列表及原因，报告期内新审批或备案产品列表。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646"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EFEFE"/>
        </w:rPr>
        <w:t>三、互联网人身保险回溯工作情况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（一）上年度回溯工作情况。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包括：四次业务回溯工作时间和方法，回溯情况及采取的相应措施，对公司定价科学性的整体判断。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（二）上年一季度业务回溯情况。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包括：纳入定价回溯的各互联网人身保险产品基本信息及再保险安排，相关指标回溯情况、原因及合理性评估，保险公司采取的措施。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（三）上年二季度业务回溯情况。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同（二）。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（四）上年三季度业务回溯情况。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同（二）。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333333"/>
          <w:spacing w:val="0"/>
          <w:sz w:val="36"/>
          <w:szCs w:val="36"/>
          <w:bdr w:val="none" w:color="auto" w:sz="0" w:space="0"/>
          <w:shd w:val="clear" w:fill="FEFEFE"/>
        </w:rPr>
        <w:t>（五）上年四季度业务回溯情况。</w:t>
      </w:r>
      <w:r>
        <w:rPr>
          <w:rFonts w:hint="default" w:ascii="仿宋_GB2312" w:hAnsi="微软雅黑" w:eastAsia="仿宋_GB2312" w:cs="仿宋_GB2312"/>
          <w:i w:val="0"/>
          <w:iCs w:val="0"/>
          <w:caps w:val="0"/>
          <w:color w:val="333333"/>
          <w:spacing w:val="0"/>
          <w:sz w:val="36"/>
          <w:szCs w:val="36"/>
          <w:bdr w:val="none" w:color="auto" w:sz="0" w:space="0"/>
          <w:shd w:val="clear" w:fill="FEFEFE"/>
        </w:rPr>
        <w:t>同（二）。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645"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EFEFE"/>
        </w:rPr>
        <w:t>四、存在风险和主要问题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6"/>
          <w:szCs w:val="36"/>
          <w:bdr w:val="none" w:color="auto" w:sz="0" w:space="0"/>
          <w:shd w:val="clear" w:fill="FEFEFE"/>
        </w:rPr>
        <w:t>当前保险公司经营互联网人身保险业务面临的风险和主要问题。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645"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6"/>
          <w:szCs w:val="36"/>
          <w:bdr w:val="none" w:color="auto" w:sz="0" w:space="0"/>
          <w:shd w:val="clear" w:fill="FEFEFE"/>
        </w:rPr>
        <w:t>五、业务发展计划及政策建议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72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今后一年保险公司互联网人身保险发展计划，以及对加强和改进监管的意见建议。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3060A"/>
    <w:rsid w:val="3643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2021-10-22T08:54:00Z</dcterms:created>
  <dc:creator>Whale Fall</dc:creator>
  <cp:lastModifiedBy>Whale Fall</cp:lastModifiedBy>
  <dcterms:modified xsi:type="dcterms:W3CDTF">2021-10-22T08:55:33Z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52DDDAEF786041788E6BC4EC86CD66AA</vt:lpwstr>
  </property>
</Properties>
</file>