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2B4490"/>
          <w:spacing w:val="8"/>
          <w:sz w:val="25"/>
          <w:szCs w:val="25"/>
          <w:bdr w:val="none" w:color="auto" w:sz="0" w:space="0"/>
        </w:rPr>
        <w:t>第四批技术与创新支持中心（TISC）授牌机构名单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2"/>
          <w:szCs w:val="22"/>
          <w:bdr w:val="none" w:color="auto" w:sz="0" w:space="0"/>
        </w:rPr>
        <w:t>（共50家）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1.首都知识产权服务业协会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2.北京知识产权运营管理有限公司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3.中国汽车技术研究中心有限公司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4.河北省科学技术情报研究院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5.山西省知识产权信息公共服务中心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6.内蒙古自治区知识产权研究会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7.内蒙古医科大学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8.辽宁省信息中心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9.中国科学院大连化学物理研究所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10.吉林大学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11.吉林省知识产权保护中心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12.哈尔滨工程大学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13.上海市知识产权服务中心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14.上海海事大学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15.智慧芽信息科技（苏州）有限公司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16.江苏佰腾科技有限公司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17.浙江工业大学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18.浙江省科技信息研究院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19.温州市知识产权服务园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20.安徽信息工程学院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21.厦门大学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22.福建省科学技术信息研究所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23.江西省知识产权保护中心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24.东营市知识产权保护中心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25.齐鲁工业大学（山东省科学院）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26.中国（烟台）知识产权保护中心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27.中部知光技术转移有限公司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28.湘潭市生产力促进中心有限公司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29.中国（深圳）知识产权保护中心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30.横琴国际知识产权交易中心有限公司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31.佛山科学技术学院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32.桂林电器科学研究院有限公司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33.中新（重庆）知识产权研究院有限公司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34.西南科技大学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35.行之知识产权服务集团有限公司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36.贵州省科学技术情报研究所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37.西藏大学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38.陕西融盛知识产权平台有限公司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39.中国石油天然气股份有限公司兰州化工研究中心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40.甘肃省科学技术情报研究所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41.甘肃省知识产权保护中心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42.青海之也科技咨询服务有限公司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43.宁夏回族自治区知识产权服务中心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44.银川市生产力促进中心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45.北京国知专利预警咨询有限公司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46.知识产权出版社有限责任公司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47.中国专利信息中心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48.中国专利技术开发公司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49.中国标准化研究院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D4C4C"/>
          <w:spacing w:val="8"/>
          <w:sz w:val="25"/>
          <w:szCs w:val="25"/>
          <w:bdr w:val="none" w:color="auto" w:sz="0" w:space="0"/>
        </w:rPr>
        <w:t>50.天津市知识产权保护中心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74743"/>
    <w:rsid w:val="4E274743"/>
    <w:rsid w:val="7B1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2021-10-28T06:17:00Z</dcterms:created>
  <dc:creator>Whale Fall</dc:creator>
  <cp:lastModifiedBy>Whale Fall</cp:lastModifiedBy>
  <dcterms:modified xsi:type="dcterms:W3CDTF">2021-10-28T06:17:32Z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AE58D95494A24223994EDA98F29F6465</vt:lpwstr>
  </property>
</Properties>
</file>