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ascii="Times New Roman" w:hAnsi="Times New Roman" w:eastAsia="方正小标宋_GBK"/>
          <w:sz w:val="44"/>
          <w:szCs w:val="44"/>
        </w:rPr>
      </w:pPr>
      <w:r>
        <w:rPr>
          <w:rFonts w:ascii="方正小标宋_GBK" w:hAnsi="Times New Roman" w:eastAsia="方正小标宋_GBK"/>
          <w:sz w:val="44"/>
          <w:szCs w:val="44"/>
        </w:rPr>
        <w:t>南京江北新区</w:t>
      </w:r>
      <w:r>
        <w:rPr>
          <w:rFonts w:hint="eastAsia" w:ascii="Times New Roman" w:hAnsi="Times New Roman" w:eastAsia="方正小标宋_GBK"/>
          <w:sz w:val="44"/>
          <w:szCs w:val="44"/>
          <w:lang w:eastAsia="zh-CN"/>
        </w:rPr>
        <w:t>“</w:t>
      </w:r>
      <w:r>
        <w:rPr>
          <w:rFonts w:ascii="方正小标宋_GBK" w:hAnsi="Times New Roman" w:eastAsia="方正小标宋_GBK"/>
          <w:sz w:val="44"/>
          <w:szCs w:val="44"/>
        </w:rPr>
        <w:t>新创融</w:t>
      </w:r>
      <w:r>
        <w:rPr>
          <w:rFonts w:hint="eastAsia" w:ascii="方正小标宋_GBK" w:eastAsia="方正小标宋_GBK"/>
          <w:sz w:val="44"/>
          <w:szCs w:val="44"/>
        </w:rPr>
        <w:t>·</w:t>
      </w:r>
      <w:r>
        <w:rPr>
          <w:rFonts w:ascii="方正小标宋_GBK" w:hAnsi="Times New Roman" w:eastAsia="方正小标宋_GBK"/>
          <w:sz w:val="44"/>
          <w:szCs w:val="44"/>
        </w:rPr>
        <w:t>绿票惠</w:t>
      </w:r>
      <w:r>
        <w:rPr>
          <w:rFonts w:hint="eastAsia" w:ascii="Times New Roman" w:hAnsi="Times New Roman" w:eastAsia="方正小标宋_GBK"/>
          <w:sz w:val="44"/>
          <w:szCs w:val="44"/>
          <w:lang w:eastAsia="zh-CN"/>
        </w:rPr>
        <w:t>”</w:t>
      </w:r>
      <w:r>
        <w:rPr>
          <w:rFonts w:ascii="方正小标宋_GBK" w:hAnsi="Times New Roman" w:eastAsia="方正小标宋_GBK"/>
          <w:sz w:val="44"/>
          <w:szCs w:val="44"/>
        </w:rPr>
        <w:t>产品</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ascii="Times New Roman" w:hAnsi="Times New Roman" w:eastAsia="方正小标宋_GBK"/>
          <w:sz w:val="44"/>
          <w:szCs w:val="44"/>
        </w:rPr>
      </w:pPr>
      <w:r>
        <w:rPr>
          <w:rFonts w:ascii="方正小标宋_GBK" w:hAnsi="Times New Roman" w:eastAsia="方正小标宋_GBK"/>
          <w:sz w:val="44"/>
          <w:szCs w:val="44"/>
        </w:rPr>
        <w:t>管理办法</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ascii="Times New Roman" w:hAnsi="Times New Roman" w:eastAsia="楷体"/>
          <w:sz w:val="32"/>
          <w:szCs w:val="32"/>
        </w:rPr>
      </w:pPr>
      <w:r>
        <w:rPr>
          <w:rFonts w:ascii="楷体" w:hAnsi="楷体" w:eastAsia="楷体"/>
          <w:sz w:val="32"/>
          <w:szCs w:val="32"/>
        </w:rPr>
        <w:t>（试行）</w:t>
      </w:r>
      <w:bookmarkStart w:id="0" w:name="_GoBack"/>
      <w:bookmarkEnd w:id="0"/>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ascii="Times New Roman" w:hAnsi="Times New Roman" w:eastAsia="微软雅黑"/>
          <w:b/>
          <w:bCs/>
          <w:sz w:val="32"/>
          <w:szCs w:val="32"/>
        </w:rPr>
      </w:pPr>
      <w:r>
        <w:rPr>
          <w:rFonts w:ascii="Times New Roman" w:hAnsi="Times New Roman" w:eastAsia="微软雅黑"/>
          <w:b/>
          <w:bCs/>
          <w:sz w:val="32"/>
          <w:szCs w:val="32"/>
        </w:rPr>
        <w:t xml:space="preserve"> </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总则</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32" w:firstLineChars="200"/>
        <w:textAlignment w:val="auto"/>
        <w:rPr>
          <w:rFonts w:ascii="Times New Roman" w:hAnsi="Times New Roman" w:eastAsia="仿宋"/>
          <w:sz w:val="32"/>
          <w:szCs w:val="32"/>
        </w:rPr>
      </w:pPr>
      <w:r>
        <w:rPr>
          <w:rFonts w:ascii="仿宋" w:hAnsi="仿宋" w:eastAsia="仿宋"/>
          <w:sz w:val="32"/>
          <w:szCs w:val="32"/>
        </w:rPr>
        <w:t>为适应</w:t>
      </w:r>
      <w:r>
        <w:rPr>
          <w:rFonts w:ascii="Times New Roman" w:hAnsi="Times New Roman" w:eastAsia="仿宋"/>
          <w:sz w:val="32"/>
          <w:szCs w:val="32"/>
        </w:rPr>
        <w:t>“</w:t>
      </w:r>
      <w:r>
        <w:rPr>
          <w:rFonts w:ascii="仿宋" w:hAnsi="仿宋" w:eastAsia="仿宋"/>
          <w:sz w:val="32"/>
          <w:szCs w:val="32"/>
        </w:rPr>
        <w:t>双碳</w:t>
      </w:r>
      <w:r>
        <w:rPr>
          <w:rFonts w:ascii="Times New Roman" w:hAnsi="Times New Roman" w:eastAsia="仿宋"/>
          <w:sz w:val="32"/>
          <w:szCs w:val="32"/>
        </w:rPr>
        <w:t>”</w:t>
      </w:r>
      <w:r>
        <w:rPr>
          <w:rFonts w:ascii="仿宋" w:hAnsi="仿宋" w:eastAsia="仿宋"/>
          <w:sz w:val="32"/>
          <w:szCs w:val="32"/>
        </w:rPr>
        <w:t>新时期高质量发展要求，不断加快江北新区新金融中心建设，借助传统金融产品及工具创新，进一步丰富</w:t>
      </w:r>
      <w:r>
        <w:rPr>
          <w:rFonts w:ascii="Times New Roman" w:hAnsi="Times New Roman" w:eastAsia="仿宋"/>
          <w:sz w:val="32"/>
          <w:szCs w:val="32"/>
        </w:rPr>
        <w:t>“</w:t>
      </w:r>
      <w:r>
        <w:rPr>
          <w:rFonts w:ascii="仿宋" w:hAnsi="仿宋" w:eastAsia="仿宋"/>
          <w:sz w:val="32"/>
          <w:szCs w:val="32"/>
        </w:rPr>
        <w:t>新创融</w:t>
      </w:r>
      <w:r>
        <w:rPr>
          <w:rFonts w:ascii="Times New Roman" w:hAnsi="Times New Roman" w:eastAsia="仿宋"/>
          <w:sz w:val="32"/>
          <w:szCs w:val="32"/>
        </w:rPr>
        <w:t>”</w:t>
      </w:r>
      <w:r>
        <w:rPr>
          <w:rFonts w:ascii="仿宋" w:hAnsi="仿宋" w:eastAsia="仿宋"/>
          <w:sz w:val="32"/>
          <w:szCs w:val="32"/>
        </w:rPr>
        <w:t>系列产品，推动绿色金融服务绿色实体企业，助力国家级新区发展，制定本办法。</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right="259" w:firstLine="632" w:firstLineChars="200"/>
        <w:textAlignment w:val="auto"/>
        <w:rPr>
          <w:rFonts w:ascii="Times New Roman" w:hAnsi="Times New Roman" w:eastAsia="仿宋"/>
          <w:b/>
          <w:bCs/>
          <w:sz w:val="32"/>
          <w:szCs w:val="32"/>
        </w:rPr>
      </w:pPr>
      <w:r>
        <w:rPr>
          <w:rFonts w:ascii="Times New Roman" w:hAnsi="Times New Roman" w:eastAsia="仿宋"/>
          <w:sz w:val="32"/>
          <w:szCs w:val="32"/>
        </w:rPr>
        <w:t>“</w:t>
      </w:r>
      <w:r>
        <w:rPr>
          <w:rFonts w:ascii="仿宋" w:hAnsi="仿宋" w:eastAsia="仿宋"/>
          <w:sz w:val="32"/>
          <w:szCs w:val="32"/>
        </w:rPr>
        <w:t>新创融</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产品的参与各方包括江北新区、商业银行和企业。其中，产品的设计及管理主体为江北新区财政局，实施主体为与江北新区签订</w:t>
      </w:r>
      <w:r>
        <w:rPr>
          <w:rFonts w:ascii="Times New Roman" w:hAnsi="Times New Roman" w:eastAsia="仿宋"/>
          <w:sz w:val="32"/>
          <w:szCs w:val="32"/>
        </w:rPr>
        <w:t>“</w:t>
      </w:r>
      <w:r>
        <w:rPr>
          <w:rFonts w:ascii="仿宋" w:hAnsi="仿宋" w:eastAsia="仿宋"/>
          <w:sz w:val="32"/>
          <w:szCs w:val="32"/>
        </w:rPr>
        <w:t>新创融</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合作协议的商业银行。</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right="259" w:firstLine="632" w:firstLineChars="200"/>
        <w:textAlignment w:val="auto"/>
        <w:rPr>
          <w:rFonts w:ascii="Times New Roman" w:hAnsi="Times New Roman" w:eastAsia="仿宋"/>
          <w:b/>
          <w:bCs/>
          <w:sz w:val="32"/>
          <w:szCs w:val="32"/>
        </w:rPr>
      </w:pPr>
      <w:r>
        <w:rPr>
          <w:rFonts w:ascii="Times New Roman" w:hAnsi="Times New Roman" w:eastAsia="仿宋"/>
          <w:sz w:val="32"/>
          <w:szCs w:val="32"/>
        </w:rPr>
        <w:t>“</w:t>
      </w:r>
      <w:r>
        <w:rPr>
          <w:rFonts w:ascii="仿宋" w:hAnsi="仿宋" w:eastAsia="仿宋"/>
          <w:sz w:val="32"/>
          <w:szCs w:val="32"/>
        </w:rPr>
        <w:t>新创融</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产品为绿色环保低碳循环企业</w:t>
      </w:r>
      <w:r>
        <w:rPr>
          <w:rFonts w:hint="eastAsia" w:ascii="仿宋" w:hAnsi="仿宋" w:eastAsia="仿宋"/>
          <w:sz w:val="32"/>
          <w:szCs w:val="32"/>
        </w:rPr>
        <w:t>及项目</w:t>
      </w:r>
      <w:r>
        <w:rPr>
          <w:rFonts w:ascii="仿宋" w:hAnsi="仿宋" w:eastAsia="仿宋"/>
          <w:sz w:val="32"/>
          <w:szCs w:val="32"/>
        </w:rPr>
        <w:t>提供</w:t>
      </w:r>
      <w:r>
        <w:rPr>
          <w:rFonts w:hint="eastAsia" w:ascii="仿宋" w:hAnsi="仿宋" w:eastAsia="仿宋"/>
          <w:sz w:val="32"/>
          <w:szCs w:val="32"/>
        </w:rPr>
        <w:t>商业汇票</w:t>
      </w:r>
      <w:r>
        <w:rPr>
          <w:rFonts w:ascii="仿宋" w:hAnsi="仿宋" w:eastAsia="仿宋"/>
          <w:sz w:val="32"/>
          <w:szCs w:val="32"/>
        </w:rPr>
        <w:t>承兑及贴现业务支持，重点支持具有显著绿色特征、具备成长价值的绿色企业及项目。</w:t>
      </w:r>
    </w:p>
    <w:p>
      <w:pPr>
        <w:pStyle w:val="3"/>
        <w:keepNext w:val="0"/>
        <w:keepLines w:val="0"/>
        <w:pageBreakBefore w:val="0"/>
        <w:widowControl w:val="0"/>
        <w:kinsoku/>
        <w:wordWrap/>
        <w:overflowPunct/>
        <w:topLinePunct w:val="0"/>
        <w:autoSpaceDE w:val="0"/>
        <w:autoSpaceDN/>
        <w:bidi w:val="0"/>
        <w:adjustRightInd/>
        <w:snapToGrid/>
        <w:spacing w:after="0" w:line="560" w:lineRule="exact"/>
        <w:ind w:right="259" w:firstLine="412" w:firstLineChars="200"/>
        <w:textAlignment w:val="auto"/>
        <w:rPr>
          <w:rFonts w:ascii="Times New Roman" w:hAnsi="Times New Roman" w:eastAsia="仿宋" w:cs="Times New Roman"/>
        </w:rPr>
      </w:pPr>
      <w:r>
        <w:rPr>
          <w:rFonts w:ascii="Times New Roman" w:hAnsi="Times New Roman" w:eastAsia="仿宋" w:cs="Times New Roman"/>
        </w:rPr>
        <w:t xml:space="preserve"> </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402" w:right="259" w:firstLine="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第二章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定义及办理条件</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32" w:firstLineChars="200"/>
        <w:textAlignment w:val="auto"/>
        <w:rPr>
          <w:rFonts w:ascii="Times New Roman" w:hAnsi="Times New Roman" w:eastAsia="仿宋"/>
          <w:b/>
          <w:bCs/>
          <w:sz w:val="32"/>
          <w:szCs w:val="32"/>
        </w:rPr>
      </w:pPr>
      <w:r>
        <w:rPr>
          <w:rFonts w:ascii="仿宋" w:hAnsi="仿宋" w:eastAsia="仿宋"/>
          <w:sz w:val="32"/>
          <w:szCs w:val="32"/>
        </w:rPr>
        <w:t>本办法涉及的相关重要概念和术语定义如下：</w:t>
      </w:r>
    </w:p>
    <w:p>
      <w:pPr>
        <w:keepNext w:val="0"/>
        <w:keepLines w:val="0"/>
        <w:pageBreakBefore w:val="0"/>
        <w:widowControl w:val="0"/>
        <w:kinsoku/>
        <w:wordWrap/>
        <w:overflowPunct/>
        <w:topLinePunct w:val="0"/>
        <w:autoSpaceDE w:val="0"/>
        <w:autoSpaceDN/>
        <w:bidi w:val="0"/>
        <w:adjustRightInd/>
        <w:snapToGrid/>
        <w:spacing w:line="560" w:lineRule="exact"/>
        <w:ind w:right="259" w:firstLine="632" w:firstLineChars="200"/>
        <w:textAlignment w:val="auto"/>
        <w:rPr>
          <w:rFonts w:ascii="Times New Roman" w:hAnsi="Times New Roman" w:eastAsia="仿宋"/>
          <w:sz w:val="32"/>
          <w:szCs w:val="32"/>
        </w:rPr>
      </w:pPr>
      <w:r>
        <w:rPr>
          <w:rFonts w:hint="eastAsia" w:ascii="楷体_GB2312" w:hAnsi="楷体_GB2312" w:eastAsia="楷体_GB2312" w:cs="楷体_GB2312"/>
          <w:sz w:val="32"/>
          <w:szCs w:val="32"/>
        </w:rPr>
        <w:t>（一）“新创融”：</w:t>
      </w:r>
      <w:r>
        <w:rPr>
          <w:rFonts w:ascii="仿宋" w:hAnsi="仿宋" w:eastAsia="仿宋"/>
          <w:sz w:val="32"/>
          <w:szCs w:val="32"/>
        </w:rPr>
        <w:t>是由南京江北新区打造，由新区主导，专门服务于新金融中心建设和金融产业发展的系列金融产品体系。</w:t>
      </w:r>
    </w:p>
    <w:p>
      <w:pPr>
        <w:keepNext w:val="0"/>
        <w:keepLines w:val="0"/>
        <w:pageBreakBefore w:val="0"/>
        <w:widowControl w:val="0"/>
        <w:kinsoku/>
        <w:wordWrap/>
        <w:overflowPunct/>
        <w:topLinePunct w:val="0"/>
        <w:autoSpaceDE w:val="0"/>
        <w:autoSpaceDN/>
        <w:bidi w:val="0"/>
        <w:adjustRightInd/>
        <w:snapToGrid/>
        <w:spacing w:line="560" w:lineRule="exact"/>
        <w:ind w:right="259" w:firstLine="632" w:firstLineChars="200"/>
        <w:textAlignment w:val="auto"/>
        <w:rPr>
          <w:rFonts w:ascii="Times New Roman" w:hAnsi="Times New Roman" w:eastAsia="仿宋"/>
          <w:sz w:val="32"/>
          <w:szCs w:val="32"/>
        </w:rPr>
      </w:pPr>
      <w:r>
        <w:rPr>
          <w:rFonts w:hint="eastAsia" w:ascii="楷体_GB2312" w:hAnsi="楷体_GB2312" w:eastAsia="楷体_GB2312" w:cs="楷体_GB2312"/>
          <w:sz w:val="32"/>
          <w:szCs w:val="32"/>
        </w:rPr>
        <w:t>（二）“新创融·绿票惠”（以下简称“绿票惠”）：</w:t>
      </w:r>
      <w:r>
        <w:rPr>
          <w:rFonts w:ascii="仿宋" w:hAnsi="仿宋" w:eastAsia="仿宋"/>
          <w:sz w:val="32"/>
          <w:szCs w:val="32"/>
        </w:rPr>
        <w:t>指纳入新区</w:t>
      </w:r>
      <w:r>
        <w:rPr>
          <w:rFonts w:ascii="Times New Roman" w:hAnsi="Times New Roman" w:eastAsia="仿宋"/>
          <w:sz w:val="32"/>
          <w:szCs w:val="32"/>
        </w:rPr>
        <w:t>“</w:t>
      </w:r>
      <w:r>
        <w:rPr>
          <w:rFonts w:ascii="仿宋" w:hAnsi="仿宋" w:eastAsia="仿宋"/>
          <w:sz w:val="32"/>
          <w:szCs w:val="32"/>
        </w:rPr>
        <w:t>新创融</w:t>
      </w:r>
      <w:r>
        <w:rPr>
          <w:rFonts w:ascii="Times New Roman" w:hAnsi="Times New Roman" w:eastAsia="仿宋"/>
          <w:sz w:val="32"/>
          <w:szCs w:val="32"/>
        </w:rPr>
        <w:t>”</w:t>
      </w:r>
      <w:r>
        <w:rPr>
          <w:rFonts w:ascii="仿宋" w:hAnsi="仿宋" w:eastAsia="仿宋"/>
          <w:sz w:val="32"/>
          <w:szCs w:val="32"/>
        </w:rPr>
        <w:t>系列金融产品体系的，由商业银行为符合新区确定的绿色标准的企业及项目所开展的更快、更优、更低价的绿色承兑业务及绿色贴现业务。</w:t>
      </w:r>
    </w:p>
    <w:p>
      <w:pPr>
        <w:keepNext w:val="0"/>
        <w:keepLines w:val="0"/>
        <w:pageBreakBefore w:val="0"/>
        <w:widowControl w:val="0"/>
        <w:kinsoku/>
        <w:wordWrap/>
        <w:overflowPunct/>
        <w:topLinePunct w:val="0"/>
        <w:autoSpaceDE w:val="0"/>
        <w:autoSpaceDN/>
        <w:bidi w:val="0"/>
        <w:adjustRightInd/>
        <w:snapToGrid/>
        <w:spacing w:line="560" w:lineRule="exact"/>
        <w:ind w:right="259" w:firstLine="632" w:firstLineChars="200"/>
        <w:textAlignment w:val="auto"/>
        <w:rPr>
          <w:rFonts w:ascii="Times New Roman" w:hAnsi="Times New Roman" w:eastAsia="仿宋"/>
          <w:sz w:val="32"/>
          <w:szCs w:val="32"/>
        </w:rPr>
      </w:pPr>
      <w:r>
        <w:rPr>
          <w:rFonts w:hint="eastAsia" w:ascii="楷体_GB2312" w:hAnsi="楷体_GB2312" w:eastAsia="楷体_GB2312" w:cs="楷体_GB2312"/>
          <w:sz w:val="32"/>
          <w:szCs w:val="32"/>
        </w:rPr>
        <w:t>（三）绿色承兑、绿色贴现：</w:t>
      </w:r>
      <w:r>
        <w:rPr>
          <w:rFonts w:ascii="仿宋" w:hAnsi="仿宋" w:eastAsia="仿宋"/>
          <w:sz w:val="32"/>
          <w:szCs w:val="32"/>
        </w:rPr>
        <w:t>指符合新区确定的绿色标准的承兑及贴现业务。绿色承兑及绿色贴现的本质是绿色金融业务，按照承兑及贴现业务的金融流程开展并体现支持环境改善、应对气候变化和资源节约高效利用等绿色属性。</w:t>
      </w:r>
    </w:p>
    <w:p>
      <w:pPr>
        <w:keepNext w:val="0"/>
        <w:keepLines w:val="0"/>
        <w:pageBreakBefore w:val="0"/>
        <w:widowControl w:val="0"/>
        <w:kinsoku/>
        <w:wordWrap/>
        <w:overflowPunct/>
        <w:topLinePunct w:val="0"/>
        <w:autoSpaceDE w:val="0"/>
        <w:autoSpaceDN/>
        <w:bidi w:val="0"/>
        <w:adjustRightInd/>
        <w:snapToGrid/>
        <w:spacing w:line="560" w:lineRule="exact"/>
        <w:ind w:firstLine="643"/>
        <w:jc w:val="left"/>
        <w:textAlignment w:val="auto"/>
        <w:rPr>
          <w:rFonts w:ascii="Times New Roman" w:hAnsi="Times New Roman" w:eastAsia="仿宋"/>
          <w:sz w:val="32"/>
          <w:szCs w:val="32"/>
        </w:rPr>
      </w:pPr>
      <w:r>
        <w:rPr>
          <w:rFonts w:hint="eastAsia" w:ascii="楷体_GB2312" w:hAnsi="楷体_GB2312" w:eastAsia="楷体_GB2312" w:cs="楷体_GB2312"/>
          <w:sz w:val="32"/>
          <w:szCs w:val="32"/>
        </w:rPr>
        <w:t>（四）南京江北新区绿色金融支持企业名录（以下简称“新区绿色名录”）：</w:t>
      </w:r>
      <w:r>
        <w:rPr>
          <w:rFonts w:ascii="仿宋" w:hAnsi="仿宋" w:eastAsia="仿宋"/>
          <w:sz w:val="32"/>
          <w:szCs w:val="32"/>
        </w:rPr>
        <w:t>指由南京江北新区确定，对金融机构公布，指导和支持金融机构开展绿色金融服务的绿色企业名单库。</w:t>
      </w:r>
    </w:p>
    <w:p>
      <w:pPr>
        <w:keepNext w:val="0"/>
        <w:keepLines w:val="0"/>
        <w:pageBreakBefore w:val="0"/>
        <w:widowControl w:val="0"/>
        <w:kinsoku/>
        <w:wordWrap/>
        <w:overflowPunct/>
        <w:topLinePunct w:val="0"/>
        <w:autoSpaceDE w:val="0"/>
        <w:autoSpaceDN/>
        <w:bidi w:val="0"/>
        <w:adjustRightInd/>
        <w:snapToGrid/>
        <w:spacing w:line="560" w:lineRule="exact"/>
        <w:ind w:right="259" w:firstLine="632" w:firstLineChars="200"/>
        <w:textAlignment w:val="auto"/>
        <w:rPr>
          <w:rFonts w:ascii="Times New Roman" w:hAnsi="Times New Roman" w:eastAsia="仿宋"/>
          <w:sz w:val="32"/>
          <w:szCs w:val="32"/>
        </w:rPr>
      </w:pPr>
      <w:r>
        <w:rPr>
          <w:rFonts w:hint="eastAsia" w:ascii="楷体_GB2312" w:hAnsi="楷体_GB2312" w:eastAsia="楷体_GB2312" w:cs="楷体_GB2312"/>
          <w:sz w:val="32"/>
          <w:szCs w:val="32"/>
        </w:rPr>
        <w:t>（五）新区绿色标准：</w:t>
      </w:r>
      <w:r>
        <w:rPr>
          <w:rFonts w:ascii="仿宋" w:hAnsi="仿宋" w:eastAsia="仿宋"/>
          <w:sz w:val="32"/>
          <w:szCs w:val="32"/>
        </w:rPr>
        <w:t>指确定可以纳入</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的认定标准。其中，对于</w:t>
      </w:r>
      <w:r>
        <w:rPr>
          <w:rFonts w:ascii="Times New Roman" w:hAnsi="Times New Roman" w:eastAsia="仿宋"/>
          <w:sz w:val="32"/>
          <w:szCs w:val="32"/>
        </w:rPr>
        <w:t>“</w:t>
      </w:r>
      <w:r>
        <w:rPr>
          <w:rFonts w:ascii="仿宋" w:hAnsi="仿宋" w:eastAsia="仿宋"/>
          <w:sz w:val="32"/>
          <w:szCs w:val="32"/>
        </w:rPr>
        <w:t>新区绿色名录</w:t>
      </w:r>
      <w:r>
        <w:rPr>
          <w:rFonts w:ascii="Times New Roman" w:hAnsi="Times New Roman" w:eastAsia="仿宋"/>
          <w:sz w:val="32"/>
          <w:szCs w:val="32"/>
        </w:rPr>
        <w:t>”</w:t>
      </w:r>
      <w:r>
        <w:rPr>
          <w:rFonts w:ascii="仿宋" w:hAnsi="仿宋" w:eastAsia="仿宋"/>
          <w:sz w:val="32"/>
          <w:szCs w:val="32"/>
        </w:rPr>
        <w:t>中的企业主体，所开展的承兑业务及贴现业务纳入</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。对于不在</w:t>
      </w:r>
      <w:r>
        <w:rPr>
          <w:rFonts w:ascii="Times New Roman" w:hAnsi="Times New Roman" w:eastAsia="仿宋"/>
          <w:sz w:val="32"/>
          <w:szCs w:val="32"/>
        </w:rPr>
        <w:t>“</w:t>
      </w:r>
      <w:r>
        <w:rPr>
          <w:rFonts w:ascii="仿宋" w:hAnsi="仿宋" w:eastAsia="仿宋"/>
          <w:sz w:val="32"/>
          <w:szCs w:val="32"/>
        </w:rPr>
        <w:t>新区绿色名录</w:t>
      </w:r>
      <w:r>
        <w:rPr>
          <w:rFonts w:ascii="Times New Roman" w:hAnsi="Times New Roman" w:eastAsia="仿宋"/>
          <w:sz w:val="32"/>
          <w:szCs w:val="32"/>
        </w:rPr>
        <w:t>”</w:t>
      </w:r>
      <w:r>
        <w:rPr>
          <w:rFonts w:ascii="仿宋" w:hAnsi="仿宋" w:eastAsia="仿宋"/>
          <w:sz w:val="32"/>
          <w:szCs w:val="32"/>
        </w:rPr>
        <w:t>中的企业，其票据业务资金使用（贸易背景）符合中国人民银行、发展改革委、证监会联合发布的《绿色债券支持项目目录（</w:t>
      </w:r>
      <w:r>
        <w:rPr>
          <w:rFonts w:ascii="Times New Roman" w:hAnsi="Times New Roman" w:eastAsia="仿宋"/>
          <w:sz w:val="32"/>
          <w:szCs w:val="32"/>
        </w:rPr>
        <w:t>2021</w:t>
      </w:r>
      <w:r>
        <w:rPr>
          <w:rFonts w:ascii="仿宋" w:hAnsi="仿宋" w:eastAsia="仿宋"/>
          <w:sz w:val="32"/>
          <w:szCs w:val="32"/>
        </w:rPr>
        <w:t>年版）》（银发〔</w:t>
      </w:r>
      <w:r>
        <w:rPr>
          <w:rFonts w:ascii="Times New Roman" w:hAnsi="Times New Roman" w:eastAsia="仿宋"/>
          <w:sz w:val="32"/>
          <w:szCs w:val="32"/>
        </w:rPr>
        <w:t>2021</w:t>
      </w:r>
      <w:r>
        <w:rPr>
          <w:rFonts w:ascii="仿宋" w:hAnsi="仿宋" w:eastAsia="仿宋"/>
          <w:sz w:val="32"/>
          <w:szCs w:val="32"/>
        </w:rPr>
        <w:t>〕</w:t>
      </w:r>
      <w:r>
        <w:rPr>
          <w:rFonts w:ascii="Times New Roman" w:hAnsi="Times New Roman" w:eastAsia="仿宋"/>
          <w:sz w:val="32"/>
          <w:szCs w:val="32"/>
        </w:rPr>
        <w:t>96</w:t>
      </w:r>
      <w:r>
        <w:rPr>
          <w:rFonts w:ascii="仿宋" w:hAnsi="仿宋" w:eastAsia="仿宋"/>
          <w:sz w:val="32"/>
          <w:szCs w:val="32"/>
        </w:rPr>
        <w:t>号）绿色范围的，纳入</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32" w:firstLineChars="200"/>
        <w:textAlignment w:val="auto"/>
        <w:rPr>
          <w:rFonts w:ascii="Times New Roman" w:hAnsi="Times New Roman" w:eastAsia="仿宋"/>
          <w:sz w:val="32"/>
          <w:szCs w:val="32"/>
        </w:rPr>
      </w:pPr>
      <w:r>
        <w:rPr>
          <w:rFonts w:ascii="仿宋" w:hAnsi="仿宋" w:eastAsia="仿宋"/>
          <w:sz w:val="32"/>
          <w:szCs w:val="32"/>
        </w:rPr>
        <w:t>商业银行参与</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要求：</w:t>
      </w:r>
    </w:p>
    <w:p>
      <w:pPr>
        <w:keepNext w:val="0"/>
        <w:keepLines w:val="0"/>
        <w:pageBreakBefore w:val="0"/>
        <w:widowControl w:val="0"/>
        <w:kinsoku/>
        <w:wordWrap/>
        <w:overflowPunct/>
        <w:topLinePunct w:val="0"/>
        <w:autoSpaceDE w:val="0"/>
        <w:autoSpaceDN/>
        <w:bidi w:val="0"/>
        <w:adjustRightInd/>
        <w:snapToGrid/>
        <w:spacing w:line="560" w:lineRule="exact"/>
        <w:ind w:right="259" w:firstLine="632" w:firstLineChars="200"/>
        <w:textAlignment w:val="auto"/>
        <w:rPr>
          <w:rFonts w:ascii="Times New Roman" w:hAnsi="Times New Roman" w:eastAsia="仿宋"/>
          <w:sz w:val="32"/>
          <w:szCs w:val="32"/>
        </w:rPr>
      </w:pPr>
      <w:r>
        <w:rPr>
          <w:rFonts w:ascii="仿宋" w:hAnsi="仿宋" w:eastAsia="仿宋"/>
          <w:sz w:val="32"/>
          <w:szCs w:val="32"/>
        </w:rPr>
        <w:t>商业银行属地为江北新区所辖范围内，正常经营且在一年之内没有发生票据业务纠纷或</w:t>
      </w:r>
      <w:r>
        <w:rPr>
          <w:rFonts w:hint="eastAsia" w:ascii="仿宋" w:hAnsi="仿宋" w:eastAsia="仿宋"/>
          <w:sz w:val="32"/>
          <w:szCs w:val="32"/>
        </w:rPr>
        <w:t>因票据业务纠纷产生的</w:t>
      </w:r>
      <w:r>
        <w:rPr>
          <w:rFonts w:ascii="仿宋" w:hAnsi="仿宋" w:eastAsia="仿宋"/>
          <w:sz w:val="32"/>
          <w:szCs w:val="32"/>
        </w:rPr>
        <w:t>相关法律诉讼。</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32" w:firstLineChars="200"/>
        <w:textAlignment w:val="auto"/>
        <w:rPr>
          <w:rFonts w:ascii="Times New Roman" w:hAnsi="Times New Roman" w:eastAsia="仿宋"/>
          <w:sz w:val="32"/>
          <w:szCs w:val="32"/>
        </w:rPr>
      </w:pPr>
      <w:r>
        <w:rPr>
          <w:rFonts w:ascii="仿宋" w:hAnsi="仿宋" w:eastAsia="仿宋"/>
          <w:sz w:val="32"/>
          <w:szCs w:val="32"/>
        </w:rPr>
        <w:t>企业申请</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要求：</w:t>
      </w:r>
    </w:p>
    <w:p>
      <w:pPr>
        <w:keepNext w:val="0"/>
        <w:keepLines w:val="0"/>
        <w:pageBreakBefore w:val="0"/>
        <w:widowControl w:val="0"/>
        <w:kinsoku/>
        <w:wordWrap/>
        <w:overflowPunct/>
        <w:topLinePunct w:val="0"/>
        <w:autoSpaceDE w:val="0"/>
        <w:autoSpaceDN/>
        <w:bidi w:val="0"/>
        <w:adjustRightInd/>
        <w:snapToGrid/>
        <w:spacing w:line="560" w:lineRule="exact"/>
        <w:ind w:right="259" w:firstLine="632" w:firstLineChars="200"/>
        <w:textAlignment w:val="auto"/>
        <w:rPr>
          <w:rFonts w:ascii="Times New Roman" w:hAnsi="Times New Roman" w:eastAsia="仿宋"/>
          <w:sz w:val="32"/>
          <w:szCs w:val="32"/>
        </w:rPr>
      </w:pPr>
      <w:r>
        <w:rPr>
          <w:rFonts w:ascii="仿宋" w:hAnsi="仿宋" w:eastAsia="仿宋"/>
          <w:sz w:val="32"/>
          <w:szCs w:val="32"/>
        </w:rPr>
        <w:t>企业注册地属于江北新区</w:t>
      </w:r>
      <w:r>
        <w:rPr>
          <w:rFonts w:hint="eastAsia" w:ascii="仿宋" w:hAnsi="仿宋" w:eastAsia="仿宋"/>
          <w:sz w:val="32"/>
          <w:szCs w:val="32"/>
        </w:rPr>
        <w:t>直管区</w:t>
      </w:r>
      <w:r>
        <w:rPr>
          <w:rFonts w:ascii="仿宋" w:hAnsi="仿宋" w:eastAsia="仿宋"/>
          <w:sz w:val="32"/>
          <w:szCs w:val="32"/>
        </w:rPr>
        <w:t>范围内，或票据资金用于江北新区</w:t>
      </w:r>
      <w:r>
        <w:rPr>
          <w:rFonts w:hint="eastAsia" w:ascii="仿宋" w:hAnsi="仿宋" w:eastAsia="仿宋"/>
          <w:sz w:val="32"/>
          <w:szCs w:val="32"/>
        </w:rPr>
        <w:t>直管区</w:t>
      </w:r>
      <w:r>
        <w:rPr>
          <w:rFonts w:ascii="仿宋" w:hAnsi="仿宋" w:eastAsia="仿宋"/>
          <w:sz w:val="32"/>
          <w:szCs w:val="32"/>
        </w:rPr>
        <w:t>范围内开展业务，且在一年之内</w:t>
      </w:r>
      <w:r>
        <w:rPr>
          <w:rFonts w:hint="eastAsia" w:ascii="仿宋" w:hAnsi="仿宋" w:eastAsia="仿宋"/>
          <w:sz w:val="32"/>
          <w:szCs w:val="32"/>
        </w:rPr>
        <w:t>未受过环保等相关部门处罚</w:t>
      </w:r>
      <w:r>
        <w:rPr>
          <w:rFonts w:ascii="仿宋" w:hAnsi="仿宋" w:eastAsia="仿宋"/>
          <w:sz w:val="32"/>
          <w:szCs w:val="32"/>
        </w:rPr>
        <w:t>。</w:t>
      </w:r>
    </w:p>
    <w:p>
      <w:pPr>
        <w:pStyle w:val="3"/>
        <w:keepNext w:val="0"/>
        <w:keepLines w:val="0"/>
        <w:pageBreakBefore w:val="0"/>
        <w:widowControl w:val="0"/>
        <w:kinsoku/>
        <w:wordWrap/>
        <w:overflowPunct/>
        <w:topLinePunct w:val="0"/>
        <w:autoSpaceDE w:val="0"/>
        <w:autoSpaceDN/>
        <w:bidi w:val="0"/>
        <w:adjustRightInd/>
        <w:snapToGrid/>
        <w:spacing w:after="0" w:line="560" w:lineRule="exact"/>
        <w:ind w:left="227" w:right="259" w:firstLine="627"/>
        <w:textAlignment w:val="auto"/>
        <w:rPr>
          <w:rFonts w:ascii="Times New Roman" w:hAnsi="Times New Roman" w:eastAsia="仿宋" w:cs="Times New Roman"/>
        </w:rPr>
      </w:pPr>
      <w:r>
        <w:rPr>
          <w:rFonts w:ascii="Times New Roman" w:hAnsi="Times New Roman" w:eastAsia="仿宋" w:cs="Times New Roman"/>
        </w:rPr>
        <w:t xml:space="preserve"> </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0"/>
        <w:jc w:val="center"/>
        <w:textAlignment w:val="auto"/>
        <w:rPr>
          <w:rFonts w:ascii="Times New Roman" w:hAnsi="Times New Roman" w:eastAsia="黑体"/>
          <w:sz w:val="32"/>
          <w:szCs w:val="32"/>
        </w:rPr>
      </w:pPr>
      <w:r>
        <w:rPr>
          <w:rFonts w:hint="eastAsia" w:ascii="黑体" w:hAnsi="黑体" w:eastAsia="黑体"/>
          <w:sz w:val="32"/>
          <w:szCs w:val="32"/>
          <w:lang w:eastAsia="zh-CN"/>
        </w:rPr>
        <w:t>第三章</w:t>
      </w:r>
      <w:r>
        <w:rPr>
          <w:rFonts w:hint="eastAsia" w:ascii="黑体" w:hAnsi="黑体" w:eastAsia="黑体"/>
          <w:sz w:val="32"/>
          <w:szCs w:val="32"/>
          <w:lang w:val="en-US" w:eastAsia="zh-CN"/>
        </w:rPr>
        <w:t xml:space="preserve"> </w:t>
      </w:r>
      <w:r>
        <w:rPr>
          <w:rFonts w:ascii="黑体" w:hAnsi="黑体" w:eastAsia="黑体"/>
          <w:sz w:val="32"/>
          <w:szCs w:val="32"/>
        </w:rPr>
        <w:t>职责分工</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32" w:firstLineChars="200"/>
        <w:textAlignment w:val="auto"/>
        <w:rPr>
          <w:rFonts w:ascii="Times New Roman" w:hAnsi="Times New Roman" w:eastAsia="仿宋"/>
          <w:sz w:val="32"/>
          <w:szCs w:val="32"/>
        </w:rPr>
      </w:pPr>
      <w:r>
        <w:rPr>
          <w:rFonts w:ascii="仿宋" w:hAnsi="仿宋" w:eastAsia="仿宋"/>
          <w:sz w:val="32"/>
          <w:szCs w:val="32"/>
        </w:rPr>
        <w:t>设立</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工作小组，由江北新区财政局、</w:t>
      </w:r>
      <w:r>
        <w:rPr>
          <w:rFonts w:hint="eastAsia" w:ascii="仿宋" w:hAnsi="仿宋" w:eastAsia="仿宋"/>
          <w:sz w:val="32"/>
          <w:szCs w:val="32"/>
        </w:rPr>
        <w:t>科技创新局、经济发展局、生态环境和水务局、平台及</w:t>
      </w:r>
      <w:r>
        <w:rPr>
          <w:rFonts w:ascii="仿宋" w:hAnsi="仿宋" w:eastAsia="仿宋"/>
          <w:sz w:val="32"/>
          <w:szCs w:val="32"/>
        </w:rPr>
        <w:t>街道、合作商业银行代表组成。工作小组定期或不定期召开</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发展专项会议，推动产品发展和持续优化。</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32" w:firstLineChars="200"/>
        <w:textAlignment w:val="auto"/>
        <w:rPr>
          <w:rFonts w:ascii="Times New Roman" w:hAnsi="Times New Roman" w:eastAsia="仿宋"/>
          <w:sz w:val="32"/>
          <w:szCs w:val="32"/>
        </w:rPr>
      </w:pPr>
      <w:r>
        <w:rPr>
          <w:rFonts w:ascii="仿宋" w:hAnsi="仿宋" w:eastAsia="仿宋"/>
          <w:sz w:val="32"/>
          <w:szCs w:val="32"/>
        </w:rPr>
        <w:t>江北新区主要负责：</w:t>
      </w:r>
    </w:p>
    <w:p>
      <w:pPr>
        <w:keepNext w:val="0"/>
        <w:keepLines w:val="0"/>
        <w:pageBreakBefore w:val="0"/>
        <w:widowControl w:val="0"/>
        <w:kinsoku/>
        <w:wordWrap/>
        <w:overflowPunct/>
        <w:topLinePunct w:val="0"/>
        <w:autoSpaceDE w:val="0"/>
        <w:autoSpaceDN/>
        <w:bidi w:val="0"/>
        <w:adjustRightInd/>
        <w:snapToGrid/>
        <w:spacing w:line="560" w:lineRule="exact"/>
        <w:ind w:right="259"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（一）财政局：</w:t>
      </w:r>
    </w:p>
    <w:p>
      <w:pPr>
        <w:keepNext w:val="0"/>
        <w:keepLines w:val="0"/>
        <w:pageBreakBefore w:val="0"/>
        <w:widowControl w:val="0"/>
        <w:kinsoku/>
        <w:wordWrap/>
        <w:overflowPunct/>
        <w:topLinePunct w:val="0"/>
        <w:autoSpaceDE w:val="0"/>
        <w:autoSpaceDN/>
        <w:bidi w:val="0"/>
        <w:adjustRightInd/>
        <w:snapToGrid/>
        <w:spacing w:line="560" w:lineRule="exact"/>
        <w:ind w:right="259" w:firstLine="632" w:firstLineChars="200"/>
        <w:textAlignment w:val="auto"/>
        <w:rPr>
          <w:rFonts w:ascii="Times New Roman" w:hAnsi="Times New Roman" w:eastAsia="仿宋"/>
          <w:sz w:val="32"/>
          <w:szCs w:val="32"/>
        </w:rPr>
      </w:pPr>
      <w:r>
        <w:rPr>
          <w:rFonts w:hint="eastAsia" w:ascii="Times New Roman" w:hAnsi="Times New Roman" w:eastAsia="仿宋"/>
          <w:sz w:val="32"/>
          <w:szCs w:val="32"/>
        </w:rPr>
        <w:t>1</w:t>
      </w:r>
      <w:r>
        <w:rPr>
          <w:rFonts w:hint="eastAsia" w:ascii="仿宋" w:hAnsi="仿宋" w:eastAsia="仿宋"/>
          <w:sz w:val="32"/>
          <w:szCs w:val="32"/>
          <w:lang w:val="en-US" w:eastAsia="zh-CN"/>
        </w:rPr>
        <w:t xml:space="preserve">. </w:t>
      </w:r>
      <w:r>
        <w:rPr>
          <w:rFonts w:ascii="仿宋" w:hAnsi="仿宋" w:eastAsia="仿宋"/>
          <w:sz w:val="32"/>
          <w:szCs w:val="32"/>
        </w:rPr>
        <w:t>对</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合作商业银行进行遴选和动态吸纳，对各合作商业银行执行情况进行评估</w:t>
      </w:r>
      <w:r>
        <w:rPr>
          <w:rFonts w:hint="eastAsia" w:ascii="仿宋" w:hAnsi="仿宋" w:eastAsia="仿宋"/>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right="259" w:firstLine="632"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2</w:t>
      </w:r>
      <w:r>
        <w:rPr>
          <w:rFonts w:hint="eastAsia" w:ascii="仿宋" w:hAnsi="仿宋" w:eastAsia="仿宋"/>
          <w:sz w:val="32"/>
          <w:szCs w:val="32"/>
          <w:lang w:val="en-US" w:eastAsia="zh-CN"/>
        </w:rPr>
        <w:t xml:space="preserve">. </w:t>
      </w:r>
      <w:r>
        <w:rPr>
          <w:rFonts w:ascii="仿宋" w:hAnsi="仿宋" w:eastAsia="仿宋"/>
          <w:sz w:val="32"/>
          <w:szCs w:val="32"/>
        </w:rPr>
        <w:t>构建</w:t>
      </w:r>
      <w:r>
        <w:rPr>
          <w:rFonts w:ascii="Times New Roman" w:hAnsi="Times New Roman" w:eastAsia="仿宋"/>
          <w:sz w:val="32"/>
          <w:szCs w:val="32"/>
        </w:rPr>
        <w:t>“</w:t>
      </w:r>
      <w:r>
        <w:rPr>
          <w:rFonts w:ascii="仿宋" w:hAnsi="仿宋" w:eastAsia="仿宋"/>
          <w:sz w:val="32"/>
          <w:szCs w:val="32"/>
        </w:rPr>
        <w:t>新区绿色名录</w:t>
      </w:r>
      <w:r>
        <w:rPr>
          <w:rFonts w:ascii="Times New Roman" w:hAnsi="Times New Roman" w:eastAsia="仿宋"/>
          <w:sz w:val="32"/>
          <w:szCs w:val="32"/>
        </w:rPr>
        <w:t>”</w:t>
      </w:r>
      <w:r>
        <w:rPr>
          <w:rFonts w:ascii="仿宋" w:hAnsi="仿宋" w:eastAsia="仿宋"/>
          <w:sz w:val="32"/>
          <w:szCs w:val="32"/>
        </w:rPr>
        <w:t>，为</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提供企业名录指导</w:t>
      </w:r>
      <w:r>
        <w:rPr>
          <w:rFonts w:hint="eastAsia" w:ascii="仿宋" w:hAnsi="仿宋" w:eastAsia="仿宋"/>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right="259" w:firstLine="632" w:firstLineChars="200"/>
        <w:textAlignment w:val="auto"/>
        <w:rPr>
          <w:rFonts w:ascii="Times New Roman" w:hAnsi="Times New Roman" w:eastAsia="仿宋"/>
          <w:sz w:val="32"/>
          <w:szCs w:val="32"/>
        </w:rPr>
      </w:pPr>
      <w:r>
        <w:rPr>
          <w:rFonts w:hint="eastAsia" w:ascii="Times New Roman" w:hAnsi="Times New Roman" w:eastAsia="仿宋"/>
          <w:sz w:val="32"/>
          <w:szCs w:val="32"/>
        </w:rPr>
        <w:t>3</w:t>
      </w:r>
      <w:r>
        <w:rPr>
          <w:rFonts w:hint="eastAsia" w:ascii="仿宋" w:hAnsi="仿宋" w:eastAsia="仿宋"/>
          <w:sz w:val="32"/>
          <w:szCs w:val="32"/>
          <w:lang w:val="en-US" w:eastAsia="zh-CN"/>
        </w:rPr>
        <w:t xml:space="preserve">. </w:t>
      </w:r>
      <w:r>
        <w:rPr>
          <w:rFonts w:ascii="仿宋" w:hAnsi="仿宋" w:eastAsia="仿宋"/>
          <w:sz w:val="32"/>
          <w:szCs w:val="32"/>
        </w:rPr>
        <w:t>为</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配置相应的激励办法，定期确定激励对象，兑现相应激励</w:t>
      </w:r>
      <w:r>
        <w:rPr>
          <w:rFonts w:hint="eastAsia" w:ascii="仿宋" w:hAnsi="仿宋" w:eastAsia="仿宋"/>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left="391" w:leftChars="190" w:right="261"/>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（二）科技创新局、经济发展局、生态环境和水务局、平台</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261"/>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及街道：</w:t>
      </w:r>
    </w:p>
    <w:p>
      <w:pPr>
        <w:keepNext w:val="0"/>
        <w:keepLines w:val="0"/>
        <w:pageBreakBefore w:val="0"/>
        <w:widowControl w:val="0"/>
        <w:kinsoku/>
        <w:wordWrap/>
        <w:overflowPunct/>
        <w:topLinePunct w:val="0"/>
        <w:autoSpaceDE w:val="0"/>
        <w:autoSpaceDN/>
        <w:bidi w:val="0"/>
        <w:adjustRightInd/>
        <w:snapToGrid/>
        <w:spacing w:line="560" w:lineRule="exact"/>
        <w:ind w:right="259" w:firstLine="632" w:firstLineChars="200"/>
        <w:textAlignment w:val="auto"/>
        <w:rPr>
          <w:rFonts w:ascii="Times New Roman" w:hAnsi="Times New Roman" w:eastAsia="仿宋"/>
          <w:sz w:val="32"/>
          <w:szCs w:val="32"/>
        </w:rPr>
      </w:pPr>
      <w:r>
        <w:rPr>
          <w:rFonts w:hint="eastAsia" w:ascii="Times New Roman" w:hAnsi="Times New Roman" w:eastAsia="仿宋"/>
          <w:sz w:val="32"/>
          <w:szCs w:val="32"/>
        </w:rPr>
        <w:t>1</w:t>
      </w:r>
      <w:r>
        <w:rPr>
          <w:rFonts w:hint="eastAsia" w:ascii="仿宋" w:hAnsi="仿宋" w:eastAsia="仿宋"/>
          <w:sz w:val="32"/>
          <w:szCs w:val="32"/>
          <w:lang w:val="en-US" w:eastAsia="zh-CN"/>
        </w:rPr>
        <w:t xml:space="preserve">. </w:t>
      </w:r>
      <w:r>
        <w:rPr>
          <w:rFonts w:hint="eastAsia" w:ascii="仿宋" w:hAnsi="仿宋" w:eastAsia="仿宋"/>
          <w:sz w:val="32"/>
          <w:szCs w:val="32"/>
        </w:rPr>
        <w:t>推荐符合要求的企业进入“新区绿色名录”；</w:t>
      </w:r>
    </w:p>
    <w:p>
      <w:pPr>
        <w:keepNext w:val="0"/>
        <w:keepLines w:val="0"/>
        <w:pageBreakBefore w:val="0"/>
        <w:widowControl w:val="0"/>
        <w:kinsoku/>
        <w:wordWrap/>
        <w:overflowPunct/>
        <w:topLinePunct w:val="0"/>
        <w:autoSpaceDE w:val="0"/>
        <w:autoSpaceDN/>
        <w:bidi w:val="0"/>
        <w:adjustRightInd/>
        <w:snapToGrid/>
        <w:spacing w:line="560" w:lineRule="exact"/>
        <w:ind w:right="259" w:firstLine="632"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2</w:t>
      </w:r>
      <w:r>
        <w:rPr>
          <w:rFonts w:hint="eastAsia" w:ascii="仿宋" w:hAnsi="仿宋" w:eastAsia="仿宋"/>
          <w:sz w:val="32"/>
          <w:szCs w:val="32"/>
          <w:lang w:val="en-US" w:eastAsia="zh-CN"/>
        </w:rPr>
        <w:t xml:space="preserve">. </w:t>
      </w:r>
      <w:r>
        <w:rPr>
          <w:rFonts w:hint="eastAsia" w:ascii="仿宋" w:hAnsi="仿宋" w:eastAsia="仿宋"/>
          <w:sz w:val="32"/>
          <w:szCs w:val="32"/>
        </w:rPr>
        <w:t>协助</w:t>
      </w:r>
      <w:r>
        <w:rPr>
          <w:rFonts w:ascii="仿宋" w:hAnsi="仿宋" w:eastAsia="仿宋"/>
          <w:sz w:val="32"/>
          <w:szCs w:val="32"/>
        </w:rPr>
        <w:t>宣传、普及</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，在相关产业及企业中进行推广</w:t>
      </w:r>
      <w:r>
        <w:rPr>
          <w:rFonts w:hint="eastAsia" w:ascii="仿宋" w:hAnsi="仿宋" w:eastAsia="仿宋"/>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right="259" w:firstLine="632" w:firstLineChars="200"/>
        <w:textAlignment w:val="auto"/>
        <w:rPr>
          <w:rFonts w:ascii="Times New Roman" w:hAnsi="Times New Roman" w:eastAsia="仿宋"/>
          <w:sz w:val="32"/>
          <w:szCs w:val="32"/>
        </w:rPr>
      </w:pPr>
      <w:r>
        <w:rPr>
          <w:rFonts w:hint="eastAsia" w:ascii="Times New Roman" w:hAnsi="Times New Roman" w:eastAsia="仿宋"/>
          <w:sz w:val="32"/>
          <w:szCs w:val="32"/>
        </w:rPr>
        <w:t>3</w:t>
      </w:r>
      <w:r>
        <w:rPr>
          <w:rFonts w:hint="eastAsia" w:ascii="仿宋" w:hAnsi="仿宋" w:eastAsia="仿宋"/>
          <w:sz w:val="32"/>
          <w:szCs w:val="32"/>
          <w:lang w:val="en-US" w:eastAsia="zh-CN"/>
        </w:rPr>
        <w:t xml:space="preserve">. </w:t>
      </w:r>
      <w:r>
        <w:rPr>
          <w:rFonts w:ascii="仿宋" w:hAnsi="仿宋" w:eastAsia="仿宋"/>
          <w:sz w:val="32"/>
          <w:szCs w:val="32"/>
        </w:rPr>
        <w:t>对</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提出创新优化意见和建议。</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32" w:firstLineChars="200"/>
        <w:textAlignment w:val="auto"/>
        <w:rPr>
          <w:rFonts w:ascii="Times New Roman" w:hAnsi="Times New Roman" w:eastAsia="仿宋"/>
          <w:sz w:val="32"/>
          <w:szCs w:val="32"/>
        </w:rPr>
      </w:pPr>
      <w:r>
        <w:rPr>
          <w:rFonts w:ascii="仿宋" w:hAnsi="仿宋" w:eastAsia="仿宋"/>
          <w:sz w:val="32"/>
          <w:szCs w:val="32"/>
        </w:rPr>
        <w:t>合作商业银行主要负责：</w:t>
      </w:r>
    </w:p>
    <w:p>
      <w:pPr>
        <w:keepNext w:val="0"/>
        <w:keepLines w:val="0"/>
        <w:pageBreakBefore w:val="0"/>
        <w:widowControl w:val="0"/>
        <w:kinsoku/>
        <w:wordWrap/>
        <w:overflowPunct/>
        <w:topLinePunct w:val="0"/>
        <w:autoSpaceDE w:val="0"/>
        <w:autoSpaceDN/>
        <w:bidi w:val="0"/>
        <w:adjustRightInd/>
        <w:snapToGrid/>
        <w:spacing w:line="560" w:lineRule="exact"/>
        <w:ind w:right="261" w:firstLine="632" w:firstLineChars="200"/>
        <w:textAlignment w:val="auto"/>
        <w:rPr>
          <w:rFonts w:ascii="Times New Roman" w:hAnsi="Times New Roman"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一</w:t>
      </w:r>
      <w:r>
        <w:rPr>
          <w:rFonts w:ascii="仿宋" w:hAnsi="仿宋" w:eastAsia="仿宋"/>
          <w:color w:val="000000"/>
          <w:sz w:val="32"/>
          <w:szCs w:val="32"/>
        </w:rPr>
        <w:t>）</w:t>
      </w:r>
      <w:r>
        <w:rPr>
          <w:rFonts w:ascii="仿宋" w:hAnsi="仿宋" w:eastAsia="仿宋"/>
          <w:sz w:val="32"/>
          <w:szCs w:val="32"/>
        </w:rPr>
        <w:t>开展符合</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条件的承兑及贴现业务</w:t>
      </w:r>
      <w:r>
        <w:rPr>
          <w:rFonts w:hint="eastAsia" w:ascii="仿宋" w:hAnsi="仿宋" w:eastAsia="仿宋"/>
          <w:color w:val="000000"/>
          <w:sz w:val="32"/>
          <w:szCs w:val="32"/>
        </w:rPr>
        <w:t>，</w:t>
      </w:r>
      <w:r>
        <w:rPr>
          <w:rFonts w:ascii="仿宋" w:hAnsi="仿宋" w:eastAsia="仿宋"/>
          <w:color w:val="000000"/>
          <w:sz w:val="32"/>
          <w:szCs w:val="32"/>
        </w:rPr>
        <w:t>制定并执行</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的行内支持政策，包括：</w:t>
      </w:r>
    </w:p>
    <w:p>
      <w:pPr>
        <w:keepNext w:val="0"/>
        <w:keepLines w:val="0"/>
        <w:pageBreakBefore w:val="0"/>
        <w:widowControl w:val="0"/>
        <w:kinsoku/>
        <w:wordWrap/>
        <w:overflowPunct/>
        <w:topLinePunct w:val="0"/>
        <w:autoSpaceDE w:val="0"/>
        <w:autoSpaceDN/>
        <w:bidi w:val="0"/>
        <w:adjustRightInd/>
        <w:snapToGrid/>
        <w:spacing w:line="560" w:lineRule="exact"/>
        <w:ind w:right="261" w:firstLine="632" w:firstLineChars="200"/>
        <w:textAlignment w:val="auto"/>
        <w:rPr>
          <w:rFonts w:ascii="Times New Roman" w:hAnsi="Times New Roman" w:eastAsia="仿宋"/>
          <w:color w:val="000000"/>
          <w:sz w:val="32"/>
          <w:szCs w:val="32"/>
        </w:rPr>
      </w:pPr>
      <w:r>
        <w:rPr>
          <w:rFonts w:ascii="仿宋" w:hAnsi="仿宋" w:eastAsia="仿宋"/>
          <w:color w:val="000000"/>
          <w:sz w:val="32"/>
          <w:szCs w:val="32"/>
        </w:rPr>
        <w:t>配置</w:t>
      </w:r>
      <w:r>
        <w:rPr>
          <w:rFonts w:ascii="仿宋" w:hAnsi="仿宋" w:eastAsia="仿宋"/>
          <w:sz w:val="32"/>
          <w:szCs w:val="32"/>
        </w:rPr>
        <w:t>专项承兑及贴现额度：优先为</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提供专项承兑额度和贴现额度；</w:t>
      </w:r>
    </w:p>
    <w:p>
      <w:pPr>
        <w:keepNext w:val="0"/>
        <w:keepLines w:val="0"/>
        <w:pageBreakBefore w:val="0"/>
        <w:widowControl w:val="0"/>
        <w:kinsoku/>
        <w:wordWrap/>
        <w:overflowPunct/>
        <w:topLinePunct w:val="0"/>
        <w:autoSpaceDE w:val="0"/>
        <w:autoSpaceDN/>
        <w:bidi w:val="0"/>
        <w:adjustRightInd/>
        <w:snapToGrid/>
        <w:spacing w:line="560" w:lineRule="exact"/>
        <w:ind w:right="261" w:firstLine="632" w:firstLineChars="200"/>
        <w:textAlignment w:val="auto"/>
        <w:rPr>
          <w:rFonts w:ascii="Times New Roman" w:hAnsi="Times New Roman" w:eastAsia="仿宋"/>
          <w:color w:val="000000"/>
          <w:sz w:val="32"/>
          <w:szCs w:val="32"/>
        </w:rPr>
      </w:pPr>
      <w:r>
        <w:rPr>
          <w:rFonts w:ascii="仿宋" w:hAnsi="仿宋" w:eastAsia="仿宋"/>
          <w:color w:val="000000"/>
          <w:sz w:val="32"/>
          <w:szCs w:val="32"/>
        </w:rPr>
        <w:t>减免承兑</w:t>
      </w:r>
      <w:r>
        <w:rPr>
          <w:rFonts w:ascii="仿宋" w:hAnsi="仿宋" w:eastAsia="仿宋"/>
          <w:sz w:val="32"/>
          <w:szCs w:val="32"/>
        </w:rPr>
        <w:t>费率及贴现利率：为</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减免承兑手续费、敞口费，降低贴现</w:t>
      </w:r>
      <w:r>
        <w:rPr>
          <w:rFonts w:hint="eastAsia" w:ascii="仿宋" w:hAnsi="仿宋" w:eastAsia="仿宋"/>
          <w:color w:val="000000"/>
          <w:sz w:val="32"/>
          <w:szCs w:val="32"/>
        </w:rPr>
        <w:t>利率</w:t>
      </w:r>
      <w:r>
        <w:rPr>
          <w:rFonts w:ascii="仿宋" w:hAnsi="仿宋" w:eastAsia="仿宋"/>
          <w:color w:val="000000"/>
          <w:sz w:val="32"/>
          <w:szCs w:val="32"/>
        </w:rPr>
        <w:t>等，</w:t>
      </w:r>
      <w:r>
        <w:rPr>
          <w:rFonts w:hint="eastAsia" w:ascii="仿宋" w:hAnsi="仿宋" w:eastAsia="仿宋"/>
          <w:color w:val="000000"/>
          <w:sz w:val="32"/>
          <w:szCs w:val="32"/>
        </w:rPr>
        <w:t>切实</w:t>
      </w:r>
      <w:r>
        <w:rPr>
          <w:rFonts w:ascii="仿宋" w:hAnsi="仿宋" w:eastAsia="仿宋"/>
          <w:color w:val="000000"/>
          <w:sz w:val="32"/>
          <w:szCs w:val="32"/>
        </w:rPr>
        <w:t>降低企业</w:t>
      </w:r>
      <w:r>
        <w:rPr>
          <w:rFonts w:hint="eastAsia" w:ascii="仿宋" w:hAnsi="仿宋" w:eastAsia="仿宋"/>
          <w:color w:val="000000"/>
          <w:sz w:val="32"/>
          <w:szCs w:val="32"/>
        </w:rPr>
        <w:t>融资</w:t>
      </w:r>
      <w:r>
        <w:rPr>
          <w:rFonts w:ascii="仿宋" w:hAnsi="仿宋" w:eastAsia="仿宋"/>
          <w:color w:val="000000"/>
          <w:sz w:val="32"/>
          <w:szCs w:val="32"/>
        </w:rPr>
        <w:t>成本；</w:t>
      </w:r>
    </w:p>
    <w:p>
      <w:pPr>
        <w:keepNext w:val="0"/>
        <w:keepLines w:val="0"/>
        <w:pageBreakBefore w:val="0"/>
        <w:widowControl w:val="0"/>
        <w:kinsoku/>
        <w:wordWrap/>
        <w:overflowPunct/>
        <w:topLinePunct w:val="0"/>
        <w:autoSpaceDE w:val="0"/>
        <w:autoSpaceDN/>
        <w:bidi w:val="0"/>
        <w:adjustRightInd/>
        <w:snapToGrid/>
        <w:spacing w:line="560" w:lineRule="exact"/>
        <w:ind w:right="261" w:firstLine="632" w:firstLineChars="200"/>
        <w:textAlignment w:val="auto"/>
        <w:rPr>
          <w:rFonts w:ascii="Times New Roman" w:hAnsi="Times New Roman" w:eastAsia="仿宋"/>
          <w:color w:val="000000"/>
          <w:sz w:val="32"/>
          <w:szCs w:val="32"/>
        </w:rPr>
      </w:pPr>
      <w:r>
        <w:rPr>
          <w:rFonts w:ascii="仿宋" w:hAnsi="仿宋" w:eastAsia="仿宋"/>
          <w:color w:val="000000"/>
          <w:sz w:val="32"/>
          <w:szCs w:val="32"/>
        </w:rPr>
        <w:t>给予快速审核通道：为</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的承兑及贴现业务提供优于其他</w:t>
      </w:r>
      <w:r>
        <w:rPr>
          <w:rFonts w:ascii="仿宋" w:hAnsi="仿宋" w:eastAsia="仿宋"/>
          <w:sz w:val="32"/>
          <w:szCs w:val="32"/>
        </w:rPr>
        <w:t>业务</w:t>
      </w:r>
      <w:r>
        <w:rPr>
          <w:rFonts w:ascii="仿宋" w:hAnsi="仿宋" w:eastAsia="仿宋"/>
          <w:color w:val="000000"/>
          <w:sz w:val="32"/>
          <w:szCs w:val="32"/>
        </w:rPr>
        <w:t>的办理效率。</w:t>
      </w:r>
    </w:p>
    <w:p>
      <w:pPr>
        <w:keepNext w:val="0"/>
        <w:keepLines w:val="0"/>
        <w:pageBreakBefore w:val="0"/>
        <w:widowControl w:val="0"/>
        <w:kinsoku/>
        <w:wordWrap/>
        <w:overflowPunct/>
        <w:topLinePunct w:val="0"/>
        <w:autoSpaceDE w:val="0"/>
        <w:autoSpaceDN/>
        <w:bidi w:val="0"/>
        <w:adjustRightInd/>
        <w:snapToGrid/>
        <w:spacing w:line="560" w:lineRule="exact"/>
        <w:ind w:right="261" w:firstLine="632" w:firstLineChars="200"/>
        <w:textAlignment w:val="auto"/>
        <w:rPr>
          <w:rFonts w:ascii="Times New Roman" w:hAnsi="Times New Roman"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二</w:t>
      </w:r>
      <w:r>
        <w:rPr>
          <w:rFonts w:ascii="仿宋" w:hAnsi="仿宋" w:eastAsia="仿宋"/>
          <w:color w:val="000000"/>
          <w:sz w:val="32"/>
          <w:szCs w:val="32"/>
        </w:rPr>
        <w:t>）接受新区对</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产品运用情况的评估。</w:t>
      </w:r>
    </w:p>
    <w:p>
      <w:pPr>
        <w:keepNext w:val="0"/>
        <w:keepLines w:val="0"/>
        <w:pageBreakBefore w:val="0"/>
        <w:widowControl w:val="0"/>
        <w:kinsoku/>
        <w:wordWrap/>
        <w:overflowPunct/>
        <w:topLinePunct w:val="0"/>
        <w:autoSpaceDE w:val="0"/>
        <w:autoSpaceDN/>
        <w:bidi w:val="0"/>
        <w:adjustRightInd/>
        <w:snapToGrid/>
        <w:spacing w:line="560" w:lineRule="exact"/>
        <w:ind w:right="259" w:firstLine="632" w:firstLineChars="200"/>
        <w:textAlignment w:val="auto"/>
        <w:rPr>
          <w:rFonts w:ascii="Times New Roman" w:hAnsi="Times New Roman"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）做好</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sz w:val="32"/>
          <w:szCs w:val="32"/>
        </w:rPr>
        <w:t>风险防控。遵循了解客户、了解业务、尽职调查三原则，按照票据业务风险管理要求落实风控工作，重点关注贸易背景真实性、资金使用等，确保</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sz w:val="32"/>
          <w:szCs w:val="32"/>
        </w:rPr>
        <w:t>用于支持绿色企业及项目。同时，根据金融监管部门相关要求落实资金反洗钱等工作。</w:t>
      </w:r>
    </w:p>
    <w:p>
      <w:pPr>
        <w:pStyle w:val="3"/>
        <w:keepNext w:val="0"/>
        <w:keepLines w:val="0"/>
        <w:pageBreakBefore w:val="0"/>
        <w:widowControl w:val="0"/>
        <w:kinsoku/>
        <w:wordWrap/>
        <w:overflowPunct/>
        <w:topLinePunct w:val="0"/>
        <w:autoSpaceDE w:val="0"/>
        <w:autoSpaceDN/>
        <w:bidi w:val="0"/>
        <w:adjustRightInd/>
        <w:snapToGrid/>
        <w:spacing w:after="0" w:line="560" w:lineRule="exact"/>
        <w:ind w:left="227" w:right="259" w:firstLine="627"/>
        <w:textAlignment w:val="auto"/>
        <w:rPr>
          <w:rFonts w:ascii="Times New Roman" w:hAnsi="Times New Roman" w:eastAsia="仿宋" w:cs="Times New Roman"/>
          <w:color w:val="000000"/>
          <w:kern w:val="0"/>
        </w:rPr>
      </w:pPr>
      <w:r>
        <w:rPr>
          <w:rFonts w:ascii="Times New Roman" w:hAnsi="Times New Roman" w:eastAsia="仿宋" w:cs="Times New Roman"/>
          <w:color w:val="000000"/>
          <w:kern w:val="0"/>
        </w:rPr>
        <w:t xml:space="preserve"> </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0"/>
        <w:jc w:val="center"/>
        <w:textAlignment w:val="auto"/>
        <w:rPr>
          <w:rFonts w:ascii="Times New Roman" w:hAnsi="Times New Roman" w:eastAsia="黑体"/>
          <w:sz w:val="32"/>
          <w:szCs w:val="32"/>
        </w:rPr>
      </w:pPr>
      <w:r>
        <w:rPr>
          <w:rFonts w:hint="eastAsia" w:ascii="黑体" w:hAnsi="黑体" w:eastAsia="黑体"/>
          <w:sz w:val="32"/>
          <w:szCs w:val="32"/>
          <w:lang w:eastAsia="zh-CN"/>
        </w:rPr>
        <w:t>第四章</w:t>
      </w:r>
      <w:r>
        <w:rPr>
          <w:rFonts w:hint="eastAsia" w:ascii="黑体" w:hAnsi="黑体" w:eastAsia="黑体"/>
          <w:sz w:val="32"/>
          <w:szCs w:val="32"/>
          <w:lang w:val="en-US" w:eastAsia="zh-CN"/>
        </w:rPr>
        <w:t xml:space="preserve"> </w:t>
      </w:r>
      <w:r>
        <w:rPr>
          <w:rFonts w:ascii="黑体" w:hAnsi="黑体" w:eastAsia="黑体"/>
          <w:sz w:val="32"/>
          <w:szCs w:val="32"/>
        </w:rPr>
        <w:t>业务流程和要求</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32" w:firstLineChars="200"/>
        <w:textAlignment w:val="auto"/>
        <w:rPr>
          <w:rFonts w:ascii="Times New Roman" w:hAnsi="Times New Roman" w:eastAsia="仿宋"/>
          <w:color w:val="000000"/>
          <w:sz w:val="32"/>
          <w:szCs w:val="32"/>
        </w:rPr>
      </w:pP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的业务前提是符合要求的商业银行与新区签订</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合作协议，成为</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的合作银行。</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32" w:firstLineChars="200"/>
        <w:textAlignment w:val="auto"/>
        <w:rPr>
          <w:rFonts w:ascii="Times New Roman" w:hAnsi="Times New Roman" w:eastAsia="仿宋"/>
          <w:color w:val="000000"/>
          <w:sz w:val="32"/>
          <w:szCs w:val="32"/>
        </w:rPr>
      </w:pP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业务流程：</w:t>
      </w:r>
    </w:p>
    <w:p>
      <w:pPr>
        <w:keepNext w:val="0"/>
        <w:keepLines w:val="0"/>
        <w:pageBreakBefore w:val="0"/>
        <w:widowControl w:val="0"/>
        <w:numPr>
          <w:ilvl w:val="0"/>
          <w:numId w:val="2"/>
        </w:numPr>
        <w:kinsoku/>
        <w:wordWrap/>
        <w:overflowPunct/>
        <w:topLinePunct w:val="0"/>
        <w:autoSpaceDN/>
        <w:bidi w:val="0"/>
        <w:adjustRightInd/>
        <w:snapToGrid/>
        <w:spacing w:line="560" w:lineRule="exact"/>
        <w:textAlignment w:val="auto"/>
        <w:rPr>
          <w:rFonts w:ascii="Times New Roman" w:hAnsi="Times New Roman" w:eastAsia="仿宋"/>
          <w:sz w:val="32"/>
          <w:szCs w:val="32"/>
        </w:rPr>
      </w:pPr>
      <w:r>
        <w:rPr>
          <w:rFonts w:ascii="楷体" w:hAnsi="楷体" w:eastAsia="楷体"/>
          <w:sz w:val="32"/>
          <w:szCs w:val="32"/>
        </w:rPr>
        <w:t>业务申请</w:t>
      </w:r>
      <w:r>
        <w:rPr>
          <w:rFonts w:ascii="仿宋" w:hAnsi="仿宋" w:eastAsia="仿宋"/>
          <w:sz w:val="32"/>
          <w:szCs w:val="32"/>
        </w:rPr>
        <w:t>：企业基于自身与银行的票据业务授信，向</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合作银行提交承兑或贴现业务申请。</w:t>
      </w:r>
    </w:p>
    <w:p>
      <w:pPr>
        <w:keepNext w:val="0"/>
        <w:keepLines w:val="0"/>
        <w:pageBreakBefore w:val="0"/>
        <w:widowControl w:val="0"/>
        <w:numPr>
          <w:ilvl w:val="0"/>
          <w:numId w:val="2"/>
        </w:numPr>
        <w:kinsoku/>
        <w:wordWrap/>
        <w:overflowPunct/>
        <w:topLinePunct w:val="0"/>
        <w:autoSpaceDN/>
        <w:bidi w:val="0"/>
        <w:adjustRightInd/>
        <w:snapToGrid/>
        <w:spacing w:line="560" w:lineRule="exact"/>
        <w:textAlignment w:val="auto"/>
        <w:rPr>
          <w:rFonts w:ascii="Times New Roman" w:hAnsi="Times New Roman" w:eastAsia="仿宋"/>
          <w:sz w:val="32"/>
          <w:szCs w:val="32"/>
        </w:rPr>
      </w:pPr>
      <w:r>
        <w:rPr>
          <w:rFonts w:ascii="楷体" w:hAnsi="楷体" w:eastAsia="楷体"/>
          <w:sz w:val="32"/>
          <w:szCs w:val="32"/>
        </w:rPr>
        <w:t>业务办理</w:t>
      </w:r>
      <w:r>
        <w:rPr>
          <w:rFonts w:ascii="仿宋" w:hAnsi="仿宋" w:eastAsia="仿宋"/>
          <w:sz w:val="32"/>
          <w:szCs w:val="32"/>
        </w:rPr>
        <w:t>：银行根据各行自身票据业务办理要求，结合</w:t>
      </w:r>
      <w:r>
        <w:rPr>
          <w:rFonts w:ascii="Times New Roman" w:hAnsi="Times New Roman" w:eastAsia="仿宋"/>
          <w:sz w:val="32"/>
          <w:szCs w:val="32"/>
        </w:rPr>
        <w:t>“</w:t>
      </w:r>
      <w:r>
        <w:rPr>
          <w:rFonts w:ascii="仿宋" w:hAnsi="仿宋" w:eastAsia="仿宋"/>
          <w:sz w:val="32"/>
          <w:szCs w:val="32"/>
        </w:rPr>
        <w:t>新区绿色名录</w:t>
      </w:r>
      <w:r>
        <w:rPr>
          <w:rFonts w:ascii="Times New Roman" w:hAnsi="Times New Roman" w:eastAsia="仿宋"/>
          <w:sz w:val="32"/>
          <w:szCs w:val="32"/>
        </w:rPr>
        <w:t>”</w:t>
      </w:r>
      <w:r>
        <w:rPr>
          <w:rFonts w:ascii="仿宋" w:hAnsi="仿宋" w:eastAsia="仿宋"/>
          <w:sz w:val="32"/>
          <w:szCs w:val="32"/>
        </w:rPr>
        <w:t>、企业贸易背景以及业务所在地等内容进行审核，对于符合</w:t>
      </w:r>
      <w:r>
        <w:rPr>
          <w:rFonts w:ascii="Times New Roman" w:hAnsi="Times New Roman" w:eastAsia="仿宋"/>
          <w:color w:val="000000"/>
          <w:kern w:val="0"/>
          <w:sz w:val="32"/>
          <w:szCs w:val="32"/>
        </w:rPr>
        <w:t>“</w:t>
      </w:r>
      <w:r>
        <w:rPr>
          <w:rFonts w:ascii="仿宋" w:hAnsi="仿宋" w:eastAsia="仿宋"/>
          <w:color w:val="000000"/>
          <w:kern w:val="0"/>
          <w:sz w:val="32"/>
          <w:szCs w:val="32"/>
        </w:rPr>
        <w:t>绿票惠</w:t>
      </w:r>
      <w:r>
        <w:rPr>
          <w:rFonts w:ascii="Times New Roman" w:hAnsi="Times New Roman" w:eastAsia="仿宋"/>
          <w:color w:val="000000"/>
          <w:kern w:val="0"/>
          <w:sz w:val="32"/>
          <w:szCs w:val="32"/>
        </w:rPr>
        <w:t>”</w:t>
      </w:r>
      <w:r>
        <w:rPr>
          <w:rFonts w:ascii="仿宋" w:hAnsi="仿宋" w:eastAsia="仿宋"/>
          <w:sz w:val="32"/>
          <w:szCs w:val="32"/>
        </w:rPr>
        <w:t>绿色标准，即企业主体符合</w:t>
      </w:r>
      <w:r>
        <w:rPr>
          <w:rFonts w:ascii="Times New Roman" w:hAnsi="Times New Roman" w:eastAsia="仿宋"/>
          <w:sz w:val="32"/>
          <w:szCs w:val="32"/>
        </w:rPr>
        <w:t>“</w:t>
      </w:r>
      <w:r>
        <w:rPr>
          <w:rFonts w:ascii="仿宋" w:hAnsi="仿宋" w:eastAsia="仿宋"/>
          <w:sz w:val="32"/>
          <w:szCs w:val="32"/>
        </w:rPr>
        <w:t>新区绿色名录</w:t>
      </w:r>
      <w:r>
        <w:rPr>
          <w:rFonts w:ascii="Times New Roman" w:hAnsi="Times New Roman" w:eastAsia="仿宋"/>
          <w:sz w:val="32"/>
          <w:szCs w:val="32"/>
        </w:rPr>
        <w:t>”</w:t>
      </w:r>
      <w:r>
        <w:rPr>
          <w:rFonts w:ascii="仿宋" w:hAnsi="仿宋" w:eastAsia="仿宋"/>
          <w:sz w:val="32"/>
          <w:szCs w:val="32"/>
        </w:rPr>
        <w:t>或资金用途符合绿色领域的业务，按效率、价格等要求办理</w:t>
      </w:r>
      <w:r>
        <w:rPr>
          <w:rFonts w:ascii="Times New Roman" w:hAnsi="Times New Roman" w:eastAsia="仿宋"/>
          <w:sz w:val="32"/>
          <w:szCs w:val="32"/>
        </w:rPr>
        <w:t>“</w:t>
      </w:r>
      <w:r>
        <w:rPr>
          <w:rFonts w:ascii="仿宋" w:hAnsi="仿宋" w:eastAsia="仿宋"/>
          <w:sz w:val="32"/>
          <w:szCs w:val="32"/>
        </w:rPr>
        <w:t>绿票惠</w:t>
      </w:r>
      <w:r>
        <w:rPr>
          <w:rFonts w:ascii="Times New Roman" w:hAnsi="Times New Roman" w:eastAsia="仿宋"/>
          <w:sz w:val="32"/>
          <w:szCs w:val="32"/>
        </w:rPr>
        <w:t>”</w:t>
      </w:r>
      <w:r>
        <w:rPr>
          <w:rFonts w:ascii="仿宋" w:hAnsi="仿宋" w:eastAsia="仿宋"/>
          <w:sz w:val="32"/>
          <w:szCs w:val="32"/>
        </w:rPr>
        <w:t>承兑或贴现业务。</w:t>
      </w:r>
    </w:p>
    <w:p>
      <w:pPr>
        <w:keepNext w:val="0"/>
        <w:keepLines w:val="0"/>
        <w:pageBreakBefore w:val="0"/>
        <w:widowControl w:val="0"/>
        <w:numPr>
          <w:ilvl w:val="0"/>
          <w:numId w:val="2"/>
        </w:numPr>
        <w:kinsoku/>
        <w:wordWrap/>
        <w:overflowPunct/>
        <w:topLinePunct w:val="0"/>
        <w:autoSpaceDN/>
        <w:bidi w:val="0"/>
        <w:adjustRightInd/>
        <w:snapToGrid/>
        <w:spacing w:line="560" w:lineRule="exact"/>
        <w:textAlignment w:val="auto"/>
        <w:rPr>
          <w:rFonts w:ascii="Times New Roman" w:hAnsi="Times New Roman" w:eastAsia="仿宋"/>
          <w:sz w:val="32"/>
          <w:szCs w:val="32"/>
        </w:rPr>
      </w:pPr>
      <w:r>
        <w:rPr>
          <w:rFonts w:ascii="楷体" w:hAnsi="楷体" w:eastAsia="楷体"/>
          <w:sz w:val="32"/>
          <w:szCs w:val="32"/>
        </w:rPr>
        <w:t>评估激励</w:t>
      </w:r>
      <w:r>
        <w:rPr>
          <w:rFonts w:ascii="仿宋" w:hAnsi="仿宋" w:eastAsia="仿宋"/>
          <w:sz w:val="32"/>
          <w:szCs w:val="32"/>
        </w:rPr>
        <w:t>：新区定期对</w:t>
      </w:r>
      <w:r>
        <w:rPr>
          <w:rFonts w:ascii="Times New Roman" w:hAnsi="Times New Roman" w:eastAsia="仿宋"/>
          <w:color w:val="000000"/>
          <w:kern w:val="0"/>
          <w:sz w:val="32"/>
          <w:szCs w:val="32"/>
        </w:rPr>
        <w:t>“</w:t>
      </w:r>
      <w:r>
        <w:rPr>
          <w:rFonts w:ascii="仿宋" w:hAnsi="仿宋" w:eastAsia="仿宋"/>
          <w:color w:val="000000"/>
          <w:kern w:val="0"/>
          <w:sz w:val="32"/>
          <w:szCs w:val="32"/>
        </w:rPr>
        <w:t>绿票惠</w:t>
      </w:r>
      <w:r>
        <w:rPr>
          <w:rFonts w:ascii="Times New Roman" w:hAnsi="Times New Roman" w:eastAsia="仿宋"/>
          <w:color w:val="000000"/>
          <w:kern w:val="0"/>
          <w:sz w:val="32"/>
          <w:szCs w:val="32"/>
        </w:rPr>
        <w:t>”</w:t>
      </w:r>
      <w:r>
        <w:rPr>
          <w:rFonts w:ascii="仿宋" w:hAnsi="仿宋" w:eastAsia="仿宋"/>
          <w:color w:val="000000"/>
          <w:kern w:val="0"/>
          <w:sz w:val="32"/>
          <w:szCs w:val="32"/>
        </w:rPr>
        <w:t>业务开展情况进行汇总评估，并按相关办法开展奖惩激励</w:t>
      </w:r>
      <w:r>
        <w:rPr>
          <w:rFonts w:ascii="仿宋" w:hAnsi="仿宋" w:eastAsia="仿宋"/>
          <w:sz w:val="32"/>
          <w:szCs w:val="32"/>
        </w:rPr>
        <w:t>。</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32" w:firstLineChars="200"/>
        <w:textAlignment w:val="auto"/>
        <w:rPr>
          <w:rFonts w:ascii="Times New Roman" w:hAnsi="Times New Roman" w:eastAsia="仿宋"/>
          <w:color w:val="000000"/>
          <w:sz w:val="32"/>
          <w:szCs w:val="32"/>
        </w:rPr>
      </w:pPr>
      <w:r>
        <w:rPr>
          <w:rFonts w:hint="eastAsia" w:ascii="仿宋" w:hAnsi="仿宋" w:eastAsia="仿宋"/>
          <w:color w:val="000000"/>
          <w:sz w:val="32"/>
          <w:szCs w:val="32"/>
        </w:rPr>
        <w:t>新区各部门</w:t>
      </w:r>
      <w:r>
        <w:rPr>
          <w:rFonts w:ascii="仿宋" w:hAnsi="仿宋" w:eastAsia="仿宋"/>
          <w:color w:val="000000"/>
          <w:sz w:val="32"/>
          <w:szCs w:val="32"/>
        </w:rPr>
        <w:t>、合作商业银行应加大</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推荐力度，在企业服务、产品推介、业务活动中不断推广</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服务范围。</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32" w:firstLineChars="200"/>
        <w:textAlignment w:val="auto"/>
        <w:rPr>
          <w:rFonts w:ascii="Times New Roman" w:hAnsi="Times New Roman" w:eastAsia="仿宋"/>
          <w:color w:val="000000"/>
          <w:sz w:val="32"/>
          <w:szCs w:val="32"/>
        </w:rPr>
      </w:pPr>
      <w:r>
        <w:rPr>
          <w:rFonts w:ascii="仿宋" w:hAnsi="仿宋" w:eastAsia="仿宋"/>
          <w:color w:val="000000"/>
          <w:sz w:val="32"/>
          <w:szCs w:val="32"/>
        </w:rPr>
        <w:t>合作商业银行根据要求向新区报告</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业务</w:t>
      </w:r>
      <w:r>
        <w:rPr>
          <w:rFonts w:ascii="仿宋" w:hAnsi="仿宋" w:eastAsia="仿宋"/>
          <w:sz w:val="32"/>
          <w:szCs w:val="32"/>
        </w:rPr>
        <w:t>开展</w:t>
      </w:r>
      <w:r>
        <w:rPr>
          <w:rFonts w:ascii="仿宋" w:hAnsi="仿宋" w:eastAsia="仿宋"/>
          <w:color w:val="000000"/>
          <w:sz w:val="32"/>
          <w:szCs w:val="32"/>
        </w:rPr>
        <w:t>情况。新区定期或不定期召开</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sz w:val="32"/>
          <w:szCs w:val="32"/>
        </w:rPr>
        <w:t>业务</w:t>
      </w:r>
      <w:r>
        <w:rPr>
          <w:rFonts w:ascii="仿宋" w:hAnsi="仿宋" w:eastAsia="仿宋"/>
          <w:color w:val="000000"/>
          <w:sz w:val="32"/>
          <w:szCs w:val="32"/>
        </w:rPr>
        <w:t>分析会议，绿票惠工作小组应加强信息交流，对绿色发展、绿色金融、绿色票据等相关内容进行充分沟通和分析。</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32" w:firstLineChars="200"/>
        <w:textAlignment w:val="auto"/>
        <w:rPr>
          <w:rFonts w:ascii="Times New Roman" w:hAnsi="Times New Roman" w:eastAsia="仿宋"/>
          <w:color w:val="000000"/>
          <w:sz w:val="32"/>
          <w:szCs w:val="32"/>
        </w:rPr>
      </w:pPr>
      <w:r>
        <w:rPr>
          <w:rFonts w:ascii="仿宋" w:hAnsi="仿宋" w:eastAsia="仿宋"/>
          <w:color w:val="000000"/>
          <w:sz w:val="32"/>
          <w:szCs w:val="32"/>
        </w:rPr>
        <w:t>新区持续更新、定期公布并动态管理</w:t>
      </w:r>
      <w:r>
        <w:rPr>
          <w:rFonts w:ascii="Times New Roman" w:hAnsi="Times New Roman" w:eastAsia="仿宋"/>
          <w:sz w:val="32"/>
          <w:szCs w:val="32"/>
        </w:rPr>
        <w:t>“</w:t>
      </w:r>
      <w:r>
        <w:rPr>
          <w:rFonts w:ascii="仿宋" w:hAnsi="仿宋" w:eastAsia="仿宋"/>
          <w:sz w:val="32"/>
          <w:szCs w:val="32"/>
        </w:rPr>
        <w:t>新区绿色名录</w:t>
      </w:r>
      <w:r>
        <w:rPr>
          <w:rFonts w:ascii="Times New Roman" w:hAnsi="Times New Roman" w:eastAsia="仿宋"/>
          <w:sz w:val="32"/>
          <w:szCs w:val="32"/>
        </w:rPr>
        <w:t>”</w:t>
      </w:r>
      <w:r>
        <w:rPr>
          <w:rFonts w:ascii="仿宋" w:hAnsi="仿宋" w:eastAsia="仿宋"/>
          <w:sz w:val="32"/>
          <w:szCs w:val="32"/>
        </w:rPr>
        <w:t>。</w:t>
      </w:r>
      <w:r>
        <w:rPr>
          <w:rFonts w:ascii="Times New Roman" w:hAnsi="Times New Roman" w:eastAsia="仿宋"/>
          <w:sz w:val="32"/>
          <w:szCs w:val="32"/>
        </w:rPr>
        <w:t>“</w:t>
      </w:r>
      <w:r>
        <w:rPr>
          <w:rFonts w:ascii="仿宋" w:hAnsi="仿宋" w:eastAsia="仿宋"/>
          <w:sz w:val="32"/>
          <w:szCs w:val="32"/>
        </w:rPr>
        <w:t>新区绿色名录</w:t>
      </w:r>
      <w:r>
        <w:rPr>
          <w:rFonts w:ascii="Times New Roman" w:hAnsi="Times New Roman" w:eastAsia="仿宋"/>
          <w:sz w:val="32"/>
          <w:szCs w:val="32"/>
        </w:rPr>
        <w:t>”</w:t>
      </w:r>
      <w:r>
        <w:rPr>
          <w:rFonts w:ascii="仿宋" w:hAnsi="仿宋" w:eastAsia="仿宋"/>
          <w:sz w:val="32"/>
          <w:szCs w:val="32"/>
        </w:rPr>
        <w:t>内企业可来自于新区相关部门和</w:t>
      </w:r>
      <w:r>
        <w:rPr>
          <w:rFonts w:hint="eastAsia" w:ascii="仿宋" w:hAnsi="仿宋" w:eastAsia="仿宋"/>
          <w:sz w:val="32"/>
          <w:szCs w:val="32"/>
        </w:rPr>
        <w:t>平台</w:t>
      </w:r>
      <w:r>
        <w:rPr>
          <w:rFonts w:ascii="仿宋" w:hAnsi="仿宋" w:eastAsia="仿宋"/>
          <w:sz w:val="32"/>
          <w:szCs w:val="32"/>
        </w:rPr>
        <w:t>街道推荐、银行报送、公开发行绿色债券等</w:t>
      </w:r>
      <w:r>
        <w:rPr>
          <w:rFonts w:ascii="仿宋" w:hAnsi="仿宋" w:eastAsia="仿宋"/>
          <w:color w:val="000000"/>
          <w:sz w:val="32"/>
          <w:szCs w:val="32"/>
        </w:rPr>
        <w:t>。</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32" w:firstLineChars="200"/>
        <w:textAlignment w:val="auto"/>
        <w:rPr>
          <w:rFonts w:ascii="Times New Roman" w:hAnsi="Times New Roman" w:eastAsia="仿宋"/>
          <w:color w:val="000000"/>
          <w:sz w:val="32"/>
          <w:szCs w:val="32"/>
        </w:rPr>
      </w:pPr>
      <w:r>
        <w:rPr>
          <w:rFonts w:ascii="仿宋" w:hAnsi="仿宋" w:eastAsia="仿宋"/>
          <w:color w:val="000000"/>
          <w:sz w:val="32"/>
          <w:szCs w:val="32"/>
        </w:rPr>
        <w:t>本办法所提及财政激励，包括：</w:t>
      </w:r>
    </w:p>
    <w:p>
      <w:pPr>
        <w:keepNext w:val="0"/>
        <w:keepLines w:val="0"/>
        <w:pageBreakBefore w:val="0"/>
        <w:widowControl w:val="0"/>
        <w:kinsoku/>
        <w:wordWrap/>
        <w:overflowPunct/>
        <w:topLinePunct w:val="0"/>
        <w:autoSpaceDE w:val="0"/>
        <w:autoSpaceDN/>
        <w:bidi w:val="0"/>
        <w:adjustRightInd/>
        <w:snapToGrid/>
        <w:spacing w:line="560" w:lineRule="exact"/>
        <w:ind w:right="259" w:firstLine="632" w:firstLineChars="200"/>
        <w:textAlignment w:val="auto"/>
        <w:rPr>
          <w:rFonts w:ascii="Times New Roman" w:hAnsi="Times New Roman" w:eastAsia="仿宋"/>
          <w:color w:val="000000"/>
          <w:sz w:val="32"/>
          <w:szCs w:val="32"/>
        </w:rPr>
      </w:pPr>
      <w:r>
        <w:rPr>
          <w:rFonts w:ascii="仿宋" w:hAnsi="仿宋" w:eastAsia="仿宋"/>
          <w:color w:val="000000"/>
          <w:sz w:val="32"/>
          <w:szCs w:val="32"/>
        </w:rPr>
        <w:t>（一）</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贴现业务量全额计入《南京江北新区关于进一步深化绿色金融创新促进绿色产业高质量发展的实施意见（试行）</w:t>
      </w:r>
      <w:r>
        <w:rPr>
          <w:rFonts w:hint="eastAsia" w:ascii="仿宋" w:hAnsi="仿宋" w:eastAsia="仿宋"/>
          <w:color w:val="000000"/>
          <w:sz w:val="32"/>
          <w:szCs w:val="32"/>
        </w:rPr>
        <w:t>》</w:t>
      </w:r>
      <w:r>
        <w:rPr>
          <w:rFonts w:ascii="仿宋" w:hAnsi="仿宋" w:eastAsia="仿宋"/>
          <w:color w:val="000000"/>
          <w:sz w:val="32"/>
          <w:szCs w:val="32"/>
        </w:rPr>
        <w:t>（宁新区管发〔</w:t>
      </w:r>
      <w:r>
        <w:rPr>
          <w:rFonts w:ascii="Times New Roman" w:hAnsi="Times New Roman" w:eastAsia="仿宋"/>
          <w:color w:val="000000"/>
          <w:sz w:val="32"/>
          <w:szCs w:val="32"/>
        </w:rPr>
        <w:t>2020</w:t>
      </w:r>
      <w:r>
        <w:rPr>
          <w:rFonts w:ascii="仿宋" w:hAnsi="仿宋" w:eastAsia="仿宋"/>
          <w:color w:val="000000"/>
          <w:sz w:val="32"/>
          <w:szCs w:val="32"/>
        </w:rPr>
        <w:t>〕</w:t>
      </w:r>
      <w:r>
        <w:rPr>
          <w:rFonts w:ascii="Times New Roman" w:hAnsi="Times New Roman" w:eastAsia="仿宋"/>
          <w:color w:val="000000"/>
          <w:sz w:val="32"/>
          <w:szCs w:val="32"/>
        </w:rPr>
        <w:t>9</w:t>
      </w:r>
      <w:r>
        <w:rPr>
          <w:rFonts w:ascii="仿宋" w:hAnsi="仿宋" w:eastAsia="仿宋"/>
          <w:color w:val="000000"/>
          <w:sz w:val="32"/>
          <w:szCs w:val="32"/>
        </w:rPr>
        <w:t>号）中绿色信贷的激励范围。</w:t>
      </w:r>
    </w:p>
    <w:p>
      <w:pPr>
        <w:keepNext w:val="0"/>
        <w:keepLines w:val="0"/>
        <w:pageBreakBefore w:val="0"/>
        <w:widowControl w:val="0"/>
        <w:kinsoku/>
        <w:wordWrap/>
        <w:overflowPunct/>
        <w:topLinePunct w:val="0"/>
        <w:autoSpaceDE w:val="0"/>
        <w:autoSpaceDN/>
        <w:bidi w:val="0"/>
        <w:adjustRightInd/>
        <w:snapToGrid/>
        <w:spacing w:line="560" w:lineRule="exact"/>
        <w:ind w:right="259" w:firstLine="632" w:firstLineChars="200"/>
        <w:textAlignment w:val="auto"/>
        <w:rPr>
          <w:rFonts w:ascii="Times New Roman" w:hAnsi="Times New Roman" w:eastAsia="仿宋"/>
          <w:color w:val="000000"/>
          <w:sz w:val="32"/>
          <w:szCs w:val="32"/>
        </w:rPr>
      </w:pPr>
      <w:r>
        <w:rPr>
          <w:rFonts w:ascii="仿宋" w:hAnsi="仿宋" w:eastAsia="仿宋"/>
          <w:color w:val="000000"/>
          <w:sz w:val="32"/>
          <w:szCs w:val="32"/>
        </w:rPr>
        <w:t>（二）</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展业情况计入《南京江北新区绿色银行挂牌及星级评定办法（试行）》（宁新区管规字〔</w:t>
      </w:r>
      <w:r>
        <w:rPr>
          <w:rFonts w:ascii="Times New Roman" w:hAnsi="Times New Roman" w:eastAsia="仿宋"/>
          <w:color w:val="000000"/>
          <w:sz w:val="32"/>
          <w:szCs w:val="32"/>
        </w:rPr>
        <w:t>2020</w:t>
      </w:r>
      <w:r>
        <w:rPr>
          <w:rFonts w:ascii="仿宋" w:hAnsi="仿宋" w:eastAsia="仿宋"/>
          <w:color w:val="000000"/>
          <w:sz w:val="32"/>
          <w:szCs w:val="32"/>
        </w:rPr>
        <w:t>〕</w:t>
      </w:r>
      <w:r>
        <w:rPr>
          <w:rFonts w:ascii="Times New Roman" w:hAnsi="Times New Roman" w:eastAsia="仿宋"/>
          <w:color w:val="000000"/>
          <w:sz w:val="32"/>
          <w:szCs w:val="32"/>
        </w:rPr>
        <w:t>8</w:t>
      </w:r>
      <w:r>
        <w:rPr>
          <w:rFonts w:ascii="仿宋" w:hAnsi="仿宋" w:eastAsia="仿宋"/>
          <w:color w:val="000000"/>
          <w:sz w:val="32"/>
          <w:szCs w:val="32"/>
        </w:rPr>
        <w:t>号）中，对挂牌绿色银行进行考核，在定量指标中占</w:t>
      </w:r>
      <w:r>
        <w:rPr>
          <w:rFonts w:hint="eastAsia" w:ascii="Times New Roman" w:hAnsi="Times New Roman" w:eastAsia="仿宋"/>
          <w:color w:val="000000"/>
          <w:sz w:val="32"/>
          <w:szCs w:val="32"/>
        </w:rPr>
        <w:t>15</w:t>
      </w:r>
      <w:r>
        <w:rPr>
          <w:rFonts w:ascii="仿宋" w:hAnsi="仿宋" w:eastAsia="仿宋"/>
          <w:color w:val="000000"/>
          <w:sz w:val="32"/>
          <w:szCs w:val="32"/>
        </w:rPr>
        <w:t>分。</w:t>
      </w:r>
    </w:p>
    <w:p>
      <w:pPr>
        <w:keepNext w:val="0"/>
        <w:keepLines w:val="0"/>
        <w:pageBreakBefore w:val="0"/>
        <w:widowControl w:val="0"/>
        <w:kinsoku/>
        <w:wordWrap/>
        <w:overflowPunct/>
        <w:topLinePunct w:val="0"/>
        <w:autoSpaceDE w:val="0"/>
        <w:autoSpaceDN/>
        <w:bidi w:val="0"/>
        <w:adjustRightInd/>
        <w:snapToGrid/>
        <w:spacing w:line="560" w:lineRule="exact"/>
        <w:ind w:left="0" w:right="259" w:firstLine="632" w:firstLineChars="200"/>
        <w:textAlignment w:val="auto"/>
        <w:rPr>
          <w:rFonts w:ascii="仿宋" w:hAnsi="仿宋" w:eastAsia="仿宋"/>
          <w:color w:val="000000"/>
          <w:sz w:val="32"/>
          <w:szCs w:val="32"/>
        </w:rPr>
      </w:pPr>
      <w:r>
        <w:rPr>
          <w:rFonts w:ascii="仿宋" w:hAnsi="仿宋" w:eastAsia="仿宋"/>
          <w:color w:val="000000"/>
          <w:sz w:val="32"/>
          <w:szCs w:val="32"/>
        </w:rPr>
        <w:t>（三）</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展业情况作为新区财政资金竞争性存放评标参考，</w:t>
      </w:r>
      <w:r>
        <w:rPr>
          <w:rFonts w:hint="eastAsia" w:ascii="仿宋" w:hAnsi="仿宋" w:eastAsia="仿宋"/>
          <w:color w:val="000000"/>
          <w:sz w:val="32"/>
          <w:szCs w:val="32"/>
        </w:rPr>
        <w:t>产品开展规模和利率优惠水平较高的银行</w:t>
      </w:r>
      <w:r>
        <w:rPr>
          <w:rFonts w:ascii="仿宋" w:hAnsi="仿宋" w:eastAsia="仿宋"/>
          <w:color w:val="000000"/>
          <w:sz w:val="32"/>
          <w:szCs w:val="32"/>
        </w:rPr>
        <w:t>给予相应加分。</w:t>
      </w:r>
    </w:p>
    <w:p>
      <w:pPr>
        <w:pStyle w:val="2"/>
        <w:keepNext w:val="0"/>
        <w:keepLines w:val="0"/>
        <w:pageBreakBefore w:val="0"/>
        <w:widowControl w:val="0"/>
        <w:kinsoku/>
        <w:wordWrap/>
        <w:overflowPunct/>
        <w:topLinePunct w:val="0"/>
        <w:autoSpaceDN/>
        <w:bidi w:val="0"/>
        <w:adjustRightInd/>
        <w:snapToGrid/>
        <w:spacing w:after="0" w:line="560" w:lineRule="exact"/>
        <w:textAlignment w:val="auto"/>
      </w:pP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0"/>
        <w:jc w:val="center"/>
        <w:textAlignment w:val="auto"/>
        <w:rPr>
          <w:rFonts w:ascii="Times New Roman" w:hAnsi="Times New Roman" w:eastAsia="黑体"/>
          <w:color w:val="000000"/>
          <w:sz w:val="32"/>
          <w:szCs w:val="32"/>
        </w:rPr>
      </w:pPr>
      <w:r>
        <w:rPr>
          <w:rFonts w:hint="eastAsia" w:ascii="黑体" w:hAnsi="黑体" w:eastAsia="黑体"/>
          <w:color w:val="000000"/>
          <w:sz w:val="32"/>
          <w:szCs w:val="32"/>
          <w:lang w:eastAsia="zh-CN"/>
        </w:rPr>
        <w:t>第五章</w:t>
      </w:r>
      <w:r>
        <w:rPr>
          <w:rFonts w:hint="eastAsia" w:ascii="黑体" w:hAnsi="黑体" w:eastAsia="黑体"/>
          <w:color w:val="000000"/>
          <w:sz w:val="32"/>
          <w:szCs w:val="32"/>
          <w:lang w:val="en-US" w:eastAsia="zh-CN"/>
        </w:rPr>
        <w:t xml:space="preserve"> </w:t>
      </w:r>
      <w:r>
        <w:rPr>
          <w:rFonts w:ascii="黑体" w:hAnsi="黑体" w:eastAsia="黑体"/>
          <w:color w:val="000000"/>
          <w:sz w:val="32"/>
          <w:szCs w:val="32"/>
        </w:rPr>
        <w:t>附则</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32" w:firstLineChars="200"/>
        <w:textAlignment w:val="auto"/>
        <w:rPr>
          <w:rFonts w:ascii="Times New Roman" w:hAnsi="Times New Roman" w:eastAsia="仿宋"/>
          <w:color w:val="000000"/>
          <w:sz w:val="32"/>
          <w:szCs w:val="32"/>
        </w:rPr>
      </w:pPr>
      <w:r>
        <w:rPr>
          <w:rFonts w:ascii="仿宋" w:hAnsi="仿宋" w:eastAsia="仿宋"/>
          <w:color w:val="000000"/>
          <w:sz w:val="32"/>
          <w:szCs w:val="32"/>
        </w:rPr>
        <w:t>新区对合作商业银行和相关企业的违规或失信行为实施监控，对存在违规或失信行为的，禁止其继续申请办理</w:t>
      </w:r>
      <w:r>
        <w:rPr>
          <w:rFonts w:ascii="Times New Roman" w:hAnsi="Times New Roman" w:eastAsia="仿宋"/>
          <w:color w:val="000000"/>
          <w:sz w:val="32"/>
          <w:szCs w:val="32"/>
        </w:rPr>
        <w:t>“</w:t>
      </w:r>
      <w:r>
        <w:rPr>
          <w:rFonts w:ascii="仿宋" w:hAnsi="仿宋" w:eastAsia="仿宋"/>
          <w:color w:val="000000"/>
          <w:sz w:val="32"/>
          <w:szCs w:val="32"/>
        </w:rPr>
        <w:t>绿票惠</w:t>
      </w:r>
      <w:r>
        <w:rPr>
          <w:rFonts w:ascii="Times New Roman" w:hAnsi="Times New Roman" w:eastAsia="仿宋"/>
          <w:color w:val="000000"/>
          <w:sz w:val="32"/>
          <w:szCs w:val="32"/>
        </w:rPr>
        <w:t>”</w:t>
      </w:r>
      <w:r>
        <w:rPr>
          <w:rFonts w:ascii="仿宋" w:hAnsi="仿宋" w:eastAsia="仿宋"/>
          <w:color w:val="000000"/>
          <w:sz w:val="32"/>
          <w:szCs w:val="32"/>
        </w:rPr>
        <w:t>，并取消相应财政激励。</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12" w:firstLineChars="200"/>
        <w:textAlignment w:val="auto"/>
        <w:rPr>
          <w:rFonts w:ascii="Times New Roman" w:hAnsi="Times New Roman" w:eastAsia="仿宋"/>
          <w:color w:val="000000"/>
          <w:sz w:val="32"/>
          <w:szCs w:val="32"/>
        </w:rPr>
      </w:pPr>
      <w:r>
        <w:rPr>
          <w:rFonts w:hint="eastAsia" w:ascii="仿宋" w:hAnsi="仿宋" w:eastAsia="仿宋"/>
          <w:color w:val="000000"/>
          <w:kern w:val="0"/>
          <w:sz w:val="31"/>
          <w:szCs w:val="31"/>
        </w:rPr>
        <w:t>本办法自发行之日起试行两年，可根据实施情况予以修订。本办法</w:t>
      </w:r>
      <w:r>
        <w:rPr>
          <w:rFonts w:ascii="仿宋" w:hAnsi="仿宋" w:eastAsia="仿宋"/>
          <w:color w:val="000000"/>
          <w:sz w:val="32"/>
          <w:szCs w:val="32"/>
        </w:rPr>
        <w:t>由江北新区财政局负责解释。</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32" w:firstLineChars="200"/>
        <w:textAlignment w:val="auto"/>
        <w:rPr>
          <w:rFonts w:ascii="Times New Roman" w:hAnsi="Times New Roman" w:eastAsia="仿宋"/>
          <w:color w:val="000000"/>
          <w:kern w:val="0"/>
          <w:sz w:val="32"/>
          <w:szCs w:val="32"/>
        </w:rPr>
      </w:pPr>
      <w:r>
        <w:rPr>
          <w:rFonts w:ascii="仿宋" w:hAnsi="仿宋" w:eastAsia="仿宋"/>
          <w:color w:val="000000"/>
          <w:sz w:val="32"/>
          <w:szCs w:val="32"/>
        </w:rPr>
        <w:t>本办法自印发之日起施行。国家、省、市出台相关法律、法规、规章或政策的，按照相关最新规定执行。</w:t>
      </w:r>
    </w:p>
    <w:p>
      <w:pPr>
        <w:keepNext w:val="0"/>
        <w:keepLines w:val="0"/>
        <w:pageBreakBefore w:val="0"/>
        <w:widowControl w:val="0"/>
        <w:kinsoku/>
        <w:wordWrap/>
        <w:overflowPunct/>
        <w:topLinePunct w:val="0"/>
        <w:autoSpaceDN/>
        <w:bidi w:val="0"/>
        <w:adjustRightInd/>
        <w:snapToGrid/>
        <w:spacing w:line="560" w:lineRule="exact"/>
        <w:textAlignment w:val="auto"/>
      </w:pPr>
    </w:p>
    <w:p>
      <w:pPr>
        <w:adjustRightInd w:val="0"/>
        <w:snapToGrid w:val="0"/>
        <w:spacing w:line="560" w:lineRule="exact"/>
        <w:ind w:firstLine="632" w:firstLineChars="200"/>
        <w:rPr>
          <w:rFonts w:ascii="仿宋" w:hAnsi="仿宋" w:eastAsia="仿宋"/>
          <w:sz w:val="32"/>
          <w:szCs w:val="32"/>
        </w:rPr>
      </w:pPr>
    </w:p>
    <w:p>
      <w:pPr>
        <w:adjustRightInd w:val="0"/>
        <w:snapToGrid w:val="0"/>
        <w:spacing w:line="560" w:lineRule="exact"/>
        <w:ind w:right="1840" w:firstLine="872" w:firstLineChars="200"/>
        <w:rPr>
          <w:rFonts w:ascii="仿宋" w:hAnsi="仿宋" w:eastAsia="仿宋"/>
          <w:sz w:val="32"/>
          <w:szCs w:val="32"/>
        </w:rPr>
      </w:pPr>
      <w:r>
        <w:rPr>
          <w:rFonts w:hint="eastAsia" w:ascii="方正小标宋_GBK" w:hAnsi="Times New Roman" w:eastAsia="方正小标宋_GBK"/>
          <w:sz w:val="44"/>
          <w:szCs w:val="32"/>
        </w:rPr>
        <w:t xml:space="preserve">                          </w:t>
      </w:r>
    </w:p>
    <w:p>
      <w:pPr>
        <w:adjustRightInd w:val="0"/>
        <w:snapToGrid w:val="0"/>
        <w:spacing w:line="560" w:lineRule="exact"/>
        <w:rPr>
          <w:rFonts w:ascii="仿宋" w:hAnsi="仿宋" w:eastAsia="仿宋"/>
          <w:sz w:val="32"/>
          <w:szCs w:val="32"/>
        </w:rPr>
      </w:pPr>
    </w:p>
    <w:p/>
    <w:p>
      <w:pPr>
        <w:pStyle w:val="28"/>
        <w:spacing w:line="520" w:lineRule="exact"/>
        <w:ind w:right="1280" w:firstLine="0" w:firstLineChars="0"/>
        <w:jc w:val="right"/>
        <w:rPr>
          <w:rFonts w:hint="default" w:ascii="Times New Roman" w:hAnsi="Times New Roman" w:eastAsia="方正仿宋_GBK" w:cs="Times New Roman"/>
          <w:sz w:val="32"/>
          <w:szCs w:val="32"/>
        </w:rPr>
      </w:pPr>
    </w:p>
    <w:p/>
    <w:p>
      <w:pPr>
        <w:spacing w:line="560" w:lineRule="exact"/>
        <w:ind w:right="326"/>
        <w:jc w:val="center"/>
        <w:rPr>
          <w:rFonts w:ascii="Times New Roman" w:hAnsi="Times New Roman" w:eastAsia="方正仿宋_GBK" w:cs="Times New Roman"/>
          <w:spacing w:val="3"/>
          <w:sz w:val="32"/>
          <w:szCs w:val="32"/>
          <w:lang w:eastAsia="zh-CN"/>
        </w:rPr>
      </w:pPr>
    </w:p>
    <w:p>
      <w:pPr>
        <w:spacing w:line="540" w:lineRule="exact"/>
        <w:rPr>
          <w:rFonts w:ascii="Times New Roman" w:hAnsi="Times New Roman" w:eastAsia="仿宋" w:cs="Times New Roman"/>
          <w:sz w:val="32"/>
          <w:szCs w:val="32"/>
        </w:rPr>
      </w:pPr>
    </w:p>
    <w:p>
      <w:pPr>
        <w:pStyle w:val="2"/>
        <w:rPr>
          <w:rFonts w:ascii="Times New Roman" w:hAnsi="Times New Roman" w:eastAsia="仿宋" w:cs="Times New Roman"/>
          <w:sz w:val="32"/>
          <w:szCs w:val="32"/>
        </w:rPr>
      </w:pPr>
    </w:p>
    <w:p>
      <w:pPr>
        <w:pStyle w:val="2"/>
        <w:rPr>
          <w:rFonts w:ascii="Times New Roman" w:hAnsi="Times New Roman" w:eastAsia="仿宋" w:cs="Times New Roman"/>
          <w:sz w:val="32"/>
          <w:szCs w:val="32"/>
        </w:rPr>
      </w:pPr>
    </w:p>
    <w:p>
      <w:pPr>
        <w:pStyle w:val="2"/>
        <w:rPr>
          <w:rFonts w:ascii="Times New Roman" w:hAnsi="Times New Roman" w:eastAsia="仿宋" w:cs="Times New Roman"/>
          <w:sz w:val="32"/>
          <w:szCs w:val="32"/>
        </w:rPr>
      </w:pPr>
    </w:p>
    <w:p>
      <w:pPr>
        <w:pStyle w:val="2"/>
        <w:rPr>
          <w:rFonts w:ascii="Times New Roman" w:hAnsi="Times New Roman" w:eastAsia="仿宋" w:cs="Times New Roman"/>
          <w:sz w:val="32"/>
          <w:szCs w:val="32"/>
        </w:rPr>
      </w:pPr>
    </w:p>
    <w:p>
      <w:pPr>
        <w:pStyle w:val="2"/>
        <w:rPr>
          <w:rFonts w:ascii="Times New Roman" w:hAnsi="Times New Roman" w:eastAsia="仿宋" w:cs="Times New Roman"/>
          <w:sz w:val="32"/>
          <w:szCs w:val="32"/>
        </w:rPr>
      </w:pPr>
    </w:p>
    <w:p>
      <w:pPr>
        <w:pStyle w:val="2"/>
        <w:rPr>
          <w:rFonts w:ascii="Times New Roman" w:hAnsi="Times New Roman" w:eastAsia="仿宋" w:cs="Times New Roman"/>
          <w:sz w:val="32"/>
          <w:szCs w:val="32"/>
        </w:rPr>
      </w:pPr>
    </w:p>
    <w:p>
      <w:pPr>
        <w:pStyle w:val="2"/>
        <w:rPr>
          <w:rFonts w:ascii="Times New Roman" w:hAnsi="Times New Roman" w:eastAsia="仿宋" w:cs="Times New Roman"/>
          <w:sz w:val="32"/>
          <w:szCs w:val="32"/>
        </w:rPr>
      </w:pPr>
    </w:p>
    <w:p>
      <w:pPr>
        <w:pStyle w:val="2"/>
        <w:rPr>
          <w:rFonts w:ascii="Times New Roman" w:hAnsi="Times New Roman" w:eastAsia="仿宋" w:cs="Times New Roman"/>
          <w:sz w:val="32"/>
          <w:szCs w:val="32"/>
        </w:rPr>
      </w:pPr>
    </w:p>
    <w:p>
      <w:pPr>
        <w:pStyle w:val="2"/>
        <w:rPr>
          <w:rFonts w:ascii="Times New Roman" w:hAnsi="Times New Roman" w:eastAsia="仿宋" w:cs="Times New Roman"/>
          <w:sz w:val="32"/>
          <w:szCs w:val="32"/>
        </w:rPr>
      </w:pPr>
    </w:p>
    <w:p>
      <w:pPr>
        <w:pStyle w:val="2"/>
        <w:rPr>
          <w:rFonts w:ascii="Times New Roman" w:hAnsi="Times New Roman" w:eastAsia="仿宋" w:cs="Times New Roman"/>
          <w:sz w:val="32"/>
          <w:szCs w:val="32"/>
        </w:rPr>
      </w:pPr>
    </w:p>
    <w:tbl>
      <w:tblPr>
        <w:tblStyle w:val="17"/>
        <w:tblpPr w:horzAnchor="margin" w:tblpXSpec="center" w:tblpYSpec="bottom"/>
        <w:tblW w:w="8845" w:type="dxa"/>
        <w:tblInd w:w="0" w:type="dxa"/>
        <w:tblBorders>
          <w:top w:val="single" w:color="auto" w:sz="8" w:space="0"/>
          <w:left w:val="none" w:color="auto" w:sz="0" w:space="0"/>
          <w:bottom w:val="single" w:color="auto" w:sz="8" w:space="0"/>
          <w:right w:val="none" w:color="auto" w:sz="0" w:space="0"/>
          <w:insideH w:val="single" w:color="auto" w:sz="6" w:space="0"/>
          <w:insideV w:val="single" w:color="auto" w:sz="4" w:space="0"/>
        </w:tblBorders>
        <w:tblLayout w:type="autofit"/>
        <w:tblCellMar>
          <w:top w:w="0" w:type="dxa"/>
          <w:left w:w="0" w:type="dxa"/>
          <w:bottom w:w="0" w:type="dxa"/>
          <w:right w:w="0"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6" w:space="0"/>
            <w:insideV w:val="single" w:color="auto" w:sz="4" w:space="0"/>
          </w:tblBorders>
          <w:tblCellMar>
            <w:top w:w="0" w:type="dxa"/>
            <w:left w:w="0" w:type="dxa"/>
            <w:bottom w:w="0" w:type="dxa"/>
            <w:right w:w="0" w:type="dxa"/>
          </w:tblCellMar>
        </w:tblPrEx>
        <w:tc>
          <w:tcPr>
            <w:tcW w:w="8845" w:type="dxa"/>
            <w:vAlign w:val="center"/>
          </w:tcPr>
          <w:p>
            <w:pPr>
              <w:spacing w:line="540" w:lineRule="exact"/>
              <w:ind w:left="206" w:leftChars="100" w:right="206" w:rightChars="100"/>
              <w:rPr>
                <w:rFonts w:ascii="Times New Roman" w:hAnsi="Times New Roman" w:eastAsia="仿宋" w:cs="Times New Roman"/>
                <w:kern w:val="0"/>
                <w:sz w:val="28"/>
                <w:szCs w:val="28"/>
              </w:rPr>
            </w:pPr>
            <w:r>
              <w:rPr>
                <w:rFonts w:ascii="Times New Roman" w:hAnsi="Times New Roman" w:eastAsia="仿宋" w:cs="Times New Roman"/>
                <w:kern w:val="0"/>
                <w:sz w:val="28"/>
                <w:szCs w:val="28"/>
              </w:rPr>
              <w:t>南京市江北新区管委会财政局               2021年</w:t>
            </w:r>
            <w:r>
              <w:rPr>
                <w:rFonts w:hint="eastAsia" w:ascii="Times New Roman" w:hAnsi="Times New Roman" w:eastAsia="仿宋" w:cs="Times New Roman"/>
                <w:kern w:val="0"/>
                <w:sz w:val="28"/>
                <w:szCs w:val="28"/>
                <w:lang w:val="en-US" w:eastAsia="zh-CN"/>
              </w:rPr>
              <w:t>10</w:t>
            </w:r>
            <w:r>
              <w:rPr>
                <w:rFonts w:ascii="Times New Roman" w:hAnsi="Times New Roman" w:eastAsia="仿宋" w:cs="Times New Roman"/>
                <w:kern w:val="0"/>
                <w:sz w:val="28"/>
                <w:szCs w:val="28"/>
              </w:rPr>
              <w:t>月</w:t>
            </w:r>
            <w:r>
              <w:rPr>
                <w:rFonts w:hint="eastAsia" w:ascii="Times New Roman" w:hAnsi="Times New Roman" w:eastAsia="仿宋" w:cs="Times New Roman"/>
                <w:kern w:val="0"/>
                <w:sz w:val="28"/>
                <w:szCs w:val="28"/>
                <w:lang w:val="en-US" w:eastAsia="zh-CN"/>
              </w:rPr>
              <w:t>12</w:t>
            </w:r>
            <w:r>
              <w:rPr>
                <w:rFonts w:ascii="Times New Roman" w:hAnsi="Times New Roman" w:eastAsia="仿宋" w:cs="Times New Roman"/>
                <w:kern w:val="0"/>
                <w:sz w:val="28"/>
                <w:szCs w:val="28"/>
              </w:rPr>
              <w:t>日印发</w:t>
            </w:r>
          </w:p>
        </w:tc>
      </w:tr>
    </w:tbl>
    <w:p>
      <w:pPr>
        <w:pStyle w:val="2"/>
        <w:ind w:left="0" w:leftChars="0" w:firstLine="0" w:firstLineChars="0"/>
        <w:rPr>
          <w:rFonts w:ascii="Times New Roman" w:hAnsi="Times New Roman" w:eastAsia="仿宋" w:cs="Times New Roman"/>
          <w:sz w:val="32"/>
          <w:szCs w:val="32"/>
        </w:rPr>
      </w:pPr>
    </w:p>
    <w:sectPr>
      <w:footerReference r:id="rId3" w:type="default"/>
      <w:footerReference r:id="rId4" w:type="even"/>
      <w:pgSz w:w="11906" w:h="16838"/>
      <w:pgMar w:top="2098" w:right="1474" w:bottom="1985" w:left="1588" w:header="720" w:footer="1021" w:gutter="0"/>
      <w:pgNumType w:start="1"/>
      <w:cols w:space="720" w:num="1"/>
      <w:docGrid w:type="linesAndChars" w:linePitch="631"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250" w:right="210" w:rightChars="100"/>
      <w:jc w:val="right"/>
    </w:pPr>
  </w:p>
  <w:p>
    <w:pPr>
      <w:pStyle w:val="11"/>
      <w:ind w:left="5250" w:right="210" w:rightChars="100"/>
      <w:jc w:val="right"/>
      <w:rPr>
        <w:rFonts w:asciiTheme="minorEastAsia" w:hAnsiTheme="minorEastAsia"/>
        <w:sz w:val="28"/>
        <w:szCs w:val="28"/>
      </w:rPr>
    </w:pPr>
    <w:r>
      <w:rPr>
        <w:rFonts w:hint="eastAsia"/>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1</w:t>
    </w:r>
    <w:r>
      <w:rPr>
        <w:rFonts w:ascii="仿宋" w:hAnsi="仿宋" w:eastAsia="仿宋"/>
        <w:sz w:val="28"/>
        <w:szCs w:val="28"/>
      </w:rPr>
      <w:fldChar w:fldCharType="end"/>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9231673"/>
    </w:sdtPr>
    <w:sdtEndPr>
      <w:rPr>
        <w:sz w:val="28"/>
        <w:szCs w:val="28"/>
      </w:rPr>
    </w:sdtEndPr>
    <w:sdtContent>
      <w:p>
        <w:pPr>
          <w:pStyle w:val="11"/>
          <w:rPr>
            <w:sz w:val="28"/>
            <w:szCs w:val="28"/>
          </w:rPr>
        </w:pPr>
        <w:r>
          <w:rPr>
            <w:rFonts w:hint="eastAsia"/>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hint="eastAsia"/>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F671C"/>
    <w:multiLevelType w:val="multilevel"/>
    <w:tmpl w:val="45CF671C"/>
    <w:lvl w:ilvl="0" w:tentative="0">
      <w:start w:val="1"/>
      <w:numFmt w:val="chineseCounting"/>
      <w:suff w:val="nothing"/>
      <w:lvlText w:val="（%1）"/>
      <w:lvlJc w:val="left"/>
      <w:pPr>
        <w:ind w:left="0" w:firstLine="420"/>
      </w:pPr>
      <w:rPr>
        <w:rFonts w:hint="eastAsia" w:ascii="楷体_GB2312" w:hAnsi="楷体_GB2312" w:eastAsia="楷体_GB2312" w:cs="楷体_GB2312"/>
        <w:b w:val="0"/>
        <w:bC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CA7673C"/>
    <w:multiLevelType w:val="multilevel"/>
    <w:tmpl w:val="4CA7673C"/>
    <w:lvl w:ilvl="0" w:tentative="0">
      <w:start w:val="1"/>
      <w:numFmt w:val="chineseCounting"/>
      <w:suff w:val="space"/>
      <w:lvlText w:val="第%1条"/>
      <w:lvlJc w:val="left"/>
      <w:pPr>
        <w:ind w:left="-10" w:firstLine="0"/>
      </w:pPr>
      <w:rPr>
        <w:rFonts w:hint="eastAsia" w:ascii="宋体" w:hAnsi="宋体" w:eastAsia="宋体"/>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205"/>
  <w:drawingGridVerticalSpacing w:val="631"/>
  <w:displayHorizontalDrawingGridEvery w:val="0"/>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52178"/>
    <w:rsid w:val="00002952"/>
    <w:rsid w:val="00002A23"/>
    <w:rsid w:val="00004412"/>
    <w:rsid w:val="00007F9E"/>
    <w:rsid w:val="00016709"/>
    <w:rsid w:val="00016DE6"/>
    <w:rsid w:val="00020E3C"/>
    <w:rsid w:val="00024405"/>
    <w:rsid w:val="00024470"/>
    <w:rsid w:val="00025891"/>
    <w:rsid w:val="00030CBA"/>
    <w:rsid w:val="000407DC"/>
    <w:rsid w:val="0004375B"/>
    <w:rsid w:val="00044CFF"/>
    <w:rsid w:val="00044FA5"/>
    <w:rsid w:val="0005175D"/>
    <w:rsid w:val="00055E01"/>
    <w:rsid w:val="0006081D"/>
    <w:rsid w:val="00060CF5"/>
    <w:rsid w:val="00062D74"/>
    <w:rsid w:val="000650B4"/>
    <w:rsid w:val="0007380B"/>
    <w:rsid w:val="00084D7F"/>
    <w:rsid w:val="00084F3F"/>
    <w:rsid w:val="00085DC7"/>
    <w:rsid w:val="000920E6"/>
    <w:rsid w:val="0009439B"/>
    <w:rsid w:val="000954A1"/>
    <w:rsid w:val="00095D24"/>
    <w:rsid w:val="000A0C3F"/>
    <w:rsid w:val="000A0D6C"/>
    <w:rsid w:val="000A6848"/>
    <w:rsid w:val="000A7E5D"/>
    <w:rsid w:val="000B1409"/>
    <w:rsid w:val="000B1C55"/>
    <w:rsid w:val="000B5B0D"/>
    <w:rsid w:val="000C58B9"/>
    <w:rsid w:val="000D0AFA"/>
    <w:rsid w:val="000E4295"/>
    <w:rsid w:val="000E6890"/>
    <w:rsid w:val="000F5741"/>
    <w:rsid w:val="00112B1D"/>
    <w:rsid w:val="001225CB"/>
    <w:rsid w:val="0015056E"/>
    <w:rsid w:val="00151F1E"/>
    <w:rsid w:val="00152178"/>
    <w:rsid w:val="00164BCF"/>
    <w:rsid w:val="00175721"/>
    <w:rsid w:val="00184423"/>
    <w:rsid w:val="00187818"/>
    <w:rsid w:val="00192D7B"/>
    <w:rsid w:val="001941DD"/>
    <w:rsid w:val="001A0A7C"/>
    <w:rsid w:val="001A233D"/>
    <w:rsid w:val="001A5D7F"/>
    <w:rsid w:val="001A6927"/>
    <w:rsid w:val="001B66D4"/>
    <w:rsid w:val="001B7CDF"/>
    <w:rsid w:val="001C20D9"/>
    <w:rsid w:val="001C2D00"/>
    <w:rsid w:val="001C340B"/>
    <w:rsid w:val="001D5B0E"/>
    <w:rsid w:val="001E2B1D"/>
    <w:rsid w:val="001E577D"/>
    <w:rsid w:val="001E6A08"/>
    <w:rsid w:val="001F54C6"/>
    <w:rsid w:val="002002AA"/>
    <w:rsid w:val="00211AC0"/>
    <w:rsid w:val="0021463C"/>
    <w:rsid w:val="0021492F"/>
    <w:rsid w:val="00215733"/>
    <w:rsid w:val="00225DEB"/>
    <w:rsid w:val="00230357"/>
    <w:rsid w:val="00232460"/>
    <w:rsid w:val="00234149"/>
    <w:rsid w:val="002347A9"/>
    <w:rsid w:val="0023567D"/>
    <w:rsid w:val="00236A91"/>
    <w:rsid w:val="00242034"/>
    <w:rsid w:val="0024363A"/>
    <w:rsid w:val="00243901"/>
    <w:rsid w:val="0025775E"/>
    <w:rsid w:val="00257918"/>
    <w:rsid w:val="00257CB9"/>
    <w:rsid w:val="00265479"/>
    <w:rsid w:val="00266191"/>
    <w:rsid w:val="002705B7"/>
    <w:rsid w:val="00282866"/>
    <w:rsid w:val="00282BBB"/>
    <w:rsid w:val="002838D0"/>
    <w:rsid w:val="00286628"/>
    <w:rsid w:val="00286FF1"/>
    <w:rsid w:val="002921C8"/>
    <w:rsid w:val="002949A1"/>
    <w:rsid w:val="002A0909"/>
    <w:rsid w:val="002A29C4"/>
    <w:rsid w:val="002B0885"/>
    <w:rsid w:val="002C11AD"/>
    <w:rsid w:val="002C133B"/>
    <w:rsid w:val="002C3AD9"/>
    <w:rsid w:val="002D1961"/>
    <w:rsid w:val="002D6B7E"/>
    <w:rsid w:val="002D72CF"/>
    <w:rsid w:val="002E0C10"/>
    <w:rsid w:val="002E14A4"/>
    <w:rsid w:val="002E3ECD"/>
    <w:rsid w:val="002E5EF9"/>
    <w:rsid w:val="002E6E46"/>
    <w:rsid w:val="002E79E7"/>
    <w:rsid w:val="002F1C55"/>
    <w:rsid w:val="002F2EB7"/>
    <w:rsid w:val="002F78D6"/>
    <w:rsid w:val="0030507B"/>
    <w:rsid w:val="003051B8"/>
    <w:rsid w:val="003051C8"/>
    <w:rsid w:val="003054EA"/>
    <w:rsid w:val="00311728"/>
    <w:rsid w:val="00312B98"/>
    <w:rsid w:val="00323313"/>
    <w:rsid w:val="00324FF5"/>
    <w:rsid w:val="00325FE7"/>
    <w:rsid w:val="00330E08"/>
    <w:rsid w:val="003421D3"/>
    <w:rsid w:val="003474CA"/>
    <w:rsid w:val="003521BD"/>
    <w:rsid w:val="00352F80"/>
    <w:rsid w:val="00353123"/>
    <w:rsid w:val="00355A59"/>
    <w:rsid w:val="003576DE"/>
    <w:rsid w:val="00361773"/>
    <w:rsid w:val="00372428"/>
    <w:rsid w:val="00374159"/>
    <w:rsid w:val="00381ADD"/>
    <w:rsid w:val="00384DD6"/>
    <w:rsid w:val="003968C8"/>
    <w:rsid w:val="003A0A7D"/>
    <w:rsid w:val="003A392B"/>
    <w:rsid w:val="003A4E26"/>
    <w:rsid w:val="003A57EE"/>
    <w:rsid w:val="003A63A3"/>
    <w:rsid w:val="003B0E12"/>
    <w:rsid w:val="003B2CC1"/>
    <w:rsid w:val="003B5278"/>
    <w:rsid w:val="003C0F11"/>
    <w:rsid w:val="003C444C"/>
    <w:rsid w:val="003C445B"/>
    <w:rsid w:val="003C5AF9"/>
    <w:rsid w:val="003C5B3E"/>
    <w:rsid w:val="003D09CF"/>
    <w:rsid w:val="003D6FBC"/>
    <w:rsid w:val="003E1EE3"/>
    <w:rsid w:val="003E6BE6"/>
    <w:rsid w:val="003F381A"/>
    <w:rsid w:val="003F440D"/>
    <w:rsid w:val="003F4EFD"/>
    <w:rsid w:val="003F5E64"/>
    <w:rsid w:val="00400368"/>
    <w:rsid w:val="00400B5B"/>
    <w:rsid w:val="00400FD3"/>
    <w:rsid w:val="00402C21"/>
    <w:rsid w:val="00407F16"/>
    <w:rsid w:val="00414501"/>
    <w:rsid w:val="00414F66"/>
    <w:rsid w:val="00425B4F"/>
    <w:rsid w:val="00435F0F"/>
    <w:rsid w:val="00437700"/>
    <w:rsid w:val="00440448"/>
    <w:rsid w:val="00441500"/>
    <w:rsid w:val="004423AB"/>
    <w:rsid w:val="00446019"/>
    <w:rsid w:val="00447513"/>
    <w:rsid w:val="004525CD"/>
    <w:rsid w:val="004554F7"/>
    <w:rsid w:val="00455DFD"/>
    <w:rsid w:val="00473734"/>
    <w:rsid w:val="0047683E"/>
    <w:rsid w:val="00476D47"/>
    <w:rsid w:val="00484757"/>
    <w:rsid w:val="004A3F93"/>
    <w:rsid w:val="004B51A7"/>
    <w:rsid w:val="004B7DE4"/>
    <w:rsid w:val="004C7E1E"/>
    <w:rsid w:val="004E141B"/>
    <w:rsid w:val="004E7371"/>
    <w:rsid w:val="004F4348"/>
    <w:rsid w:val="004F5318"/>
    <w:rsid w:val="004F63CA"/>
    <w:rsid w:val="004F6763"/>
    <w:rsid w:val="00505549"/>
    <w:rsid w:val="005113E8"/>
    <w:rsid w:val="005116BC"/>
    <w:rsid w:val="00514C13"/>
    <w:rsid w:val="00515730"/>
    <w:rsid w:val="00520DD3"/>
    <w:rsid w:val="00523E54"/>
    <w:rsid w:val="005335C2"/>
    <w:rsid w:val="00547A75"/>
    <w:rsid w:val="0055631E"/>
    <w:rsid w:val="00562A2B"/>
    <w:rsid w:val="00562FC9"/>
    <w:rsid w:val="00567BE8"/>
    <w:rsid w:val="00567F93"/>
    <w:rsid w:val="005708FD"/>
    <w:rsid w:val="00574A17"/>
    <w:rsid w:val="005829ED"/>
    <w:rsid w:val="00587E0C"/>
    <w:rsid w:val="00587FB1"/>
    <w:rsid w:val="005A5572"/>
    <w:rsid w:val="005B1C61"/>
    <w:rsid w:val="005B2112"/>
    <w:rsid w:val="005B5EF2"/>
    <w:rsid w:val="005C4A1D"/>
    <w:rsid w:val="005C6506"/>
    <w:rsid w:val="005D0511"/>
    <w:rsid w:val="005D64DF"/>
    <w:rsid w:val="005E1EAC"/>
    <w:rsid w:val="005E33EC"/>
    <w:rsid w:val="005E3888"/>
    <w:rsid w:val="005E4EE0"/>
    <w:rsid w:val="005E527E"/>
    <w:rsid w:val="005E5BAC"/>
    <w:rsid w:val="005E7E0A"/>
    <w:rsid w:val="005F00E6"/>
    <w:rsid w:val="005F360D"/>
    <w:rsid w:val="005F4675"/>
    <w:rsid w:val="005F5B4A"/>
    <w:rsid w:val="005F79C0"/>
    <w:rsid w:val="005F7C57"/>
    <w:rsid w:val="00602CFA"/>
    <w:rsid w:val="00615556"/>
    <w:rsid w:val="00615811"/>
    <w:rsid w:val="00621CF3"/>
    <w:rsid w:val="00622AA1"/>
    <w:rsid w:val="006261CE"/>
    <w:rsid w:val="0062690C"/>
    <w:rsid w:val="00630777"/>
    <w:rsid w:val="0063358C"/>
    <w:rsid w:val="006335E7"/>
    <w:rsid w:val="00642E87"/>
    <w:rsid w:val="00647EE6"/>
    <w:rsid w:val="006556CA"/>
    <w:rsid w:val="00661F51"/>
    <w:rsid w:val="0066323A"/>
    <w:rsid w:val="00666C6B"/>
    <w:rsid w:val="00670CFF"/>
    <w:rsid w:val="00672980"/>
    <w:rsid w:val="00674250"/>
    <w:rsid w:val="0067766B"/>
    <w:rsid w:val="00693EF4"/>
    <w:rsid w:val="006A0FC7"/>
    <w:rsid w:val="006A1966"/>
    <w:rsid w:val="006A215F"/>
    <w:rsid w:val="006A245B"/>
    <w:rsid w:val="006B45A2"/>
    <w:rsid w:val="006B49A3"/>
    <w:rsid w:val="006B6736"/>
    <w:rsid w:val="006B6B34"/>
    <w:rsid w:val="006C171D"/>
    <w:rsid w:val="006C5810"/>
    <w:rsid w:val="006C6077"/>
    <w:rsid w:val="006C68E7"/>
    <w:rsid w:val="006C7571"/>
    <w:rsid w:val="006D254F"/>
    <w:rsid w:val="006D387F"/>
    <w:rsid w:val="006D710E"/>
    <w:rsid w:val="006D75DC"/>
    <w:rsid w:val="006E77BC"/>
    <w:rsid w:val="006F617E"/>
    <w:rsid w:val="006F7B80"/>
    <w:rsid w:val="007017C3"/>
    <w:rsid w:val="00702C11"/>
    <w:rsid w:val="00712B59"/>
    <w:rsid w:val="007139F1"/>
    <w:rsid w:val="00727C09"/>
    <w:rsid w:val="007329FE"/>
    <w:rsid w:val="007331F4"/>
    <w:rsid w:val="00733657"/>
    <w:rsid w:val="0073605F"/>
    <w:rsid w:val="00737EA0"/>
    <w:rsid w:val="007420C8"/>
    <w:rsid w:val="00743A2F"/>
    <w:rsid w:val="00750497"/>
    <w:rsid w:val="00760C6D"/>
    <w:rsid w:val="00764AEC"/>
    <w:rsid w:val="0076518E"/>
    <w:rsid w:val="00765EA1"/>
    <w:rsid w:val="00781A60"/>
    <w:rsid w:val="00781B27"/>
    <w:rsid w:val="0078544C"/>
    <w:rsid w:val="007861CA"/>
    <w:rsid w:val="00790869"/>
    <w:rsid w:val="00792869"/>
    <w:rsid w:val="00795FDF"/>
    <w:rsid w:val="00796922"/>
    <w:rsid w:val="007B57EF"/>
    <w:rsid w:val="007C1962"/>
    <w:rsid w:val="007C36F9"/>
    <w:rsid w:val="007C3ACE"/>
    <w:rsid w:val="007C488E"/>
    <w:rsid w:val="007C58EB"/>
    <w:rsid w:val="007C6BE8"/>
    <w:rsid w:val="007D4F99"/>
    <w:rsid w:val="007D5F4A"/>
    <w:rsid w:val="007D790D"/>
    <w:rsid w:val="007E1321"/>
    <w:rsid w:val="007E7DE6"/>
    <w:rsid w:val="007F294D"/>
    <w:rsid w:val="007F2B76"/>
    <w:rsid w:val="00804C24"/>
    <w:rsid w:val="00810CB6"/>
    <w:rsid w:val="00814852"/>
    <w:rsid w:val="008158D5"/>
    <w:rsid w:val="00823ABE"/>
    <w:rsid w:val="008336D8"/>
    <w:rsid w:val="00834A0E"/>
    <w:rsid w:val="00836E1F"/>
    <w:rsid w:val="008421C0"/>
    <w:rsid w:val="0084723E"/>
    <w:rsid w:val="0085318C"/>
    <w:rsid w:val="00860657"/>
    <w:rsid w:val="00866715"/>
    <w:rsid w:val="00866CCC"/>
    <w:rsid w:val="008738E6"/>
    <w:rsid w:val="00873BB0"/>
    <w:rsid w:val="00875BD4"/>
    <w:rsid w:val="0088192F"/>
    <w:rsid w:val="0088494D"/>
    <w:rsid w:val="00885672"/>
    <w:rsid w:val="00887B29"/>
    <w:rsid w:val="0089097C"/>
    <w:rsid w:val="00892AEF"/>
    <w:rsid w:val="00896CD7"/>
    <w:rsid w:val="00897424"/>
    <w:rsid w:val="00897C75"/>
    <w:rsid w:val="008A0D91"/>
    <w:rsid w:val="008A0EC2"/>
    <w:rsid w:val="008A5297"/>
    <w:rsid w:val="008B4501"/>
    <w:rsid w:val="008B5F2B"/>
    <w:rsid w:val="008C1BC8"/>
    <w:rsid w:val="008D075A"/>
    <w:rsid w:val="008D182A"/>
    <w:rsid w:val="008D6222"/>
    <w:rsid w:val="008D7BA9"/>
    <w:rsid w:val="008E3334"/>
    <w:rsid w:val="008E3C71"/>
    <w:rsid w:val="008F5479"/>
    <w:rsid w:val="008F57D9"/>
    <w:rsid w:val="008F6569"/>
    <w:rsid w:val="008F7575"/>
    <w:rsid w:val="00900172"/>
    <w:rsid w:val="0090275E"/>
    <w:rsid w:val="00904969"/>
    <w:rsid w:val="00905B70"/>
    <w:rsid w:val="00914377"/>
    <w:rsid w:val="009168C3"/>
    <w:rsid w:val="00922269"/>
    <w:rsid w:val="00923AC3"/>
    <w:rsid w:val="00931F00"/>
    <w:rsid w:val="00943A9C"/>
    <w:rsid w:val="00944B28"/>
    <w:rsid w:val="00944D56"/>
    <w:rsid w:val="00947014"/>
    <w:rsid w:val="00973961"/>
    <w:rsid w:val="00981F83"/>
    <w:rsid w:val="009866BD"/>
    <w:rsid w:val="00987198"/>
    <w:rsid w:val="00996B5D"/>
    <w:rsid w:val="009A1C33"/>
    <w:rsid w:val="009A2462"/>
    <w:rsid w:val="009B71CD"/>
    <w:rsid w:val="009C44E6"/>
    <w:rsid w:val="009C4521"/>
    <w:rsid w:val="009C7288"/>
    <w:rsid w:val="009D1295"/>
    <w:rsid w:val="009D2E6F"/>
    <w:rsid w:val="009D57C9"/>
    <w:rsid w:val="009E1029"/>
    <w:rsid w:val="009E2A57"/>
    <w:rsid w:val="009E2E6A"/>
    <w:rsid w:val="009E4E15"/>
    <w:rsid w:val="009E56F4"/>
    <w:rsid w:val="009F0899"/>
    <w:rsid w:val="009F55AE"/>
    <w:rsid w:val="009F65AD"/>
    <w:rsid w:val="00A03981"/>
    <w:rsid w:val="00A0464C"/>
    <w:rsid w:val="00A04CE2"/>
    <w:rsid w:val="00A054F9"/>
    <w:rsid w:val="00A10322"/>
    <w:rsid w:val="00A13EDC"/>
    <w:rsid w:val="00A21977"/>
    <w:rsid w:val="00A317C7"/>
    <w:rsid w:val="00A3234C"/>
    <w:rsid w:val="00A3253E"/>
    <w:rsid w:val="00A33C61"/>
    <w:rsid w:val="00A3573A"/>
    <w:rsid w:val="00A3744D"/>
    <w:rsid w:val="00A37EF4"/>
    <w:rsid w:val="00A43DE0"/>
    <w:rsid w:val="00A44227"/>
    <w:rsid w:val="00A455D6"/>
    <w:rsid w:val="00A45F6E"/>
    <w:rsid w:val="00A620B8"/>
    <w:rsid w:val="00A64957"/>
    <w:rsid w:val="00A64C12"/>
    <w:rsid w:val="00A65894"/>
    <w:rsid w:val="00A779F3"/>
    <w:rsid w:val="00A812A8"/>
    <w:rsid w:val="00A90410"/>
    <w:rsid w:val="00A9099B"/>
    <w:rsid w:val="00A93AAA"/>
    <w:rsid w:val="00AA1EF7"/>
    <w:rsid w:val="00AA6D27"/>
    <w:rsid w:val="00AA74E9"/>
    <w:rsid w:val="00AA7515"/>
    <w:rsid w:val="00AA7C8C"/>
    <w:rsid w:val="00AB0F5E"/>
    <w:rsid w:val="00AB1318"/>
    <w:rsid w:val="00AC388A"/>
    <w:rsid w:val="00AC4F83"/>
    <w:rsid w:val="00AE087F"/>
    <w:rsid w:val="00AE0E7B"/>
    <w:rsid w:val="00AE558D"/>
    <w:rsid w:val="00AE7571"/>
    <w:rsid w:val="00AE7FD1"/>
    <w:rsid w:val="00AF0187"/>
    <w:rsid w:val="00AF0792"/>
    <w:rsid w:val="00AF336B"/>
    <w:rsid w:val="00B01380"/>
    <w:rsid w:val="00B0420B"/>
    <w:rsid w:val="00B064E5"/>
    <w:rsid w:val="00B101AD"/>
    <w:rsid w:val="00B103AD"/>
    <w:rsid w:val="00B11324"/>
    <w:rsid w:val="00B13A20"/>
    <w:rsid w:val="00B16275"/>
    <w:rsid w:val="00B2277B"/>
    <w:rsid w:val="00B238E7"/>
    <w:rsid w:val="00B25F2F"/>
    <w:rsid w:val="00B33C1A"/>
    <w:rsid w:val="00B33CA8"/>
    <w:rsid w:val="00B347F9"/>
    <w:rsid w:val="00B36FE0"/>
    <w:rsid w:val="00B40BBE"/>
    <w:rsid w:val="00B42586"/>
    <w:rsid w:val="00B42C71"/>
    <w:rsid w:val="00B43086"/>
    <w:rsid w:val="00B44D68"/>
    <w:rsid w:val="00B45A22"/>
    <w:rsid w:val="00B5160C"/>
    <w:rsid w:val="00B52F19"/>
    <w:rsid w:val="00B548D1"/>
    <w:rsid w:val="00B61DE6"/>
    <w:rsid w:val="00B64CD0"/>
    <w:rsid w:val="00B70835"/>
    <w:rsid w:val="00B81647"/>
    <w:rsid w:val="00B823D6"/>
    <w:rsid w:val="00BA3A53"/>
    <w:rsid w:val="00BB1DC1"/>
    <w:rsid w:val="00BC51D5"/>
    <w:rsid w:val="00BC59EE"/>
    <w:rsid w:val="00BD4031"/>
    <w:rsid w:val="00BF21B7"/>
    <w:rsid w:val="00C017AB"/>
    <w:rsid w:val="00C01A4A"/>
    <w:rsid w:val="00C04632"/>
    <w:rsid w:val="00C04EBE"/>
    <w:rsid w:val="00C05497"/>
    <w:rsid w:val="00C0573C"/>
    <w:rsid w:val="00C14F06"/>
    <w:rsid w:val="00C20549"/>
    <w:rsid w:val="00C232E3"/>
    <w:rsid w:val="00C252C4"/>
    <w:rsid w:val="00C26968"/>
    <w:rsid w:val="00C31F06"/>
    <w:rsid w:val="00C34A02"/>
    <w:rsid w:val="00C411E1"/>
    <w:rsid w:val="00C425D5"/>
    <w:rsid w:val="00C42B29"/>
    <w:rsid w:val="00C47D26"/>
    <w:rsid w:val="00C53B92"/>
    <w:rsid w:val="00C55D68"/>
    <w:rsid w:val="00C573B7"/>
    <w:rsid w:val="00C61B75"/>
    <w:rsid w:val="00C72D81"/>
    <w:rsid w:val="00C74976"/>
    <w:rsid w:val="00C775C0"/>
    <w:rsid w:val="00C81810"/>
    <w:rsid w:val="00C82E50"/>
    <w:rsid w:val="00C91B94"/>
    <w:rsid w:val="00C9466B"/>
    <w:rsid w:val="00C94791"/>
    <w:rsid w:val="00CB219B"/>
    <w:rsid w:val="00CB67BF"/>
    <w:rsid w:val="00CB7159"/>
    <w:rsid w:val="00CC2906"/>
    <w:rsid w:val="00CC530C"/>
    <w:rsid w:val="00CD3E09"/>
    <w:rsid w:val="00CD535B"/>
    <w:rsid w:val="00CE2C78"/>
    <w:rsid w:val="00CE6F0A"/>
    <w:rsid w:val="00CF70C1"/>
    <w:rsid w:val="00D053D9"/>
    <w:rsid w:val="00D14670"/>
    <w:rsid w:val="00D163C3"/>
    <w:rsid w:val="00D164E9"/>
    <w:rsid w:val="00D23D69"/>
    <w:rsid w:val="00D2426A"/>
    <w:rsid w:val="00D24EEF"/>
    <w:rsid w:val="00D27422"/>
    <w:rsid w:val="00D3391B"/>
    <w:rsid w:val="00D3431D"/>
    <w:rsid w:val="00D34820"/>
    <w:rsid w:val="00D42D81"/>
    <w:rsid w:val="00D46D7D"/>
    <w:rsid w:val="00D52DE1"/>
    <w:rsid w:val="00D5350C"/>
    <w:rsid w:val="00D60334"/>
    <w:rsid w:val="00D62AF7"/>
    <w:rsid w:val="00D659F9"/>
    <w:rsid w:val="00D70D8E"/>
    <w:rsid w:val="00D811C8"/>
    <w:rsid w:val="00D84CA3"/>
    <w:rsid w:val="00DA18B9"/>
    <w:rsid w:val="00DA4F2F"/>
    <w:rsid w:val="00DA4F58"/>
    <w:rsid w:val="00DA730F"/>
    <w:rsid w:val="00DB5ACF"/>
    <w:rsid w:val="00DB5F5D"/>
    <w:rsid w:val="00DB6E3C"/>
    <w:rsid w:val="00DC60EF"/>
    <w:rsid w:val="00DC79C4"/>
    <w:rsid w:val="00DD2F5A"/>
    <w:rsid w:val="00DE1F57"/>
    <w:rsid w:val="00DE4C20"/>
    <w:rsid w:val="00DE53C4"/>
    <w:rsid w:val="00DE73F2"/>
    <w:rsid w:val="00DF5904"/>
    <w:rsid w:val="00DF6371"/>
    <w:rsid w:val="00E02E74"/>
    <w:rsid w:val="00E033E3"/>
    <w:rsid w:val="00E13F99"/>
    <w:rsid w:val="00E14A73"/>
    <w:rsid w:val="00E15685"/>
    <w:rsid w:val="00E23E0A"/>
    <w:rsid w:val="00E2636B"/>
    <w:rsid w:val="00E268A5"/>
    <w:rsid w:val="00E27447"/>
    <w:rsid w:val="00E30520"/>
    <w:rsid w:val="00E30DB5"/>
    <w:rsid w:val="00E329CF"/>
    <w:rsid w:val="00E416F0"/>
    <w:rsid w:val="00E43D66"/>
    <w:rsid w:val="00E50B36"/>
    <w:rsid w:val="00E50E69"/>
    <w:rsid w:val="00E51E79"/>
    <w:rsid w:val="00E53E2E"/>
    <w:rsid w:val="00E53EAC"/>
    <w:rsid w:val="00E57613"/>
    <w:rsid w:val="00E64F0C"/>
    <w:rsid w:val="00E677C2"/>
    <w:rsid w:val="00E733FB"/>
    <w:rsid w:val="00E77952"/>
    <w:rsid w:val="00E80897"/>
    <w:rsid w:val="00E84DF1"/>
    <w:rsid w:val="00E86458"/>
    <w:rsid w:val="00EA2E1F"/>
    <w:rsid w:val="00EB5602"/>
    <w:rsid w:val="00EB5BF0"/>
    <w:rsid w:val="00EC3D26"/>
    <w:rsid w:val="00ED0213"/>
    <w:rsid w:val="00EE2C38"/>
    <w:rsid w:val="00EE5A18"/>
    <w:rsid w:val="00EE5FC9"/>
    <w:rsid w:val="00EF18EB"/>
    <w:rsid w:val="00EF36B2"/>
    <w:rsid w:val="00EF5A63"/>
    <w:rsid w:val="00F04563"/>
    <w:rsid w:val="00F055E7"/>
    <w:rsid w:val="00F12A70"/>
    <w:rsid w:val="00F13744"/>
    <w:rsid w:val="00F21005"/>
    <w:rsid w:val="00F26BCE"/>
    <w:rsid w:val="00F317F3"/>
    <w:rsid w:val="00F31F60"/>
    <w:rsid w:val="00F407C3"/>
    <w:rsid w:val="00F42549"/>
    <w:rsid w:val="00F511E1"/>
    <w:rsid w:val="00F522CA"/>
    <w:rsid w:val="00F54BF9"/>
    <w:rsid w:val="00F56088"/>
    <w:rsid w:val="00F60C76"/>
    <w:rsid w:val="00F60D02"/>
    <w:rsid w:val="00F70FAC"/>
    <w:rsid w:val="00F7276E"/>
    <w:rsid w:val="00F72A71"/>
    <w:rsid w:val="00F74EA7"/>
    <w:rsid w:val="00F75222"/>
    <w:rsid w:val="00F81CAC"/>
    <w:rsid w:val="00F82268"/>
    <w:rsid w:val="00F8281C"/>
    <w:rsid w:val="00FA2510"/>
    <w:rsid w:val="00FA2CB3"/>
    <w:rsid w:val="00FA2E50"/>
    <w:rsid w:val="00FB4281"/>
    <w:rsid w:val="00FB4393"/>
    <w:rsid w:val="00FB5C07"/>
    <w:rsid w:val="00FC2AFF"/>
    <w:rsid w:val="00FC699B"/>
    <w:rsid w:val="00FC73FA"/>
    <w:rsid w:val="00FD1714"/>
    <w:rsid w:val="00FE06A9"/>
    <w:rsid w:val="00FE123C"/>
    <w:rsid w:val="00FE64A1"/>
    <w:rsid w:val="00FF3635"/>
    <w:rsid w:val="00FF5D43"/>
    <w:rsid w:val="01E50AA6"/>
    <w:rsid w:val="03616DFA"/>
    <w:rsid w:val="036E3CA3"/>
    <w:rsid w:val="049A0747"/>
    <w:rsid w:val="05755BBD"/>
    <w:rsid w:val="05AC4A1D"/>
    <w:rsid w:val="06141DAA"/>
    <w:rsid w:val="069D32F3"/>
    <w:rsid w:val="08662E4C"/>
    <w:rsid w:val="0A0213CF"/>
    <w:rsid w:val="0AC85C79"/>
    <w:rsid w:val="0DCF783F"/>
    <w:rsid w:val="0F057C57"/>
    <w:rsid w:val="0F450609"/>
    <w:rsid w:val="0FB07CED"/>
    <w:rsid w:val="101E0CB8"/>
    <w:rsid w:val="108D795C"/>
    <w:rsid w:val="10E1372A"/>
    <w:rsid w:val="10EC5250"/>
    <w:rsid w:val="12FC0094"/>
    <w:rsid w:val="13E16A34"/>
    <w:rsid w:val="166A2C00"/>
    <w:rsid w:val="17326274"/>
    <w:rsid w:val="17C651BC"/>
    <w:rsid w:val="19111627"/>
    <w:rsid w:val="195F10D5"/>
    <w:rsid w:val="19C15BE6"/>
    <w:rsid w:val="1A2E5A13"/>
    <w:rsid w:val="1B0A13C8"/>
    <w:rsid w:val="1C3D7E26"/>
    <w:rsid w:val="1D114FE4"/>
    <w:rsid w:val="1F431432"/>
    <w:rsid w:val="1FE10981"/>
    <w:rsid w:val="214F5FBD"/>
    <w:rsid w:val="21C549E8"/>
    <w:rsid w:val="220C3494"/>
    <w:rsid w:val="23A828D6"/>
    <w:rsid w:val="240C20C5"/>
    <w:rsid w:val="24840868"/>
    <w:rsid w:val="25D327BF"/>
    <w:rsid w:val="26052B1B"/>
    <w:rsid w:val="264E48CE"/>
    <w:rsid w:val="282C0695"/>
    <w:rsid w:val="290A0F1C"/>
    <w:rsid w:val="29BC336C"/>
    <w:rsid w:val="2B632935"/>
    <w:rsid w:val="2C3F4A54"/>
    <w:rsid w:val="2F0863D7"/>
    <w:rsid w:val="2F3119B2"/>
    <w:rsid w:val="319C76BC"/>
    <w:rsid w:val="32287FDC"/>
    <w:rsid w:val="330356E5"/>
    <w:rsid w:val="331B5F30"/>
    <w:rsid w:val="33A82C05"/>
    <w:rsid w:val="34F56672"/>
    <w:rsid w:val="356D5042"/>
    <w:rsid w:val="35804F00"/>
    <w:rsid w:val="35CD30C7"/>
    <w:rsid w:val="36C94DCC"/>
    <w:rsid w:val="36CD2AFE"/>
    <w:rsid w:val="36E430DC"/>
    <w:rsid w:val="3A686A2E"/>
    <w:rsid w:val="3B6C7F54"/>
    <w:rsid w:val="3B962B81"/>
    <w:rsid w:val="3D126C6F"/>
    <w:rsid w:val="3D1B7D35"/>
    <w:rsid w:val="3F550CE4"/>
    <w:rsid w:val="3F7E5CBC"/>
    <w:rsid w:val="41B62B63"/>
    <w:rsid w:val="42520455"/>
    <w:rsid w:val="42613CB9"/>
    <w:rsid w:val="42FC4B35"/>
    <w:rsid w:val="44B4781A"/>
    <w:rsid w:val="44D54134"/>
    <w:rsid w:val="45B86E6B"/>
    <w:rsid w:val="460F1713"/>
    <w:rsid w:val="46BB63FC"/>
    <w:rsid w:val="477571EE"/>
    <w:rsid w:val="481B458D"/>
    <w:rsid w:val="48A547FC"/>
    <w:rsid w:val="49831991"/>
    <w:rsid w:val="49D746AA"/>
    <w:rsid w:val="49E02E1C"/>
    <w:rsid w:val="4A936789"/>
    <w:rsid w:val="4BB14C81"/>
    <w:rsid w:val="4C501EB9"/>
    <w:rsid w:val="4F8142B7"/>
    <w:rsid w:val="4FEC2053"/>
    <w:rsid w:val="51CD2698"/>
    <w:rsid w:val="522A4CCC"/>
    <w:rsid w:val="532B4880"/>
    <w:rsid w:val="53F4394F"/>
    <w:rsid w:val="540F1267"/>
    <w:rsid w:val="544908CF"/>
    <w:rsid w:val="55EC29A5"/>
    <w:rsid w:val="56094062"/>
    <w:rsid w:val="577007BC"/>
    <w:rsid w:val="580B2689"/>
    <w:rsid w:val="588A74DB"/>
    <w:rsid w:val="595B175E"/>
    <w:rsid w:val="5A2337B9"/>
    <w:rsid w:val="5A2B330F"/>
    <w:rsid w:val="5B724685"/>
    <w:rsid w:val="5B915A8C"/>
    <w:rsid w:val="5BFB59E1"/>
    <w:rsid w:val="5DEB6ADD"/>
    <w:rsid w:val="5F357EA9"/>
    <w:rsid w:val="5F6F5C31"/>
    <w:rsid w:val="605B4B3C"/>
    <w:rsid w:val="60C73D99"/>
    <w:rsid w:val="625E3385"/>
    <w:rsid w:val="6327270A"/>
    <w:rsid w:val="6454401E"/>
    <w:rsid w:val="67617A6B"/>
    <w:rsid w:val="681A16C0"/>
    <w:rsid w:val="6E2F0832"/>
    <w:rsid w:val="6F4105D0"/>
    <w:rsid w:val="6F7D77F2"/>
    <w:rsid w:val="6FB4381E"/>
    <w:rsid w:val="6FB96760"/>
    <w:rsid w:val="72212846"/>
    <w:rsid w:val="72320955"/>
    <w:rsid w:val="725320F0"/>
    <w:rsid w:val="7274401C"/>
    <w:rsid w:val="728C673A"/>
    <w:rsid w:val="72C05713"/>
    <w:rsid w:val="73386C76"/>
    <w:rsid w:val="734228FE"/>
    <w:rsid w:val="760D75B4"/>
    <w:rsid w:val="76725726"/>
    <w:rsid w:val="76EF3E2A"/>
    <w:rsid w:val="77286C28"/>
    <w:rsid w:val="77417A0F"/>
    <w:rsid w:val="7748344F"/>
    <w:rsid w:val="77C73013"/>
    <w:rsid w:val="77D157BF"/>
    <w:rsid w:val="77DC46AA"/>
    <w:rsid w:val="79DD71A7"/>
    <w:rsid w:val="7A42538B"/>
    <w:rsid w:val="7AE74200"/>
    <w:rsid w:val="7B0E5FBD"/>
    <w:rsid w:val="7BC93A4E"/>
    <w:rsid w:val="7CBB2F09"/>
    <w:rsid w:val="7D6578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7"/>
    <w:qFormat/>
    <w:uiPriority w:val="0"/>
    <w:pPr>
      <w:spacing w:line="560" w:lineRule="exact"/>
      <w:ind w:firstLine="640" w:firstLineChars="200"/>
      <w:outlineLvl w:val="0"/>
    </w:pPr>
    <w:rPr>
      <w:rFonts w:ascii="黑体" w:hAnsi="黑体" w:eastAsia="黑体" w:cs="Times New Roman"/>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44"/>
    <w:semiHidden/>
    <w:unhideWhenUsed/>
    <w:qFormat/>
    <w:uiPriority w:val="99"/>
    <w:pPr>
      <w:spacing w:after="120"/>
    </w:pPr>
  </w:style>
  <w:style w:type="paragraph" w:styleId="5">
    <w:name w:val="Document Map"/>
    <w:basedOn w:val="1"/>
    <w:link w:val="31"/>
    <w:semiHidden/>
    <w:unhideWhenUsed/>
    <w:qFormat/>
    <w:uiPriority w:val="99"/>
    <w:rPr>
      <w:rFonts w:ascii="宋体" w:eastAsia="宋体"/>
      <w:sz w:val="18"/>
      <w:szCs w:val="18"/>
    </w:rPr>
  </w:style>
  <w:style w:type="paragraph" w:styleId="6">
    <w:name w:val="annotation text"/>
    <w:basedOn w:val="1"/>
    <w:link w:val="29"/>
    <w:unhideWhenUsed/>
    <w:qFormat/>
    <w:uiPriority w:val="99"/>
    <w:pPr>
      <w:jc w:val="left"/>
    </w:pPr>
  </w:style>
  <w:style w:type="paragraph" w:styleId="7">
    <w:name w:val="Plain Text"/>
    <w:basedOn w:val="1"/>
    <w:link w:val="41"/>
    <w:unhideWhenUsed/>
    <w:qFormat/>
    <w:uiPriority w:val="99"/>
    <w:rPr>
      <w:rFonts w:ascii="宋体" w:hAnsi="Courier New" w:eastAsia="宋体" w:cs="Courier New"/>
      <w:szCs w:val="21"/>
    </w:rPr>
  </w:style>
  <w:style w:type="paragraph" w:styleId="8">
    <w:name w:val="Date"/>
    <w:basedOn w:val="1"/>
    <w:next w:val="1"/>
    <w:link w:val="27"/>
    <w:semiHidden/>
    <w:unhideWhenUsed/>
    <w:qFormat/>
    <w:uiPriority w:val="99"/>
    <w:pPr>
      <w:ind w:left="100" w:leftChars="2500"/>
    </w:pPr>
  </w:style>
  <w:style w:type="paragraph" w:styleId="9">
    <w:name w:val="Body Text Indent 2"/>
    <w:basedOn w:val="1"/>
    <w:link w:val="43"/>
    <w:qFormat/>
    <w:uiPriority w:val="99"/>
    <w:pPr>
      <w:ind w:firstLine="640" w:firstLineChars="200"/>
    </w:pPr>
    <w:rPr>
      <w:rFonts w:ascii="Calibri" w:hAnsi="Calibri" w:eastAsia="宋体" w:cs="Times New Roman"/>
      <w:kern w:val="0"/>
      <w:szCs w:val="24"/>
    </w:rPr>
  </w:style>
  <w:style w:type="paragraph" w:styleId="10">
    <w:name w:val="Balloon Text"/>
    <w:basedOn w:val="1"/>
    <w:link w:val="24"/>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3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4">
    <w:name w:val="Normal (Web)"/>
    <w:basedOn w:val="1"/>
    <w:unhideWhenUsed/>
    <w:qFormat/>
    <w:uiPriority w:val="99"/>
    <w:rPr>
      <w:rFonts w:ascii="Times New Roman" w:hAnsi="Times New Roman" w:cs="Times New Roman"/>
      <w:sz w:val="24"/>
      <w:szCs w:val="24"/>
    </w:rPr>
  </w:style>
  <w:style w:type="paragraph" w:styleId="15">
    <w:name w:val="Title"/>
    <w:basedOn w:val="1"/>
    <w:next w:val="1"/>
    <w:link w:val="35"/>
    <w:qFormat/>
    <w:uiPriority w:val="0"/>
    <w:pPr>
      <w:spacing w:afterLines="100" w:line="560" w:lineRule="exact"/>
      <w:jc w:val="center"/>
      <w:outlineLvl w:val="0"/>
    </w:pPr>
    <w:rPr>
      <w:rFonts w:ascii="方正小标宋_GBK" w:hAnsi="方正小标宋_GBK" w:eastAsia="方正小标宋_GBK"/>
      <w:bCs/>
      <w:sz w:val="44"/>
      <w:szCs w:val="32"/>
    </w:rPr>
  </w:style>
  <w:style w:type="paragraph" w:styleId="16">
    <w:name w:val="annotation subject"/>
    <w:basedOn w:val="6"/>
    <w:next w:val="6"/>
    <w:link w:val="30"/>
    <w:semiHidden/>
    <w:unhideWhenUsed/>
    <w:qFormat/>
    <w:uiPriority w:val="99"/>
    <w:rPr>
      <w:b/>
      <w:bCs/>
    </w:rPr>
  </w:style>
  <w:style w:type="table" w:styleId="18">
    <w:name w:val="Table Grid"/>
    <w:basedOn w:val="17"/>
    <w:qFormat/>
    <w:uiPriority w:val="59"/>
    <w:pPr>
      <w:ind w:firstLine="200" w:firstLineChars="200"/>
      <w:jc w:val="both"/>
    </w:pPr>
    <w:rPr>
      <w:rFonts w:eastAsia="仿宋"/>
      <w:sz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Hyperlink"/>
    <w:basedOn w:val="19"/>
    <w:unhideWhenUsed/>
    <w:qFormat/>
    <w:uiPriority w:val="99"/>
    <w:rPr>
      <w:color w:val="0563C1" w:themeColor="hyperlink"/>
      <w:u w:val="single"/>
    </w:rPr>
  </w:style>
  <w:style w:type="character" w:styleId="23">
    <w:name w:val="annotation reference"/>
    <w:basedOn w:val="19"/>
    <w:unhideWhenUsed/>
    <w:qFormat/>
    <w:uiPriority w:val="99"/>
    <w:rPr>
      <w:sz w:val="21"/>
      <w:szCs w:val="21"/>
    </w:rPr>
  </w:style>
  <w:style w:type="character" w:customStyle="1" w:styleId="24">
    <w:name w:val="批注框文本 Char"/>
    <w:basedOn w:val="19"/>
    <w:link w:val="10"/>
    <w:semiHidden/>
    <w:qFormat/>
    <w:uiPriority w:val="99"/>
    <w:rPr>
      <w:sz w:val="18"/>
      <w:szCs w:val="18"/>
    </w:rPr>
  </w:style>
  <w:style w:type="character" w:customStyle="1" w:styleId="25">
    <w:name w:val="页眉 Char"/>
    <w:basedOn w:val="19"/>
    <w:link w:val="12"/>
    <w:qFormat/>
    <w:uiPriority w:val="99"/>
    <w:rPr>
      <w:sz w:val="18"/>
      <w:szCs w:val="18"/>
    </w:rPr>
  </w:style>
  <w:style w:type="character" w:customStyle="1" w:styleId="26">
    <w:name w:val="页脚 Char"/>
    <w:basedOn w:val="19"/>
    <w:link w:val="11"/>
    <w:qFormat/>
    <w:uiPriority w:val="99"/>
    <w:rPr>
      <w:sz w:val="18"/>
      <w:szCs w:val="18"/>
    </w:rPr>
  </w:style>
  <w:style w:type="character" w:customStyle="1" w:styleId="27">
    <w:name w:val="日期 Char"/>
    <w:basedOn w:val="19"/>
    <w:link w:val="8"/>
    <w:semiHidden/>
    <w:qFormat/>
    <w:uiPriority w:val="99"/>
    <w:rPr>
      <w:kern w:val="2"/>
      <w:sz w:val="21"/>
      <w:szCs w:val="22"/>
    </w:rPr>
  </w:style>
  <w:style w:type="paragraph" w:styleId="28">
    <w:name w:val="List Paragraph"/>
    <w:basedOn w:val="1"/>
    <w:qFormat/>
    <w:uiPriority w:val="34"/>
    <w:pPr>
      <w:ind w:firstLine="420" w:firstLineChars="200"/>
    </w:pPr>
  </w:style>
  <w:style w:type="character" w:customStyle="1" w:styleId="29">
    <w:name w:val="批注文字 Char"/>
    <w:basedOn w:val="19"/>
    <w:link w:val="6"/>
    <w:qFormat/>
    <w:uiPriority w:val="99"/>
    <w:rPr>
      <w:kern w:val="2"/>
      <w:sz w:val="21"/>
      <w:szCs w:val="22"/>
    </w:rPr>
  </w:style>
  <w:style w:type="character" w:customStyle="1" w:styleId="30">
    <w:name w:val="批注主题 Char"/>
    <w:basedOn w:val="29"/>
    <w:link w:val="16"/>
    <w:semiHidden/>
    <w:qFormat/>
    <w:uiPriority w:val="99"/>
    <w:rPr>
      <w:b/>
      <w:bCs/>
      <w:kern w:val="2"/>
      <w:sz w:val="21"/>
      <w:szCs w:val="22"/>
    </w:rPr>
  </w:style>
  <w:style w:type="character" w:customStyle="1" w:styleId="31">
    <w:name w:val="文档结构图 Char"/>
    <w:basedOn w:val="19"/>
    <w:link w:val="5"/>
    <w:semiHidden/>
    <w:qFormat/>
    <w:uiPriority w:val="99"/>
    <w:rPr>
      <w:rFonts w:ascii="宋体" w:eastAsia="宋体"/>
      <w:kern w:val="2"/>
      <w:sz w:val="18"/>
      <w:szCs w:val="18"/>
    </w:rPr>
  </w:style>
  <w:style w:type="character" w:customStyle="1" w:styleId="32">
    <w:name w:val="HTML 预设格式 Char"/>
    <w:basedOn w:val="19"/>
    <w:link w:val="13"/>
    <w:semiHidden/>
    <w:qFormat/>
    <w:uiPriority w:val="99"/>
    <w:rPr>
      <w:rFonts w:ascii="宋体" w:hAnsi="宋体" w:eastAsia="宋体" w:cs="宋体"/>
      <w:sz w:val="24"/>
      <w:szCs w:val="24"/>
    </w:rPr>
  </w:style>
  <w:style w:type="paragraph" w:customStyle="1" w:styleId="33">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kern w:val="0"/>
      <w:sz w:val="44"/>
      <w:szCs w:val="20"/>
    </w:rPr>
  </w:style>
  <w:style w:type="character" w:customStyle="1" w:styleId="34">
    <w:name w:val="标题 Char"/>
    <w:basedOn w:val="19"/>
    <w:qFormat/>
    <w:uiPriority w:val="0"/>
    <w:rPr>
      <w:rFonts w:ascii="方正小标宋_GBK" w:hAnsi="方正小标宋_GBK" w:eastAsia="方正小标宋_GBK"/>
      <w:bCs/>
      <w:kern w:val="2"/>
      <w:sz w:val="44"/>
      <w:szCs w:val="32"/>
    </w:rPr>
  </w:style>
  <w:style w:type="character" w:customStyle="1" w:styleId="35">
    <w:name w:val="标题 Char1"/>
    <w:basedOn w:val="19"/>
    <w:link w:val="15"/>
    <w:qFormat/>
    <w:uiPriority w:val="10"/>
    <w:rPr>
      <w:rFonts w:eastAsia="宋体" w:asciiTheme="majorHAnsi" w:hAnsiTheme="majorHAnsi" w:cstheme="majorBidi"/>
      <w:b/>
      <w:bCs/>
      <w:kern w:val="2"/>
      <w:sz w:val="32"/>
      <w:szCs w:val="32"/>
    </w:rPr>
  </w:style>
  <w:style w:type="paragraph" w:customStyle="1" w:styleId="36">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character" w:customStyle="1" w:styleId="37">
    <w:name w:val="标题 1 Char"/>
    <w:basedOn w:val="19"/>
    <w:link w:val="4"/>
    <w:qFormat/>
    <w:uiPriority w:val="0"/>
    <w:rPr>
      <w:rFonts w:ascii="黑体" w:hAnsi="黑体" w:eastAsia="黑体" w:cs="Times New Roman"/>
      <w:kern w:val="2"/>
      <w:sz w:val="32"/>
      <w:szCs w:val="32"/>
    </w:rPr>
  </w:style>
  <w:style w:type="paragraph" w:customStyle="1" w:styleId="38">
    <w:name w:val="样式1"/>
    <w:basedOn w:val="1"/>
    <w:qFormat/>
    <w:uiPriority w:val="0"/>
    <w:pPr>
      <w:spacing w:line="760" w:lineRule="atLeast"/>
      <w:jc w:val="center"/>
    </w:pPr>
    <w:rPr>
      <w:rFonts w:ascii="Calibri" w:hAnsi="Calibri" w:eastAsia="方正小标宋简体" w:cs="Times New Roman"/>
      <w:sz w:val="44"/>
      <w:szCs w:val="44"/>
    </w:rPr>
  </w:style>
  <w:style w:type="paragraph" w:customStyle="1" w:styleId="39">
    <w:name w:val="正文2"/>
    <w:basedOn w:val="1"/>
    <w:qFormat/>
    <w:uiPriority w:val="0"/>
    <w:pPr>
      <w:spacing w:line="516" w:lineRule="exact"/>
      <w:ind w:firstLine="640" w:firstLineChars="200"/>
    </w:pPr>
    <w:rPr>
      <w:rFonts w:ascii="Calibri" w:hAnsi="Calibri" w:eastAsia="方正仿宋简体" w:cs="Times New Roman"/>
      <w:sz w:val="32"/>
      <w:szCs w:val="32"/>
    </w:rPr>
  </w:style>
  <w:style w:type="paragraph" w:customStyle="1" w:styleId="40">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1">
    <w:name w:val="纯文本 Char"/>
    <w:basedOn w:val="19"/>
    <w:link w:val="7"/>
    <w:qFormat/>
    <w:uiPriority w:val="99"/>
    <w:rPr>
      <w:rFonts w:ascii="宋体" w:hAnsi="Courier New" w:cs="Courier New"/>
      <w:kern w:val="2"/>
      <w:sz w:val="21"/>
      <w:szCs w:val="21"/>
    </w:rPr>
  </w:style>
  <w:style w:type="paragraph" w:customStyle="1" w:styleId="42">
    <w:name w:val="落款"/>
    <w:basedOn w:val="1"/>
    <w:qFormat/>
    <w:uiPriority w:val="0"/>
    <w:pPr>
      <w:adjustRightInd w:val="0"/>
      <w:snapToGrid w:val="0"/>
      <w:spacing w:line="300" w:lineRule="auto"/>
      <w:ind w:right="400" w:rightChars="400"/>
      <w:jc w:val="right"/>
      <w:textAlignment w:val="baseline"/>
    </w:pPr>
    <w:rPr>
      <w:rFonts w:ascii="Calibri" w:hAnsi="Calibri" w:eastAsia="方正仿宋_GBK" w:cs="Times New Roman"/>
      <w:snapToGrid w:val="0"/>
      <w:kern w:val="32"/>
      <w:sz w:val="32"/>
      <w:szCs w:val="20"/>
    </w:rPr>
  </w:style>
  <w:style w:type="character" w:customStyle="1" w:styleId="43">
    <w:name w:val="正文文本缩进 2 Char"/>
    <w:basedOn w:val="19"/>
    <w:link w:val="9"/>
    <w:qFormat/>
    <w:uiPriority w:val="99"/>
    <w:rPr>
      <w:rFonts w:ascii="Calibri" w:hAnsi="Calibri"/>
      <w:sz w:val="21"/>
      <w:szCs w:val="24"/>
    </w:rPr>
  </w:style>
  <w:style w:type="character" w:customStyle="1" w:styleId="44">
    <w:name w:val="正文文本 Char"/>
    <w:basedOn w:val="19"/>
    <w:link w:val="3"/>
    <w:semiHidden/>
    <w:qFormat/>
    <w:uiPriority w:val="99"/>
    <w:rPr>
      <w:rFonts w:asciiTheme="minorHAnsi" w:hAnsiTheme="minorHAnsi" w:eastAsiaTheme="minorEastAsia" w:cstheme="minorBidi"/>
      <w:kern w:val="2"/>
      <w:sz w:val="21"/>
      <w:szCs w:val="22"/>
    </w:rPr>
  </w:style>
  <w:style w:type="paragraph" w:customStyle="1" w:styleId="45">
    <w:name w:val="普通(网站)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6">
    <w:name w:val="15"/>
    <w:basedOn w:val="1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DEA0B-B5FE-4B20-9E1E-C425EA8B848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492</Words>
  <Characters>2811</Characters>
  <Lines>23</Lines>
  <Paragraphs>6</Paragraphs>
  <TotalTime>2</TotalTime>
  <ScaleCrop>false</ScaleCrop>
  <LinksUpToDate>false</LinksUpToDate>
  <CharactersWithSpaces>3297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2020-02-05T07:27:00Z</dcterms:created>
  <dc:creator>AutoBVT</dc:creator>
  <cp:lastModifiedBy>胡欣</cp:lastModifiedBy>
  <cp:lastPrinted>2021-09-08T01:37:00Z</cp:lastPrinted>
  <dcterms:modified xsi:type="dcterms:W3CDTF">2021-10-13T07:00:54Z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