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FC" w:rsidRPr="00AE565F" w:rsidRDefault="00EA7FA4" w:rsidP="0029618C">
      <w:pPr>
        <w:jc w:val="center"/>
        <w:rPr>
          <w:rFonts w:ascii="方正小标宋_GBK" w:eastAsia="方正小标宋_GBK" w:hAnsi="Times New Roman"/>
          <w:b/>
          <w:bCs/>
          <w:spacing w:val="15"/>
          <w:kern w:val="0"/>
          <w:sz w:val="44"/>
          <w:szCs w:val="44"/>
          <w:lang w:bidi="ar"/>
        </w:rPr>
      </w:pPr>
      <w:r>
        <w:rPr>
          <w:rFonts w:ascii="方正小标宋_GBK" w:eastAsia="方正小标宋_GBK" w:hAnsi="Times New Roman" w:hint="eastAsia"/>
          <w:b/>
          <w:bCs/>
          <w:spacing w:val="15"/>
          <w:kern w:val="0"/>
          <w:sz w:val="44"/>
          <w:szCs w:val="44"/>
          <w:lang w:bidi="ar"/>
        </w:rPr>
        <w:t>各有关</w:t>
      </w:r>
      <w:r w:rsidR="003E20B7" w:rsidRPr="00AE565F">
        <w:rPr>
          <w:rFonts w:ascii="方正小标宋_GBK" w:eastAsia="方正小标宋_GBK" w:hAnsi="Times New Roman" w:hint="eastAsia"/>
          <w:b/>
          <w:bCs/>
          <w:spacing w:val="15"/>
          <w:kern w:val="0"/>
          <w:sz w:val="44"/>
          <w:szCs w:val="44"/>
          <w:lang w:bidi="ar"/>
        </w:rPr>
        <w:t>单位</w:t>
      </w:r>
      <w:r w:rsidR="001700D2" w:rsidRPr="00AE565F">
        <w:rPr>
          <w:rFonts w:ascii="方正小标宋_GBK" w:eastAsia="方正小标宋_GBK" w:hAnsi="Times New Roman" w:hint="eastAsia"/>
          <w:b/>
          <w:bCs/>
          <w:spacing w:val="15"/>
          <w:kern w:val="0"/>
          <w:sz w:val="44"/>
          <w:szCs w:val="44"/>
          <w:lang w:bidi="ar"/>
        </w:rPr>
        <w:t>名单</w:t>
      </w:r>
    </w:p>
    <w:p w:rsidR="007C27BD" w:rsidRPr="00AE565F" w:rsidRDefault="007C27BD" w:rsidP="007C27B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AE565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生态环境部</w:t>
      </w:r>
    </w:p>
    <w:p w:rsidR="00B217FC" w:rsidRPr="00AE565F" w:rsidRDefault="003E20B7" w:rsidP="007C27B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AE565F">
        <w:rPr>
          <w:rFonts w:ascii="方正仿宋_GBK" w:eastAsia="方正仿宋_GBK" w:hAnsi="方正仿宋_GBK" w:cs="方正仿宋_GBK"/>
          <w:spacing w:val="15"/>
          <w:sz w:val="32"/>
          <w:szCs w:val="32"/>
        </w:rPr>
        <w:t>上海市生态环境局</w:t>
      </w:r>
    </w:p>
    <w:p w:rsidR="00B217FC" w:rsidRPr="00AE565F" w:rsidRDefault="003E20B7" w:rsidP="007C27B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AE565F">
        <w:rPr>
          <w:rFonts w:ascii="方正仿宋_GBK" w:eastAsia="方正仿宋_GBK" w:hAnsi="方正仿宋_GBK" w:cs="方正仿宋_GBK"/>
          <w:spacing w:val="15"/>
          <w:sz w:val="32"/>
          <w:szCs w:val="32"/>
        </w:rPr>
        <w:t>浙江省生态环境厅</w:t>
      </w:r>
    </w:p>
    <w:p w:rsidR="00B217FC" w:rsidRPr="00AE565F" w:rsidRDefault="003E20B7" w:rsidP="007C27B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AE565F">
        <w:rPr>
          <w:rFonts w:ascii="方正仿宋_GBK" w:eastAsia="方正仿宋_GBK" w:hAnsi="方正仿宋_GBK" w:cs="方正仿宋_GBK"/>
          <w:spacing w:val="15"/>
          <w:sz w:val="32"/>
          <w:szCs w:val="32"/>
        </w:rPr>
        <w:t>安徽省生态环境厅</w:t>
      </w:r>
    </w:p>
    <w:p w:rsidR="00B217FC" w:rsidRDefault="003E20B7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AE565F">
        <w:rPr>
          <w:rFonts w:ascii="方正仿宋_GBK" w:eastAsia="方正仿宋_GBK" w:hAnsi="方正仿宋_GBK" w:cs="方正仿宋_GBK"/>
          <w:spacing w:val="15"/>
          <w:sz w:val="32"/>
          <w:szCs w:val="32"/>
        </w:rPr>
        <w:t>江苏省发</w:t>
      </w:r>
      <w:r w:rsidR="00AE4A4B" w:rsidRPr="00AE565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展和改革委员会</w:t>
      </w:r>
    </w:p>
    <w:p w:rsidR="006C130F" w:rsidRDefault="006C130F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江苏省工业和信息化厅</w:t>
      </w:r>
    </w:p>
    <w:p w:rsidR="00B7417D" w:rsidRPr="00AE565F" w:rsidRDefault="00B7417D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江苏省能源局</w:t>
      </w:r>
    </w:p>
    <w:p w:rsidR="0029618C" w:rsidRPr="00AE565F" w:rsidRDefault="003E20B7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AE565F">
        <w:rPr>
          <w:rFonts w:ascii="方正仿宋_GBK" w:eastAsia="方正仿宋_GBK" w:hAnsi="方正仿宋_GBK" w:cs="方正仿宋_GBK"/>
          <w:spacing w:val="15"/>
          <w:sz w:val="32"/>
          <w:szCs w:val="32"/>
        </w:rPr>
        <w:t>江苏省生态环境厅各处室</w:t>
      </w:r>
      <w:r w:rsidR="00786D9D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（局）、</w:t>
      </w:r>
      <w:r w:rsidR="000F0D7E" w:rsidRPr="00AE565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直属单位</w:t>
      </w:r>
    </w:p>
    <w:p w:rsidR="003410D9" w:rsidRDefault="0040614F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</w:t>
      </w:r>
      <w:r w:rsidR="003410D9" w:rsidRPr="00AE565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各</w:t>
      </w:r>
      <w:r w:rsidR="00AF73CE" w:rsidRPr="00AE565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设区市</w:t>
      </w:r>
      <w:r w:rsidR="00EA4C88" w:rsidRPr="00AE565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生态环境</w:t>
      </w:r>
      <w:r w:rsidR="003410D9" w:rsidRPr="00AE565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局</w:t>
      </w:r>
    </w:p>
    <w:p w:rsidR="0092447F" w:rsidRDefault="0092447F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江苏省环保集团</w:t>
      </w:r>
    </w:p>
    <w:p w:rsidR="003B2D67" w:rsidRPr="007C7899" w:rsidRDefault="003B2D67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生态环境部南京环境科学研究所</w:t>
      </w:r>
    </w:p>
    <w:p w:rsidR="007C28F0" w:rsidRPr="007C7899" w:rsidRDefault="007C28F0" w:rsidP="007C28F0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国电环境保护研究院</w:t>
      </w:r>
    </w:p>
    <w:p w:rsidR="00124F16" w:rsidRPr="007C7899" w:rsidRDefault="00124F16" w:rsidP="007C28F0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东南大学</w:t>
      </w:r>
    </w:p>
    <w:p w:rsidR="00124F16" w:rsidRPr="007C7899" w:rsidRDefault="00124F16" w:rsidP="007C28F0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南京工业大学</w:t>
      </w:r>
    </w:p>
    <w:p w:rsidR="00B217FC" w:rsidRPr="007C7899" w:rsidRDefault="003E20B7" w:rsidP="00C21AFD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/>
          <w:spacing w:val="15"/>
          <w:sz w:val="32"/>
          <w:szCs w:val="32"/>
        </w:rPr>
        <w:t>江苏省质量和标准化研究院</w:t>
      </w:r>
    </w:p>
    <w:p w:rsidR="00612864" w:rsidRPr="007C7899" w:rsidRDefault="00612864" w:rsidP="00612864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江苏省战略与发展研究中心</w:t>
      </w:r>
    </w:p>
    <w:p w:rsidR="00C10E31" w:rsidRPr="007C7899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江苏省工程咨询中心</w:t>
      </w:r>
    </w:p>
    <w:p w:rsidR="00A33413" w:rsidRPr="007C7899" w:rsidRDefault="00A33413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江苏省能源行业协会</w:t>
      </w:r>
    </w:p>
    <w:p w:rsidR="008D5D9D" w:rsidRPr="007C7899" w:rsidRDefault="008D5D9D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C7899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江苏省化工行业协会</w:t>
      </w:r>
    </w:p>
    <w:p w:rsidR="00612864" w:rsidRPr="00612864" w:rsidRDefault="00175041" w:rsidP="00612864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175041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江苏中</w:t>
      </w:r>
      <w:proofErr w:type="gramStart"/>
      <w:r w:rsidRPr="00175041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创碳投</w:t>
      </w:r>
      <w:proofErr w:type="gramEnd"/>
      <w:r w:rsidRPr="00175041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低碳科技有限公司</w:t>
      </w:r>
    </w:p>
    <w:p w:rsidR="00C10E31" w:rsidRPr="00612864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江苏省</w:t>
      </w:r>
      <w:r w:rsidR="00F659A5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、</w:t>
      </w: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南京市节能技术服务中心</w:t>
      </w:r>
    </w:p>
    <w:p w:rsidR="00612864" w:rsidRPr="00612864" w:rsidRDefault="00612864" w:rsidP="00612864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lastRenderedPageBreak/>
        <w:t>江苏智桥通工程咨询公司</w:t>
      </w:r>
    </w:p>
    <w:p w:rsidR="00C10E31" w:rsidRPr="00612864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中国船级社质量认证中心</w:t>
      </w:r>
    </w:p>
    <w:p w:rsidR="00C10E31" w:rsidRPr="00612864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上海同</w:t>
      </w:r>
      <w:proofErr w:type="gramStart"/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际碳资产</w:t>
      </w:r>
      <w:proofErr w:type="gramEnd"/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咨询服务有限公司</w:t>
      </w:r>
    </w:p>
    <w:p w:rsidR="00C10E31" w:rsidRPr="00612864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北京卡本能源有限公司</w:t>
      </w:r>
    </w:p>
    <w:p w:rsidR="00C10E31" w:rsidRPr="00612864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方圆标志认证集团有限公司</w:t>
      </w:r>
    </w:p>
    <w:p w:rsidR="00C10E31" w:rsidRPr="00612864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中节能咨询有限公司</w:t>
      </w:r>
    </w:p>
    <w:p w:rsidR="00C10E31" w:rsidRPr="00AE565F" w:rsidRDefault="00C10E31" w:rsidP="00C10E31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12864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广州绿石碳科技股份有限公司</w:t>
      </w:r>
    </w:p>
    <w:p w:rsidR="00C10E31" w:rsidRDefault="00612864" w:rsidP="00C45C2F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C10E31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中国质量认证中心</w:t>
      </w:r>
      <w:r w:rsidR="006D00F0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南京分中心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华润电力江苏有限公司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4726DE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华能南京热电有限公司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4726DE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大唐南京发电厂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024220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国能常州发电有限公司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215E7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华电江苏能源有限公司句容发电分公司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江苏扬农化工集团有限公司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073FEC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华润化学材料科技有限公司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512DAF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江苏索普化工股份有限公司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0433D6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江苏理文化工有限公司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0433D6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阿科玛（常熟）氟</w:t>
      </w:r>
      <w:bookmarkStart w:id="0" w:name="_GoBack"/>
      <w:bookmarkEnd w:id="0"/>
      <w:r w:rsidRPr="000433D6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化工有限公司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753A7D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大金氟化工（中国）有限公司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671A80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南通江山农药化工股份有限公司</w:t>
      </w:r>
    </w:p>
    <w:p w:rsidR="000B4737" w:rsidRDefault="000B4737" w:rsidP="000B4737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9D592A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江苏梅兰化工有限公司</w:t>
      </w:r>
    </w:p>
    <w:p w:rsidR="000B4737" w:rsidRPr="000B4737" w:rsidRDefault="000B4737" w:rsidP="00E76CCE">
      <w:pPr>
        <w:pStyle w:val="a5"/>
        <w:widowControl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rPr>
          <w:rFonts w:ascii="方正仿宋_GBK" w:eastAsia="方正仿宋_GBK" w:hAnsi="方正仿宋_GBK" w:cs="方正仿宋_GBK"/>
          <w:spacing w:val="15"/>
          <w:sz w:val="32"/>
          <w:szCs w:val="32"/>
        </w:rPr>
      </w:pPr>
      <w:r w:rsidRPr="000B4737">
        <w:rPr>
          <w:rFonts w:ascii="方正仿宋_GBK" w:eastAsia="方正仿宋_GBK" w:hAnsi="方正仿宋_GBK" w:cs="方正仿宋_GBK" w:hint="eastAsia"/>
          <w:spacing w:val="15"/>
          <w:sz w:val="32"/>
          <w:szCs w:val="32"/>
        </w:rPr>
        <w:t>江苏苏化集团有限公司</w:t>
      </w:r>
    </w:p>
    <w:sectPr w:rsidR="000B4737" w:rsidRPr="000B47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24" w:rsidRDefault="00066524" w:rsidP="0029618C">
      <w:r>
        <w:separator/>
      </w:r>
    </w:p>
  </w:endnote>
  <w:endnote w:type="continuationSeparator" w:id="0">
    <w:p w:rsidR="00066524" w:rsidRDefault="00066524" w:rsidP="0029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24" w:rsidRDefault="00066524" w:rsidP="0029618C">
      <w:r>
        <w:separator/>
      </w:r>
    </w:p>
  </w:footnote>
  <w:footnote w:type="continuationSeparator" w:id="0">
    <w:p w:rsidR="00066524" w:rsidRDefault="00066524" w:rsidP="0029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0B99EB"/>
    <w:multiLevelType w:val="singleLevel"/>
    <w:tmpl w:val="BE0B99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0A796E"/>
    <w:multiLevelType w:val="hybridMultilevel"/>
    <w:tmpl w:val="6B96C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2E9"/>
    <w:rsid w:val="000367B3"/>
    <w:rsid w:val="00066524"/>
    <w:rsid w:val="000B2EE8"/>
    <w:rsid w:val="000B4737"/>
    <w:rsid w:val="000F0D7E"/>
    <w:rsid w:val="000F0DC3"/>
    <w:rsid w:val="0010339D"/>
    <w:rsid w:val="00124F16"/>
    <w:rsid w:val="001644A2"/>
    <w:rsid w:val="001700D2"/>
    <w:rsid w:val="00171DF5"/>
    <w:rsid w:val="00172A27"/>
    <w:rsid w:val="00175041"/>
    <w:rsid w:val="001A1896"/>
    <w:rsid w:val="0025503B"/>
    <w:rsid w:val="0029518E"/>
    <w:rsid w:val="0029618C"/>
    <w:rsid w:val="002A780C"/>
    <w:rsid w:val="002B1B23"/>
    <w:rsid w:val="002C5429"/>
    <w:rsid w:val="00324E38"/>
    <w:rsid w:val="003410D9"/>
    <w:rsid w:val="00353061"/>
    <w:rsid w:val="003B2D67"/>
    <w:rsid w:val="003E20B7"/>
    <w:rsid w:val="0040614F"/>
    <w:rsid w:val="00414285"/>
    <w:rsid w:val="004D0DD7"/>
    <w:rsid w:val="004F0F9A"/>
    <w:rsid w:val="004F4753"/>
    <w:rsid w:val="00612864"/>
    <w:rsid w:val="00644C73"/>
    <w:rsid w:val="006B239E"/>
    <w:rsid w:val="006C130F"/>
    <w:rsid w:val="006D00F0"/>
    <w:rsid w:val="006E0C93"/>
    <w:rsid w:val="006E0D97"/>
    <w:rsid w:val="00703638"/>
    <w:rsid w:val="00786D9D"/>
    <w:rsid w:val="007A5EE9"/>
    <w:rsid w:val="007C27BD"/>
    <w:rsid w:val="007C28F0"/>
    <w:rsid w:val="007C7899"/>
    <w:rsid w:val="008272F7"/>
    <w:rsid w:val="008334AB"/>
    <w:rsid w:val="008502AD"/>
    <w:rsid w:val="008630DE"/>
    <w:rsid w:val="008738F6"/>
    <w:rsid w:val="00881092"/>
    <w:rsid w:val="008D5D9D"/>
    <w:rsid w:val="008E0D64"/>
    <w:rsid w:val="0092447F"/>
    <w:rsid w:val="00927DCC"/>
    <w:rsid w:val="00930DCF"/>
    <w:rsid w:val="009B65DA"/>
    <w:rsid w:val="00A33413"/>
    <w:rsid w:val="00A724DA"/>
    <w:rsid w:val="00AA2A0E"/>
    <w:rsid w:val="00AB7F32"/>
    <w:rsid w:val="00AE4A4B"/>
    <w:rsid w:val="00AE565F"/>
    <w:rsid w:val="00AF0794"/>
    <w:rsid w:val="00AF73CE"/>
    <w:rsid w:val="00B217FC"/>
    <w:rsid w:val="00B7417D"/>
    <w:rsid w:val="00BC7152"/>
    <w:rsid w:val="00C10E31"/>
    <w:rsid w:val="00C21AFD"/>
    <w:rsid w:val="00C276F3"/>
    <w:rsid w:val="00C439D6"/>
    <w:rsid w:val="00C84A6F"/>
    <w:rsid w:val="00C9753D"/>
    <w:rsid w:val="00CB09BD"/>
    <w:rsid w:val="00CB35AE"/>
    <w:rsid w:val="00D25E77"/>
    <w:rsid w:val="00D41556"/>
    <w:rsid w:val="00DC5BE9"/>
    <w:rsid w:val="00DE0774"/>
    <w:rsid w:val="00E96FE6"/>
    <w:rsid w:val="00EA4C88"/>
    <w:rsid w:val="00EA7FA4"/>
    <w:rsid w:val="00F24CFA"/>
    <w:rsid w:val="00F659A5"/>
    <w:rsid w:val="00F80320"/>
    <w:rsid w:val="00FA4283"/>
    <w:rsid w:val="083E5445"/>
    <w:rsid w:val="2667555C"/>
    <w:rsid w:val="29ED26C4"/>
    <w:rsid w:val="2A431F48"/>
    <w:rsid w:val="34272579"/>
    <w:rsid w:val="4F720819"/>
    <w:rsid w:val="52AF1EF4"/>
    <w:rsid w:val="53122201"/>
    <w:rsid w:val="5C22798B"/>
    <w:rsid w:val="5DF94897"/>
    <w:rsid w:val="7E1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9C0E3"/>
  <w15:docId w15:val="{C6014459-720B-43F2-923B-B8980B71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3410D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9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618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6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618C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3410D9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3410D9"/>
    <w:rPr>
      <w:color w:val="0000FF"/>
      <w:u w:val="single"/>
    </w:rPr>
  </w:style>
  <w:style w:type="character" w:styleId="ab">
    <w:name w:val="Emphasis"/>
    <w:basedOn w:val="a0"/>
    <w:uiPriority w:val="20"/>
    <w:qFormat/>
    <w:rsid w:val="003410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朱法华</dc:creator>
  <cp:lastModifiedBy>dy</cp:lastModifiedBy>
  <cp:revision>60</cp:revision>
  <dcterms:created xsi:type="dcterms:W3CDTF">2019-08-15T13:29:00Z</dcterms:created>
  <dcterms:modified xsi:type="dcterms:W3CDTF">2021-11-04T08:31:00Z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