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62" w:rsidRPr="00010858" w:rsidRDefault="009A6862" w:rsidP="009A6862">
      <w:pPr>
        <w:rPr>
          <w:rFonts w:ascii="黑体" w:eastAsia="黑体" w:hAnsi="黑体"/>
          <w:sz w:val="32"/>
          <w:szCs w:val="32"/>
        </w:rPr>
      </w:pPr>
      <w:r w:rsidRPr="00010858">
        <w:rPr>
          <w:rFonts w:ascii="黑体" w:eastAsia="黑体" w:hAnsi="黑体" w:hint="eastAsia"/>
          <w:sz w:val="32"/>
          <w:szCs w:val="32"/>
        </w:rPr>
        <w:t>附件</w:t>
      </w:r>
    </w:p>
    <w:p w:rsidR="009A6862" w:rsidRDefault="009A6862" w:rsidP="009A686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拟推荐</w:t>
      </w:r>
      <w:r w:rsidRPr="00010858">
        <w:rPr>
          <w:rFonts w:ascii="方正小标宋_GBK" w:eastAsia="方正小标宋_GBK" w:hAnsi="方正小标宋_GBK" w:cs="方正小标宋_GBK" w:hint="eastAsia"/>
          <w:sz w:val="44"/>
          <w:szCs w:val="44"/>
        </w:rPr>
        <w:t>江苏省标准创新贡献奖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p w:rsidR="009A6862" w:rsidRDefault="009A6862" w:rsidP="009A686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9A6862" w:rsidRPr="00815E50" w:rsidRDefault="009A6862" w:rsidP="009A6862">
      <w:pPr>
        <w:spacing w:line="560" w:lineRule="exact"/>
        <w:rPr>
          <w:rFonts w:ascii="黑体" w:eastAsia="黑体" w:hAnsi="黑体" w:cs="方正黑体_GBK"/>
          <w:sz w:val="32"/>
          <w:szCs w:val="32"/>
        </w:rPr>
      </w:pPr>
      <w:r w:rsidRPr="00815E50">
        <w:rPr>
          <w:rFonts w:ascii="黑体" w:eastAsia="黑体" w:hAnsi="黑体" w:cs="方正黑体_GBK" w:hint="eastAsia"/>
          <w:sz w:val="32"/>
          <w:szCs w:val="32"/>
        </w:rPr>
        <w:t>一、组织奖</w:t>
      </w:r>
    </w:p>
    <w:p w:rsidR="009A6862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14B9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F55855">
        <w:rPr>
          <w:rFonts w:ascii="仿宋_GB2312" w:eastAsia="仿宋_GB2312" w:hAnsi="方正黑体_GBK" w:cs="方正黑体_GBK" w:hint="eastAsia"/>
          <w:sz w:val="32"/>
          <w:szCs w:val="32"/>
        </w:rPr>
        <w:t>南京市玻璃纤维研究设计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院</w:t>
      </w:r>
      <w:r w:rsidRPr="00F55855">
        <w:rPr>
          <w:rFonts w:ascii="仿宋_GB2312" w:eastAsia="仿宋_GB2312" w:hAnsi="方正黑体_GBK" w:cs="方正黑体_GBK" w:hint="eastAsia"/>
          <w:sz w:val="32"/>
          <w:szCs w:val="32"/>
        </w:rPr>
        <w:t>有限公司</w:t>
      </w:r>
    </w:p>
    <w:p w:rsidR="009A6862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14B9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F55855">
        <w:rPr>
          <w:rFonts w:ascii="仿宋_GB2312" w:eastAsia="仿宋_GB2312" w:hAnsi="方正黑体_GBK" w:cs="方正黑体_GBK" w:hint="eastAsia"/>
          <w:sz w:val="32"/>
          <w:szCs w:val="32"/>
        </w:rPr>
        <w:t>中石化南京化工研究院有限公司</w:t>
      </w:r>
    </w:p>
    <w:p w:rsidR="009A6862" w:rsidRPr="00F55855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14B9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F55855">
        <w:rPr>
          <w:rFonts w:ascii="仿宋_GB2312" w:eastAsia="仿宋_GB2312" w:hAnsi="方正黑体_GBK" w:cs="方正黑体_GBK" w:hint="eastAsia"/>
          <w:sz w:val="32"/>
          <w:szCs w:val="32"/>
        </w:rPr>
        <w:t>南京市产品质量监督检验院</w:t>
      </w:r>
    </w:p>
    <w:p w:rsidR="009A6862" w:rsidRPr="00815E50" w:rsidRDefault="009A6862" w:rsidP="009A686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9A6862" w:rsidRPr="00815E50" w:rsidRDefault="009A6862" w:rsidP="009A686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二、项目奖</w:t>
      </w:r>
    </w:p>
    <w:tbl>
      <w:tblPr>
        <w:tblStyle w:val="a5"/>
        <w:tblW w:w="9064" w:type="dxa"/>
        <w:tblLook w:val="04A0"/>
      </w:tblPr>
      <w:tblGrid>
        <w:gridCol w:w="828"/>
        <w:gridCol w:w="2709"/>
        <w:gridCol w:w="3771"/>
        <w:gridCol w:w="1756"/>
      </w:tblGrid>
      <w:tr w:rsidR="009A6862" w:rsidRPr="00815E50" w:rsidTr="001E50F2">
        <w:trPr>
          <w:cantSplit/>
          <w:tblHeader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方正黑体_GBK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方正黑体_GBK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方正黑体_GBK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方正黑体_GBK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cs="方正黑体_GBK" w:hint="eastAsia"/>
                <w:sz w:val="28"/>
                <w:szCs w:val="28"/>
              </w:rPr>
              <w:t>拟推荐等次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南京玻璃纤维研究设计院有限公司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建筑装置及工业设备用绝热材料 硅酸铝棉制品 规范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南瑞集团有限公司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电网模型和图形</w:t>
            </w: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两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项国际标准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南京南瑞继保电气有限公司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GB/T 32901-2016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《智能变电站继电保护通用技术条件》等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项智能变电站继电保护系列标准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红宝丽集团股份有限公司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冻土路基用硬质聚氨酯泡沫板（</w:t>
            </w: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DLPU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国网江苏省电力有限公司电力科学研究院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GB/T 37136-2018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《电力用户供配电设施运行维护规范》等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项标准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江苏中圣压力容器装备制造有限公司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大型液化天然气（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LNG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）气化器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南京高速齿轮制造有限公司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GB/T 19073-2018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《风力发电机组 齿轮箱设计要求》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南京航空航天大学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纤维金属层板 短梁法测定层间剪切强度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南京中船绿洲机器有限公司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造船 甲板机械 一般要求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南京天加环境科技有限公司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洁净室及相关受控环境空气化学污染控制指南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中车南京浦镇车辆有限公司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铁道客车及动车组无障碍设施通用技术条件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南京老山药业股份公司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蜂王浆—规范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南京市产品质量监督检验院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涂料中挥发性有机物含量限值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南京大学（声学院）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声系统设备 电声换能器 大信号参数的测量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南京多特工具有限公司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米制梯形螺纹——基本牙型和设计牙型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南京钢铁股份有限公司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GB/T 33975-2017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《高速铁路扣件用弹簧钢热轧盘条》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南京聚峰新材料有限公司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塑木铺板跨距承载值的确定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南京科润工业介质股份有限公司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热处理清洗废液回收及排放技术要求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  <w:trHeight w:val="619"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南京理工大学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饲料加工成套设备计算机控制技术要求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南京利德东方橡塑科技有限公司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内燃机冷却系统用橡胶软管和纯胶管 规范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江苏丘陵地区南京农业科学研究所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菜用甘薯宁菜薯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号生产技术规程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914B9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江苏中路工程技术研究院有限公司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914B9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大跨径桥梁钢桥面环氧沥青混凝土铺装养护技术规程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南京御水科技有限公司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工业循环冷却水和锅炉用水中氯离子的测定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9A6862" w:rsidRPr="00815E50" w:rsidTr="001E50F2">
        <w:trPr>
          <w:cantSplit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9A6862" w:rsidRPr="00914B9D" w:rsidRDefault="009A6862" w:rsidP="001E50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4B9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水利部水文仪器及岩土工程仪器质量监督检验测试中心</w:t>
            </w:r>
          </w:p>
        </w:tc>
        <w:tc>
          <w:tcPr>
            <w:tcW w:w="3771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《水文仪器基本参数及通用技术条件》（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GB/T15966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－</w:t>
            </w:r>
            <w:r w:rsidRPr="009B771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2017</w:t>
            </w: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）等5项国家标准实施与应用</w:t>
            </w:r>
          </w:p>
        </w:tc>
        <w:tc>
          <w:tcPr>
            <w:tcW w:w="1756" w:type="dxa"/>
            <w:tcMar>
              <w:top w:w="57" w:type="dxa"/>
              <w:bottom w:w="57" w:type="dxa"/>
            </w:tcMar>
            <w:vAlign w:val="center"/>
          </w:tcPr>
          <w:p w:rsidR="009A6862" w:rsidRPr="00815E50" w:rsidRDefault="009A6862" w:rsidP="001E50F2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815E50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 w:rsidR="009A6862" w:rsidRDefault="009A6862" w:rsidP="009A686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9A6862" w:rsidRPr="00094387" w:rsidRDefault="009A6862" w:rsidP="009A6862">
      <w:pPr>
        <w:spacing w:line="560" w:lineRule="exact"/>
        <w:rPr>
          <w:rFonts w:ascii="黑体" w:eastAsia="黑体" w:hAnsi="黑体" w:cs="方正黑体_GBK"/>
          <w:sz w:val="32"/>
          <w:szCs w:val="32"/>
        </w:rPr>
      </w:pPr>
      <w:r w:rsidRPr="00094387">
        <w:rPr>
          <w:rFonts w:ascii="黑体" w:eastAsia="黑体" w:hAnsi="黑体" w:cs="方正黑体_GBK" w:hint="eastAsia"/>
          <w:sz w:val="32"/>
          <w:szCs w:val="32"/>
        </w:rPr>
        <w:t>三、个人奖</w:t>
      </w:r>
    </w:p>
    <w:p w:rsidR="009A6862" w:rsidRPr="009B7711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B771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 xml:space="preserve">南瑞集团有限公司 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>薛  峰</w:t>
      </w:r>
    </w:p>
    <w:p w:rsidR="009A6862" w:rsidRPr="009B7711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B771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 xml:space="preserve">南京中船绿洲机器有限公司 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>陈建峰</w:t>
      </w:r>
    </w:p>
    <w:p w:rsidR="009A6862" w:rsidRPr="009B7711" w:rsidRDefault="009A6862" w:rsidP="009A6862">
      <w:pPr>
        <w:spacing w:line="560" w:lineRule="exact"/>
        <w:ind w:leftChars="304" w:left="638"/>
        <w:rPr>
          <w:rFonts w:ascii="仿宋_GB2312" w:eastAsia="仿宋_GB2312" w:hAnsi="方正黑体_GBK" w:cs="方正黑体_GBK"/>
          <w:sz w:val="32"/>
          <w:szCs w:val="32"/>
        </w:rPr>
      </w:pPr>
      <w:r w:rsidRPr="009B771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.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 xml:space="preserve">南京市标准化研究院 </w:t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</w:r>
      <w:r w:rsidRPr="009B7711">
        <w:rPr>
          <w:rFonts w:ascii="仿宋_GB2312" w:eastAsia="仿宋_GB2312" w:hAnsi="方正黑体_GBK" w:cs="方正黑体_GBK" w:hint="eastAsia"/>
          <w:sz w:val="32"/>
          <w:szCs w:val="32"/>
        </w:rPr>
        <w:tab/>
        <w:t>周红缨</w:t>
      </w:r>
    </w:p>
    <w:p w:rsidR="00237CAA" w:rsidRPr="009A6862" w:rsidRDefault="00237CAA"/>
    <w:sectPr w:rsidR="00237CAA" w:rsidRPr="009A6862" w:rsidSect="00ED5E1F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AA" w:rsidRDefault="00237CAA" w:rsidP="009A6862">
      <w:r>
        <w:separator/>
      </w:r>
    </w:p>
  </w:endnote>
  <w:endnote w:type="continuationSeparator" w:id="1">
    <w:p w:rsidR="00237CAA" w:rsidRDefault="00237CAA" w:rsidP="009A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AA" w:rsidRDefault="00237CAA" w:rsidP="009A6862">
      <w:r>
        <w:separator/>
      </w:r>
    </w:p>
  </w:footnote>
  <w:footnote w:type="continuationSeparator" w:id="1">
    <w:p w:rsidR="00237CAA" w:rsidRDefault="00237CAA" w:rsidP="009A6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862"/>
    <w:rsid w:val="00237CAA"/>
    <w:rsid w:val="009A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862"/>
    <w:rPr>
      <w:sz w:val="18"/>
      <w:szCs w:val="18"/>
    </w:rPr>
  </w:style>
  <w:style w:type="table" w:styleId="a5">
    <w:name w:val="Table Grid"/>
    <w:basedOn w:val="a1"/>
    <w:uiPriority w:val="59"/>
    <w:rsid w:val="009A68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>Sky123.Org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2021-11-09T04:53:00Z</dcterms:created>
  <dcterms:modified xsi:type="dcterms:W3CDTF">2021-11-09T04:53:00Z</dcterms:modified>
</cp:coreProperties>
</file>