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附表1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Style w:val="5"/>
          <w:rFonts w:ascii="微软雅黑" w:hAnsi="微软雅黑" w:eastAsia="微软雅黑" w:cs="微软雅黑"/>
          <w:i w:val="0"/>
          <w:iCs w:val="0"/>
          <w:caps w:val="0"/>
          <w:color w:val="484848"/>
          <w:spacing w:val="0"/>
          <w:sz w:val="44"/>
          <w:szCs w:val="44"/>
          <w:u w:val="none"/>
          <w:bdr w:val="none" w:color="auto" w:sz="0" w:space="0"/>
        </w:rPr>
        <w:t>医疗废物分类目录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39"/>
        <w:gridCol w:w="1260"/>
        <w:gridCol w:w="3039"/>
        <w:gridCol w:w="2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4" w:hRule="atLeast"/>
          <w:jc w:val="center"/>
        </w:trPr>
        <w:tc>
          <w:tcPr>
            <w:tcW w:w="143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0"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30"/>
                <w:szCs w:val="30"/>
                <w:u w:val="none"/>
                <w:bdr w:val="none" w:color="auto" w:sz="0" w:space="0"/>
                <w:lang w:val="en-US" w:eastAsia="zh-CN" w:bidi="ar"/>
              </w:rPr>
              <w:t>类别</w:t>
            </w:r>
          </w:p>
        </w:tc>
        <w:tc>
          <w:tcPr>
            <w:tcW w:w="1260" w:type="dxa"/>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0"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30"/>
                <w:szCs w:val="30"/>
                <w:u w:val="none"/>
                <w:bdr w:val="none" w:color="auto" w:sz="0" w:space="0"/>
                <w:lang w:val="en-US" w:eastAsia="zh-CN" w:bidi="ar"/>
              </w:rPr>
              <w:t>特征</w:t>
            </w:r>
          </w:p>
        </w:tc>
        <w:tc>
          <w:tcPr>
            <w:tcW w:w="3039" w:type="dxa"/>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0"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30"/>
                <w:szCs w:val="30"/>
                <w:u w:val="none"/>
                <w:bdr w:val="none" w:color="auto" w:sz="0" w:space="0"/>
                <w:lang w:val="en-US" w:eastAsia="zh-CN" w:bidi="ar"/>
              </w:rPr>
              <w:t>常见组分或废物名称</w:t>
            </w:r>
          </w:p>
        </w:tc>
        <w:tc>
          <w:tcPr>
            <w:tcW w:w="2180" w:type="dxa"/>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330"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30"/>
                <w:szCs w:val="30"/>
                <w:u w:val="none"/>
                <w:bdr w:val="none" w:color="auto" w:sz="0" w:space="0"/>
                <w:lang w:val="en-US" w:eastAsia="zh-CN" w:bidi="ar"/>
              </w:rPr>
              <w:t>收集方式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ascii="仿宋_GB2312" w:hAnsi="微软雅黑" w:eastAsia="仿宋_GB2312" w:cs="仿宋_GB2312"/>
                <w:color w:val="484848"/>
                <w:kern w:val="0"/>
                <w:sz w:val="22"/>
                <w:szCs w:val="22"/>
                <w:u w:val="none"/>
                <w:bdr w:val="none" w:color="auto" w:sz="0" w:space="0"/>
                <w:lang w:val="en-US" w:eastAsia="zh-CN" w:bidi="ar"/>
              </w:rPr>
              <w:t>感染性废物</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携带病原微生物具有引发感染性疾病传播危险的医疗废物。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tc>
        <w:tc>
          <w:tcPr>
            <w:tcW w:w="3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1.被患者血液、体液、排泄物等污染的除锐器以外的废物；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2.使用后废弃的一次性使用医疗器械，如注射器、输液器、透析器等；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3.病原微生物实验室废弃的病原体培养基、标本，菌种和毒种保存液及其容器；其他实验室及科室废弃的血液、血清、分泌物等标本和容器；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4.隔离传染病患者或者疑似传染病患者产生的废弃物。</w:t>
            </w:r>
          </w:p>
        </w:tc>
        <w:tc>
          <w:tcPr>
            <w:tcW w:w="21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1.收集于符合《医疗废物专用包装袋、容器和警示标志标准》（HJ421）的医疗废物包装袋中；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2.病原微生物实验室废弃的病原体培养基、标本，菌种和毒种保存液及其容器，应在产生地点进行压力蒸汽灭菌或者使用其他方式消毒，然后按感染性废物收集处理；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3.隔离传染病患者或者疑似传染病患者产生的医疗废物应当使用双层医疗废物包装袋盛装。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损伤性废物</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能够刺伤或者割伤人体的废弃的医用锐器。</w:t>
            </w:r>
          </w:p>
        </w:tc>
        <w:tc>
          <w:tcPr>
            <w:tcW w:w="3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1.废弃的金属类锐器，如针头、缝合针、针灸针、探针、穿刺针、解剖刀、手术刀、手术锯、备皮刀、钢钉和导丝等；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2.废弃的玻璃类锐器，如盖玻片、载玻片、玻璃安瓿等；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3.废弃的其他材质类锐器。</w:t>
            </w:r>
          </w:p>
        </w:tc>
        <w:tc>
          <w:tcPr>
            <w:tcW w:w="21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1.收集于符合《医疗废物专用包装袋、容器和警示标志标准》（HJ421）的利器盒中；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2.利器盒达到3/4满时，应当封闭严密，按流程运送、贮存。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14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病理性废物</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诊疗过程中产生的人体废弃物</w:t>
            </w:r>
            <w:r>
              <w:rPr>
                <w:rFonts w:hint="default" w:ascii="仿宋_GB2312" w:hAnsi="微软雅黑" w:eastAsia="仿宋_GB2312" w:cs="仿宋_GB2312"/>
                <w:color w:val="0C0C0C"/>
                <w:kern w:val="0"/>
                <w:sz w:val="22"/>
                <w:szCs w:val="22"/>
                <w:u w:val="none"/>
                <w:bdr w:val="none" w:color="auto" w:sz="0" w:space="0"/>
                <w:lang w:val="en-US" w:eastAsia="zh-CN" w:bidi="ar"/>
              </w:rPr>
              <w:t>和医学</w:t>
            </w:r>
            <w:r>
              <w:rPr>
                <w:rFonts w:hint="default" w:ascii="仿宋_GB2312" w:hAnsi="微软雅黑" w:eastAsia="仿宋_GB2312" w:cs="仿宋_GB2312"/>
                <w:color w:val="484848"/>
                <w:kern w:val="0"/>
                <w:sz w:val="22"/>
                <w:szCs w:val="22"/>
                <w:u w:val="none"/>
                <w:bdr w:val="none" w:color="auto" w:sz="0" w:space="0"/>
                <w:lang w:val="en-US" w:eastAsia="zh-CN" w:bidi="ar"/>
              </w:rPr>
              <w:t>实验动物尸体等。</w:t>
            </w:r>
          </w:p>
        </w:tc>
        <w:tc>
          <w:tcPr>
            <w:tcW w:w="3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bookmarkStart w:id="0" w:name="_Hlk54893226"/>
            <w:r>
              <w:rPr>
                <w:rFonts w:hint="eastAsia" w:ascii="微软雅黑" w:hAnsi="微软雅黑" w:eastAsia="微软雅黑" w:cs="微软雅黑"/>
                <w:color w:val="484848"/>
                <w:kern w:val="0"/>
                <w:sz w:val="22"/>
                <w:szCs w:val="22"/>
                <w:u w:val="none"/>
                <w:bdr w:val="none" w:color="auto" w:sz="0" w:space="0"/>
                <w:lang w:val="en-US" w:eastAsia="zh-CN" w:bidi="ar"/>
              </w:rPr>
              <w:t>1.手术及其他医学服务过程中产生的废弃的人体组织、器官</w:t>
            </w:r>
            <w:bookmarkEnd w:id="0"/>
            <w:r>
              <w:rPr>
                <w:rFonts w:hint="default" w:ascii="仿宋_GB2312" w:hAnsi="微软雅黑" w:eastAsia="仿宋_GB2312" w:cs="仿宋_GB2312"/>
                <w:color w:val="484848"/>
                <w:kern w:val="0"/>
                <w:sz w:val="22"/>
                <w:szCs w:val="22"/>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2.病理切片后废弃的人体组织、病理蜡块；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3.废弃的医学实验动物的组织和尸体；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4.16周胎龄以下或重量不足500克的胚胎组织等；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5. 确诊、疑似传染病或携带传染病病原体的产妇的胎盘。</w:t>
            </w:r>
          </w:p>
        </w:tc>
        <w:tc>
          <w:tcPr>
            <w:tcW w:w="21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1.收集于符合《医疗废物专用包装袋、容器和警示标志标准》（HJ421）的医疗废物包装袋中；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2.确诊、疑似传染病产妇或携带传染病病原体的产妇的胎盘应使用双层医疗废物包装袋盛装；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3.可进行防腐或者低温保存。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7" w:hRule="atLeast"/>
          <w:jc w:val="center"/>
        </w:trPr>
        <w:tc>
          <w:tcPr>
            <w:tcW w:w="14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药物性废物</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过期、淘汰、变质或者被污染的废弃的药物。</w:t>
            </w:r>
          </w:p>
        </w:tc>
        <w:tc>
          <w:tcPr>
            <w:tcW w:w="3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1.废弃的一般性药物；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2.废弃的细胞毒性药物和遗传毒性药物；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3.废弃的疫苗及血液制品。</w:t>
            </w:r>
          </w:p>
        </w:tc>
        <w:tc>
          <w:tcPr>
            <w:tcW w:w="21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1.少量的药物性废物可以并入感染性废物中，但应在标签中注明；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2.批量废弃的药物性废物，收集后应交由具备相应资质的医疗废物处置单位或者危险废物处置单位等进行处置。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44" w:hRule="atLeast"/>
          <w:jc w:val="center"/>
        </w:trPr>
        <w:tc>
          <w:tcPr>
            <w:tcW w:w="14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化学性废物</w:t>
            </w:r>
          </w:p>
        </w:tc>
        <w:tc>
          <w:tcPr>
            <w:tcW w:w="12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具有毒性、腐蚀性、易燃性、反应性的废弃的化学物品。</w:t>
            </w:r>
          </w:p>
        </w:tc>
        <w:tc>
          <w:tcPr>
            <w:tcW w:w="30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列入《国家危险废物名录》中的废弃危险化学品，如甲醛、二甲苯等；非特定行业来源的危险废物，如含汞血压计、含汞体温计，废弃的牙科汞合金材料及其残余物等。</w:t>
            </w:r>
          </w:p>
        </w:tc>
        <w:tc>
          <w:tcPr>
            <w:tcW w:w="21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both"/>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1.收集于容器中，粘贴标签并注明主要成分；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both"/>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0" w:afterAutospacing="0" w:line="251" w:lineRule="atLeast"/>
              <w:ind w:left="0" w:right="0"/>
              <w:jc w:val="both"/>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2.收集后应交由具备相应资质的医疗废物处置单位或者危险废物处置单位等进行处置。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28"/>
          <w:szCs w:val="28"/>
          <w:u w:val="none"/>
          <w:bdr w:val="none" w:color="auto" w:sz="0" w:space="0"/>
        </w:rPr>
        <w:t>　　说明：因以下废弃物不属于医疗废物，故未列入此表中。如：非传染病区使用或者未用于传染病患者、疑似传染病患者以及采取隔离措施的其他患者的输液瓶（袋），盛装消毒剂、透析液的空容器，一次性医用外包装物，废弃的中草药与中草药煎制后的残渣，盛装药物的药杯，尿杯，纸巾、湿巾、尿不湿、卫生巾、护理垫等一次性卫生用品，医用织物以及使用后的大、小便器等。居民日常生活中废弃的一次性口罩不属于医疗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rPr>
          <w:rFonts w:hint="eastAsia" w:ascii="仿宋" w:hAnsi="仿宋" w:eastAsia="仿宋" w:cs="仿宋"/>
          <w:i w:val="0"/>
          <w:iCs w:val="0"/>
          <w:caps w:val="0"/>
          <w:color w:val="484848"/>
          <w:spacing w:val="0"/>
          <w:sz w:val="32"/>
          <w:szCs w:val="32"/>
          <w:u w:val="none"/>
          <w:bdr w:val="none" w:color="auto" w:sz="0" w:space="0"/>
        </w:rPr>
      </w:pPr>
      <w:r>
        <w:rPr>
          <w:rFonts w:hint="eastAsia" w:ascii="仿宋" w:hAnsi="仿宋" w:eastAsia="仿宋" w:cs="仿宋"/>
          <w:i w:val="0"/>
          <w:iCs w:val="0"/>
          <w:caps w:val="0"/>
          <w:color w:val="484848"/>
          <w:spacing w:val="0"/>
          <w:sz w:val="32"/>
          <w:szCs w:val="32"/>
          <w:u w:val="none"/>
          <w:bdr w:val="none" w:color="auto" w:sz="0" w:space="0"/>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bookmarkStart w:id="1" w:name="_GoBack"/>
      <w:bookmarkEnd w:id="1"/>
      <w:r>
        <w:rPr>
          <w:rFonts w:hint="eastAsia" w:ascii="仿宋" w:hAnsi="仿宋" w:eastAsia="仿宋" w:cs="仿宋"/>
          <w:i w:val="0"/>
          <w:iCs w:val="0"/>
          <w:caps w:val="0"/>
          <w:color w:val="484848"/>
          <w:spacing w:val="0"/>
          <w:sz w:val="32"/>
          <w:szCs w:val="32"/>
          <w:u w:val="none"/>
          <w:bdr w:val="none" w:color="auto" w:sz="0" w:space="0"/>
        </w:rPr>
        <w:t>附表2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医疗废物豁免管理清单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Style w:val="5"/>
          <w:rFonts w:hint="eastAsia" w:ascii="微软雅黑" w:hAnsi="微软雅黑" w:eastAsia="微软雅黑" w:cs="微软雅黑"/>
          <w:i w:val="0"/>
          <w:iCs w:val="0"/>
          <w:caps w:val="0"/>
          <w:color w:val="484848"/>
          <w:spacing w:val="0"/>
          <w:sz w:val="44"/>
          <w:szCs w:val="44"/>
          <w:u w:val="none"/>
          <w:bdr w:val="none" w:color="auto" w:sz="0" w:space="0"/>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7"/>
        <w:gridCol w:w="1250"/>
        <w:gridCol w:w="1577"/>
        <w:gridCol w:w="2599"/>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3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24"/>
                <w:szCs w:val="24"/>
                <w:u w:val="none"/>
                <w:bdr w:val="none" w:color="auto" w:sz="0" w:space="0"/>
                <w:lang w:val="en-US" w:eastAsia="zh-CN" w:bidi="ar"/>
              </w:rPr>
              <w:t>序号</w:t>
            </w:r>
          </w:p>
        </w:tc>
        <w:tc>
          <w:tcPr>
            <w:tcW w:w="125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24"/>
                <w:szCs w:val="24"/>
                <w:u w:val="none"/>
                <w:bdr w:val="none" w:color="auto" w:sz="0" w:space="0"/>
                <w:lang w:val="en-US" w:eastAsia="zh-CN" w:bidi="ar"/>
              </w:rPr>
              <w:t>名称</w:t>
            </w:r>
          </w:p>
        </w:tc>
        <w:tc>
          <w:tcPr>
            <w:tcW w:w="157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24"/>
                <w:szCs w:val="24"/>
                <w:u w:val="none"/>
                <w:bdr w:val="none" w:color="auto" w:sz="0" w:space="0"/>
                <w:lang w:val="en-US" w:eastAsia="zh-CN" w:bidi="ar"/>
              </w:rPr>
              <w:t>豁免环节</w:t>
            </w:r>
          </w:p>
        </w:tc>
        <w:tc>
          <w:tcPr>
            <w:tcW w:w="259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24"/>
                <w:szCs w:val="24"/>
                <w:u w:val="none"/>
                <w:bdr w:val="none" w:color="auto" w:sz="0" w:space="0"/>
                <w:lang w:val="en-US" w:eastAsia="zh-CN" w:bidi="ar"/>
              </w:rPr>
              <w:t>豁免条件</w:t>
            </w:r>
          </w:p>
        </w:tc>
        <w:tc>
          <w:tcPr>
            <w:tcW w:w="162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eastAsia" w:ascii="宋体" w:hAnsi="宋体" w:eastAsia="宋体" w:cs="宋体"/>
                <w:b/>
                <w:bCs/>
                <w:color w:val="484848"/>
                <w:kern w:val="0"/>
                <w:sz w:val="24"/>
                <w:szCs w:val="24"/>
                <w:u w:val="none"/>
                <w:bdr w:val="none" w:color="auto" w:sz="0" w:space="0"/>
                <w:lang w:val="en-US" w:eastAsia="zh-CN" w:bidi="ar"/>
              </w:rPr>
              <w:t>豁免内容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68" w:hRule="atLeast"/>
          <w:jc w:val="center"/>
        </w:trPr>
        <w:tc>
          <w:tcPr>
            <w:tcW w:w="837"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1</w:t>
            </w:r>
          </w:p>
        </w:tc>
        <w:tc>
          <w:tcPr>
            <w:tcW w:w="12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密封药瓶、安瓿瓶等玻璃药瓶</w:t>
            </w:r>
          </w:p>
        </w:tc>
        <w:tc>
          <w:tcPr>
            <w:tcW w:w="157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收集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shd w:val="clear" w:fill="D9D9D9"/>
                <w:lang w:val="en-US" w:eastAsia="zh-CN" w:bidi="ar"/>
              </w:rPr>
              <w:t> </w:t>
            </w:r>
          </w:p>
        </w:tc>
        <w:tc>
          <w:tcPr>
            <w:tcW w:w="259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盛装容器应满足防渗漏、防刺破要求，并有医疗废物标识或者外加一层医疗废物包装袋。标签为损伤性废物，并注明：密封药瓶或者安瓿瓶。</w:t>
            </w:r>
          </w:p>
        </w:tc>
        <w:tc>
          <w:tcPr>
            <w:tcW w:w="16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可不使用利器盒收集。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shd w:val="clear" w:fill="D9D9D9"/>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37"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2</w:t>
            </w:r>
          </w:p>
        </w:tc>
        <w:tc>
          <w:tcPr>
            <w:tcW w:w="12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导丝</w:t>
            </w:r>
          </w:p>
        </w:tc>
        <w:tc>
          <w:tcPr>
            <w:tcW w:w="157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收集</w:t>
            </w:r>
          </w:p>
        </w:tc>
        <w:tc>
          <w:tcPr>
            <w:tcW w:w="259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盛装容器应满足防渗漏、防刺破要求，并有医疗废物标识或者外加一层医疗废物包装袋。标签为损伤性废物，并注明：导丝。</w:t>
            </w:r>
          </w:p>
        </w:tc>
        <w:tc>
          <w:tcPr>
            <w:tcW w:w="16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可不使用利器盒收集。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shd w:val="clear" w:fill="D9D9D9"/>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92" w:hRule="atLeast"/>
          <w:jc w:val="center"/>
        </w:trPr>
        <w:tc>
          <w:tcPr>
            <w:tcW w:w="837"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3</w:t>
            </w:r>
          </w:p>
        </w:tc>
        <w:tc>
          <w:tcPr>
            <w:tcW w:w="12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棉签、棉球、输液贴</w:t>
            </w:r>
          </w:p>
        </w:tc>
        <w:tc>
          <w:tcPr>
            <w:tcW w:w="157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全部环节</w:t>
            </w:r>
          </w:p>
        </w:tc>
        <w:tc>
          <w:tcPr>
            <w:tcW w:w="259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患者自行用于按压止血而未收集于医疗废物容器中的棉签、棉球、输液贴。</w:t>
            </w:r>
          </w:p>
        </w:tc>
        <w:tc>
          <w:tcPr>
            <w:tcW w:w="16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全过程不按照医疗废物管理。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37"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center"/>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4</w:t>
            </w:r>
          </w:p>
        </w:tc>
        <w:tc>
          <w:tcPr>
            <w:tcW w:w="12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感染性废物、损伤性废物以及相关技术可处理的病理性废物</w:t>
            </w:r>
          </w:p>
        </w:tc>
        <w:tc>
          <w:tcPr>
            <w:tcW w:w="157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运输、贮存、处置</w:t>
            </w:r>
          </w:p>
        </w:tc>
        <w:tc>
          <w:tcPr>
            <w:tcW w:w="259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按照相关处理标准规范，采用高温蒸汽、微波、化学消毒、高温干热或者其他方式消毒处理后，在满足相关入厂（场）要求的前提下，运输至生活垃圾焚烧厂或生活垃圾填埋场等处置。</w:t>
            </w:r>
          </w:p>
        </w:tc>
        <w:tc>
          <w:tcPr>
            <w:tcW w:w="162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200" w:afterAutospacing="0" w:line="251" w:lineRule="atLeast"/>
              <w:ind w:left="0" w:right="0"/>
              <w:jc w:val="left"/>
              <w:rPr>
                <w:rFonts w:hint="eastAsia" w:ascii="微软雅黑" w:hAnsi="微软雅黑" w:eastAsia="微软雅黑" w:cs="微软雅黑"/>
                <w:color w:val="484848"/>
                <w:u w:val="none"/>
              </w:rPr>
            </w:pPr>
            <w:r>
              <w:rPr>
                <w:rFonts w:hint="default" w:ascii="仿宋_GB2312" w:hAnsi="微软雅黑" w:eastAsia="仿宋_GB2312" w:cs="仿宋_GB2312"/>
                <w:color w:val="484848"/>
                <w:kern w:val="0"/>
                <w:sz w:val="22"/>
                <w:szCs w:val="22"/>
                <w:u w:val="none"/>
                <w:bdr w:val="none" w:color="auto" w:sz="0" w:space="0"/>
                <w:lang w:val="en-US" w:eastAsia="zh-CN" w:bidi="ar"/>
              </w:rPr>
              <w:t>运输、贮存、处置过程不按照医疗废物管理。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28"/>
          <w:szCs w:val="28"/>
          <w:u w:val="none"/>
          <w:bdr w:val="none" w:color="auto" w:sz="0" w:space="0"/>
        </w:rPr>
        <w:t>　　说明：本附表收录的豁免清单为符合医疗废物定义、但无风险或者风险较低，在满足相关条件时，在部分环节或全部环节可不按医疗废物进行管理的废弃物。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D1255"/>
    <w:rsid w:val="129D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2021-12-02T03:27:00Z</dcterms:created>
  <dc:creator>Whale Fall</dc:creator>
  <cp:lastModifiedBy>Whale Fall</cp:lastModifiedBy>
  <dcterms:modified xsi:type="dcterms:W3CDTF">2021-12-02T03:28:18Z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FA7F2CB2B8164D6E8B43506F11A34C3E</vt:lpwstr>
  </property>
</Properties>
</file>