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24E17">
        <w:tc>
          <w:tcPr>
            <w:tcW w:w="509" w:type="dxa"/>
          </w:tcPr>
          <w:p w:rsidR="00824E17" w:rsidRDefault="008C6128">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24E17" w:rsidRDefault="008C6128">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Times New Roman" w:eastAsia="黑体" w:hAnsi="Times New Roman"/>
                <w:sz w:val="21"/>
                <w:szCs w:val="21"/>
              </w:rPr>
              <w:t>13.200</w:t>
            </w:r>
          </w:p>
        </w:tc>
      </w:tr>
      <w:tr w:rsidR="00824E17">
        <w:tc>
          <w:tcPr>
            <w:tcW w:w="509" w:type="dxa"/>
          </w:tcPr>
          <w:p w:rsidR="00824E17" w:rsidRDefault="008C612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24E17" w:rsidRDefault="008C6128">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w:t>
            </w:r>
            <w:r>
              <w:rPr>
                <w:rFonts w:ascii="Times New Roman" w:eastAsia="黑体" w:hAnsi="Times New Roman" w:hint="eastAsia"/>
                <w:sz w:val="21"/>
                <w:szCs w:val="21"/>
              </w:rPr>
              <w:t>66</w:t>
            </w:r>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24E17">
        <w:tc>
          <w:tcPr>
            <w:tcW w:w="6407" w:type="dxa"/>
          </w:tcPr>
          <w:p w:rsidR="00824E17" w:rsidRDefault="008C6128">
            <w:pPr>
              <w:pStyle w:val="affffe"/>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32</w:t>
            </w:r>
            <w:r>
              <w:fldChar w:fldCharType="end"/>
            </w:r>
            <w:bookmarkEnd w:id="1"/>
          </w:p>
        </w:tc>
      </w:tr>
    </w:tbl>
    <w:p w:rsidR="00824E17" w:rsidRDefault="008C6128">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rsidR="00824E17" w:rsidRDefault="008C6128">
      <w:pPr>
        <w:pStyle w:val="affffffffff1"/>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lang w:val="fr-FR"/>
        </w:rPr>
        <w:t>32</w:t>
      </w:r>
      <w:r>
        <w:rPr>
          <w:lang w:val="fr-FR"/>
        </w:rPr>
        <w:t>/T</w:t>
      </w:r>
      <w:r>
        <w:fldChar w:fldCharType="end"/>
      </w:r>
      <w:bookmarkEnd w:id="3"/>
      <w:r>
        <w:rPr>
          <w:lang w:val="fr-FR"/>
        </w:rPr>
        <w:t xml:space="preserve"> </w:t>
      </w:r>
      <w:r w:rsidR="00C6418B">
        <w:rPr>
          <w:rFonts w:hint="eastAsia"/>
        </w:rPr>
        <w:t>4145</w:t>
      </w:r>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rFonts w:hint="eastAsia"/>
        </w:rPr>
        <w:t>2021</w:t>
      </w:r>
      <w:r>
        <w:fldChar w:fldCharType="end"/>
      </w:r>
      <w:bookmarkEnd w:id="4"/>
    </w:p>
    <w:p w:rsidR="00824E17" w:rsidRDefault="008C6128">
      <w:pPr>
        <w:pStyle w:val="affffffffff2"/>
        <w:framePr w:wrap="around"/>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824E17" w:rsidRDefault="008C612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824E17" w:rsidRDefault="00824E17">
      <w:pPr>
        <w:pStyle w:val="afffff"/>
        <w:framePr w:w="9639" w:h="6976" w:hRule="exact" w:hSpace="0" w:vSpace="0" w:wrap="around" w:hAnchor="page" w:y="6408"/>
        <w:jc w:val="center"/>
        <w:rPr>
          <w:rFonts w:ascii="黑体" w:eastAsia="黑体" w:hAnsi="黑体"/>
          <w:b w:val="0"/>
          <w:bCs w:val="0"/>
          <w:w w:val="100"/>
        </w:rPr>
      </w:pPr>
    </w:p>
    <w:p w:rsidR="00824E17" w:rsidRDefault="008C6128">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城市安全风险评估导则</w:t>
      </w:r>
      <w:r>
        <w:fldChar w:fldCharType="end"/>
      </w:r>
      <w:bookmarkEnd w:id="6"/>
    </w:p>
    <w:p w:rsidR="00824E17" w:rsidRDefault="00824E17">
      <w:pPr>
        <w:framePr w:w="9639" w:h="6974" w:hRule="exact" w:wrap="around" w:vAnchor="page" w:hAnchor="page" w:x="1419" w:y="6408" w:anchorLock="1"/>
        <w:ind w:left="-1418"/>
      </w:pPr>
    </w:p>
    <w:p w:rsidR="00824E17" w:rsidRDefault="008C6128">
      <w:pPr>
        <w:pStyle w:val="afffffff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urban safety risk assessment</w:t>
      </w:r>
      <w:r>
        <w:rPr>
          <w:rFonts w:eastAsia="黑体"/>
          <w:szCs w:val="28"/>
        </w:rPr>
        <w:fldChar w:fldCharType="end"/>
      </w:r>
      <w:bookmarkEnd w:id="7"/>
    </w:p>
    <w:p w:rsidR="00824E17" w:rsidRDefault="00824E17">
      <w:pPr>
        <w:framePr w:w="9639" w:h="6974" w:hRule="exact" w:wrap="around" w:vAnchor="page" w:hAnchor="page" w:x="1419" w:y="6408" w:anchorLock="1"/>
        <w:spacing w:line="760" w:lineRule="exact"/>
        <w:ind w:left="-1418"/>
      </w:pPr>
    </w:p>
    <w:p w:rsidR="00824E17" w:rsidRDefault="00824E17">
      <w:pPr>
        <w:pStyle w:val="afffffff7"/>
        <w:framePr w:w="9639" w:h="6974" w:hRule="exact" w:wrap="around" w:vAnchor="page" w:hAnchor="page" w:x="1419" w:y="6408" w:anchorLock="1"/>
        <w:textAlignment w:val="bottom"/>
        <w:rPr>
          <w:rFonts w:eastAsia="黑体"/>
          <w:szCs w:val="28"/>
        </w:rPr>
      </w:pPr>
    </w:p>
    <w:p w:rsidR="00824E17" w:rsidRDefault="00824E17">
      <w:pPr>
        <w:pStyle w:val="afffffff7"/>
        <w:framePr w:w="9639" w:h="6974" w:hRule="exact" w:wrap="around" w:vAnchor="page" w:hAnchor="page" w:x="1419" w:y="6408" w:anchorLock="1"/>
        <w:spacing w:before="440" w:after="160"/>
        <w:textAlignment w:val="bottom"/>
        <w:rPr>
          <w:sz w:val="24"/>
          <w:szCs w:val="28"/>
        </w:rPr>
      </w:pPr>
    </w:p>
    <w:p w:rsidR="00824E17" w:rsidRDefault="008C6128">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rsidR="00824E17" w:rsidRDefault="00824E17">
      <w:pPr>
        <w:pStyle w:val="afffffff7"/>
        <w:framePr w:w="9639" w:h="6974" w:hRule="exact" w:wrap="around" w:vAnchor="page" w:hAnchor="page" w:x="1419" w:y="6408" w:anchorLock="1"/>
        <w:spacing w:beforeLines="300" w:before="720" w:afterLines="30" w:after="72" w:line="240" w:lineRule="auto"/>
        <w:textAlignment w:val="bottom"/>
        <w:rPr>
          <w:b/>
          <w:sz w:val="21"/>
          <w:szCs w:val="28"/>
        </w:rPr>
      </w:pPr>
    </w:p>
    <w:p w:rsidR="00824E17" w:rsidRDefault="008C6128">
      <w:pPr>
        <w:pStyle w:val="affffffffff"/>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hint="eastAsia"/>
        </w:rPr>
        <w:t>2021</w:t>
      </w:r>
      <w:r>
        <w:rPr>
          <w:rFonts w:ascii="黑体"/>
        </w:rPr>
        <w:fldChar w:fldCharType="end"/>
      </w:r>
      <w:bookmarkEnd w:id="9"/>
      <w:r>
        <w:t xml:space="preserve"> </w:t>
      </w:r>
      <w:r>
        <w:rPr>
          <w:rFonts w:ascii="黑体"/>
        </w:rPr>
        <w:t>-</w:t>
      </w:r>
      <w:r>
        <w:t xml:space="preserve"> </w:t>
      </w:r>
      <w:r w:rsidR="00C6418B">
        <w:rPr>
          <w:rFonts w:ascii="黑体" w:hint="eastAsia"/>
        </w:rPr>
        <w:t>12</w:t>
      </w:r>
      <w:r>
        <w:t xml:space="preserve"> </w:t>
      </w:r>
      <w:r>
        <w:rPr>
          <w:rFonts w:ascii="黑体"/>
        </w:rPr>
        <w:t>-</w:t>
      </w:r>
      <w:r>
        <w:t xml:space="preserve"> </w:t>
      </w:r>
      <w:r w:rsidR="00C6418B">
        <w:rPr>
          <w:rFonts w:ascii="黑体" w:hint="eastAsia"/>
        </w:rPr>
        <w:t>0</w:t>
      </w:r>
      <w:r w:rsidR="00723BEC">
        <w:rPr>
          <w:rFonts w:ascii="黑体" w:hint="eastAsia"/>
        </w:rPr>
        <w:t>9</w:t>
      </w:r>
      <w:r>
        <w:rPr>
          <w:rFonts w:hint="eastAsia"/>
        </w:rPr>
        <w:t>发布</w:t>
      </w:r>
    </w:p>
    <w:p w:rsidR="00824E17" w:rsidRDefault="00C6418B">
      <w:pPr>
        <w:pStyle w:val="affffffffff0"/>
        <w:framePr w:wrap="around" w:y="14176"/>
      </w:pPr>
      <w:r>
        <w:rPr>
          <w:rFonts w:ascii="黑体" w:hint="eastAsia"/>
        </w:rPr>
        <w:t>2022</w:t>
      </w:r>
      <w:r w:rsidR="008C6128">
        <w:t xml:space="preserve"> </w:t>
      </w:r>
      <w:r w:rsidR="008C6128">
        <w:rPr>
          <w:rFonts w:ascii="黑体"/>
        </w:rPr>
        <w:t>-</w:t>
      </w:r>
      <w:r w:rsidR="008C6128">
        <w:t xml:space="preserve"> </w:t>
      </w:r>
      <w:r>
        <w:rPr>
          <w:rFonts w:ascii="黑体" w:hint="eastAsia"/>
        </w:rPr>
        <w:t>01</w:t>
      </w:r>
      <w:r w:rsidR="008C6128">
        <w:t xml:space="preserve"> </w:t>
      </w:r>
      <w:r w:rsidR="008C6128">
        <w:rPr>
          <w:rFonts w:ascii="黑体"/>
        </w:rPr>
        <w:t>-</w:t>
      </w:r>
      <w:r w:rsidR="008C6128">
        <w:t xml:space="preserve"> </w:t>
      </w:r>
      <w:r>
        <w:rPr>
          <w:rFonts w:ascii="黑体" w:hint="eastAsia"/>
        </w:rPr>
        <w:t>0</w:t>
      </w:r>
      <w:r w:rsidR="00723BEC">
        <w:rPr>
          <w:rFonts w:ascii="黑体" w:hint="eastAsia"/>
        </w:rPr>
        <w:t>9</w:t>
      </w:r>
      <w:bookmarkStart w:id="10" w:name="_GoBack"/>
      <w:bookmarkEnd w:id="10"/>
      <w:r w:rsidR="008C6128">
        <w:rPr>
          <w:rFonts w:hint="eastAsia"/>
        </w:rPr>
        <w:t>实施</w:t>
      </w:r>
    </w:p>
    <w:p w:rsidR="00824E17" w:rsidRDefault="008C6128">
      <w:pPr>
        <w:pStyle w:val="affffffff7"/>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1"/>
      <w:r>
        <w:rPr>
          <w:rFonts w:ascii="Times New Roman"/>
          <w:w w:val="100"/>
          <w:sz w:val="28"/>
        </w:rPr>
        <w:t>  </w:t>
      </w:r>
      <w:r>
        <w:rPr>
          <w:rStyle w:val="afffffffffff8"/>
          <w:rFonts w:hAnsi="黑体" w:hint="eastAsia"/>
          <w:position w:val="0"/>
        </w:rPr>
        <w:t>发</w:t>
      </w:r>
      <w:r>
        <w:rPr>
          <w:rStyle w:val="afffffffffff8"/>
          <w:rFonts w:hAnsi="黑体" w:hint="eastAsia"/>
          <w:spacing w:val="0"/>
          <w:position w:val="0"/>
        </w:rPr>
        <w:t>布</w:t>
      </w:r>
    </w:p>
    <w:p w:rsidR="00824E17" w:rsidRDefault="008C6128">
      <w:pPr>
        <w:rPr>
          <w:rFonts w:ascii="宋体" w:hAnsi="宋体"/>
          <w:sz w:val="28"/>
          <w:szCs w:val="28"/>
        </w:rPr>
        <w:sectPr w:rsidR="00824E17">
          <w:headerReference w:type="even" r:id="rId11"/>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824E17" w:rsidRDefault="008C6128">
      <w:pPr>
        <w:pStyle w:val="affffff9"/>
        <w:spacing w:after="468"/>
      </w:pPr>
      <w:bookmarkStart w:id="12" w:name="BookMark1"/>
      <w:bookmarkStart w:id="13" w:name="_Toc69373603"/>
      <w:bookmarkStart w:id="14" w:name="_Toc69373660"/>
      <w:r>
        <w:rPr>
          <w:rFonts w:hint="eastAsia"/>
          <w:spacing w:val="320"/>
        </w:rPr>
        <w:lastRenderedPageBreak/>
        <w:t>目</w:t>
      </w:r>
      <w:r>
        <w:rPr>
          <w:rFonts w:hint="eastAsia"/>
        </w:rPr>
        <w:t>次</w:t>
      </w:r>
    </w:p>
    <w:p w:rsidR="00824E17" w:rsidRDefault="008C6128">
      <w:pPr>
        <w:pStyle w:val="10"/>
        <w:tabs>
          <w:tab w:val="right" w:leader="dot" w:pos="9344"/>
        </w:tabs>
        <w:rPr>
          <w:rFonts w:asciiTheme="minorHAnsi" w:eastAsiaTheme="minorEastAsia" w:hAnsiTheme="minorHAnsi" w:cstheme="minorBidi"/>
          <w:szCs w:val="22"/>
        </w:rPr>
      </w:pPr>
      <w:r>
        <w:fldChar w:fldCharType="begin"/>
      </w:r>
      <w:r>
        <w:instrText xml:space="preserve"> </w:instrText>
      </w:r>
      <w:r>
        <w:rPr>
          <w:rFonts w:hint="eastAsia"/>
        </w:rPr>
        <w:instrText>TOC \o "1-1" \h \t "标准文件_一级条标题,2,标准文件_附录一级条标题,2,"</w:instrText>
      </w:r>
      <w:r>
        <w:instrText xml:space="preserve"> </w:instrText>
      </w:r>
      <w:r>
        <w:fldChar w:fldCharType="separate"/>
      </w:r>
      <w:hyperlink w:anchor="_Toc72828454" w:history="1">
        <w:r>
          <w:rPr>
            <w:rStyle w:val="affffa"/>
            <w:spacing w:val="320"/>
          </w:rPr>
          <w:t>前</w:t>
        </w:r>
        <w:r>
          <w:rPr>
            <w:rStyle w:val="affffa"/>
          </w:rPr>
          <w:t>言</w:t>
        </w:r>
        <w:r>
          <w:tab/>
        </w:r>
        <w:r>
          <w:fldChar w:fldCharType="begin"/>
        </w:r>
        <w:r>
          <w:instrText xml:space="preserve"> PAGEREF _Toc72828454 \h </w:instrText>
        </w:r>
        <w:r>
          <w:fldChar w:fldCharType="separate"/>
        </w:r>
        <w:r>
          <w:t>II</w:t>
        </w:r>
        <w:r>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55" w:history="1">
        <w:r w:rsidR="008C6128">
          <w:rPr>
            <w:rStyle w:val="affffa"/>
          </w:rPr>
          <w:t>1 范围</w:t>
        </w:r>
        <w:r w:rsidR="008C6128">
          <w:tab/>
        </w:r>
        <w:r w:rsidR="008C6128">
          <w:fldChar w:fldCharType="begin"/>
        </w:r>
        <w:r w:rsidR="008C6128">
          <w:instrText xml:space="preserve"> PAGEREF _Toc72828455 \h </w:instrText>
        </w:r>
        <w:r w:rsidR="008C6128">
          <w:fldChar w:fldCharType="separate"/>
        </w:r>
        <w:r w:rsidR="008C6128">
          <w:t>1</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56" w:history="1">
        <w:r w:rsidR="008C6128">
          <w:rPr>
            <w:rStyle w:val="affffa"/>
          </w:rPr>
          <w:t>2 规范性引用文件</w:t>
        </w:r>
        <w:r w:rsidR="008C6128">
          <w:tab/>
        </w:r>
        <w:r w:rsidR="008C6128">
          <w:fldChar w:fldCharType="begin"/>
        </w:r>
        <w:r w:rsidR="008C6128">
          <w:instrText xml:space="preserve"> PAGEREF _Toc72828456 \h </w:instrText>
        </w:r>
        <w:r w:rsidR="008C6128">
          <w:fldChar w:fldCharType="separate"/>
        </w:r>
        <w:r w:rsidR="008C6128">
          <w:t>1</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57" w:history="1">
        <w:r w:rsidR="008C6128">
          <w:rPr>
            <w:rStyle w:val="affffa"/>
          </w:rPr>
          <w:t>3 术语和定义</w:t>
        </w:r>
        <w:r w:rsidR="008C6128">
          <w:tab/>
        </w:r>
        <w:r w:rsidR="008C6128">
          <w:fldChar w:fldCharType="begin"/>
        </w:r>
        <w:r w:rsidR="008C6128">
          <w:instrText xml:space="preserve"> PAGEREF _Toc72828457 \h </w:instrText>
        </w:r>
        <w:r w:rsidR="008C6128">
          <w:fldChar w:fldCharType="separate"/>
        </w:r>
        <w:r w:rsidR="008C6128">
          <w:t>1</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58" w:history="1">
        <w:r w:rsidR="008C6128">
          <w:rPr>
            <w:rStyle w:val="affffa"/>
          </w:rPr>
          <w:t>4 评估项目人员</w:t>
        </w:r>
        <w:r w:rsidR="008C6128">
          <w:tab/>
        </w:r>
        <w:r w:rsidR="008C6128">
          <w:fldChar w:fldCharType="begin"/>
        </w:r>
        <w:r w:rsidR="008C6128">
          <w:instrText xml:space="preserve"> PAGEREF _Toc72828458 \h </w:instrText>
        </w:r>
        <w:r w:rsidR="008C6128">
          <w:fldChar w:fldCharType="separate"/>
        </w:r>
        <w:r w:rsidR="008C6128">
          <w:t>2</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59" w:history="1">
        <w:r w:rsidR="008C6128">
          <w:rPr>
            <w:rStyle w:val="affffa"/>
          </w:rPr>
          <w:t>5 评估程序和要求</w:t>
        </w:r>
        <w:r w:rsidR="008C6128">
          <w:tab/>
        </w:r>
        <w:r w:rsidR="008C6128">
          <w:fldChar w:fldCharType="begin"/>
        </w:r>
        <w:r w:rsidR="008C6128">
          <w:instrText xml:space="preserve"> PAGEREF _Toc72828459 \h </w:instrText>
        </w:r>
        <w:r w:rsidR="008C6128">
          <w:fldChar w:fldCharType="separate"/>
        </w:r>
        <w:r w:rsidR="008C6128">
          <w:t>2</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0" w:history="1">
        <w:r w:rsidR="008C6128">
          <w:rPr>
            <w:rStyle w:val="affffa"/>
          </w:rPr>
          <w:t>5.1 评估程序</w:t>
        </w:r>
        <w:r w:rsidR="008C6128">
          <w:tab/>
        </w:r>
        <w:r w:rsidR="008C6128">
          <w:fldChar w:fldCharType="begin"/>
        </w:r>
        <w:r w:rsidR="008C6128">
          <w:instrText xml:space="preserve"> PAGEREF _Toc72828460 \h </w:instrText>
        </w:r>
        <w:r w:rsidR="008C6128">
          <w:fldChar w:fldCharType="separate"/>
        </w:r>
        <w:r w:rsidR="008C6128">
          <w:t>2</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1" w:history="1">
        <w:r w:rsidR="008C6128">
          <w:rPr>
            <w:rStyle w:val="affffa"/>
          </w:rPr>
          <w:t>5.2 前期准备</w:t>
        </w:r>
        <w:r w:rsidR="008C6128">
          <w:tab/>
        </w:r>
        <w:r w:rsidR="008C6128">
          <w:fldChar w:fldCharType="begin"/>
        </w:r>
        <w:r w:rsidR="008C6128">
          <w:instrText xml:space="preserve"> PAGEREF _Toc72828461 \h </w:instrText>
        </w:r>
        <w:r w:rsidR="008C6128">
          <w:fldChar w:fldCharType="separate"/>
        </w:r>
        <w:r w:rsidR="008C6128">
          <w:t>2</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2" w:history="1">
        <w:r w:rsidR="008C6128">
          <w:rPr>
            <w:rStyle w:val="affffa"/>
          </w:rPr>
          <w:t>5.3 评估对象概况</w:t>
        </w:r>
        <w:r w:rsidR="008C6128">
          <w:tab/>
        </w:r>
        <w:r w:rsidR="008C6128">
          <w:fldChar w:fldCharType="begin"/>
        </w:r>
        <w:r w:rsidR="008C6128">
          <w:instrText xml:space="preserve"> PAGEREF _Toc72828462 \h </w:instrText>
        </w:r>
        <w:r w:rsidR="008C6128">
          <w:fldChar w:fldCharType="separate"/>
        </w:r>
        <w:r w:rsidR="008C6128">
          <w:t>3</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3" w:history="1">
        <w:r w:rsidR="008C6128">
          <w:rPr>
            <w:rStyle w:val="affffa"/>
          </w:rPr>
          <w:t>5.4 风险辨识</w:t>
        </w:r>
        <w:r w:rsidR="008C6128">
          <w:tab/>
        </w:r>
        <w:r w:rsidR="008C6128">
          <w:fldChar w:fldCharType="begin"/>
        </w:r>
        <w:r w:rsidR="008C6128">
          <w:instrText xml:space="preserve"> PAGEREF _Toc72828463 \h </w:instrText>
        </w:r>
        <w:r w:rsidR="008C6128">
          <w:fldChar w:fldCharType="separate"/>
        </w:r>
        <w:r w:rsidR="008C6128">
          <w:t>3</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4" w:history="1">
        <w:r w:rsidR="008C6128">
          <w:rPr>
            <w:rStyle w:val="affffa"/>
          </w:rPr>
          <w:t>5.5 评估单元划分</w:t>
        </w:r>
        <w:r w:rsidR="008C6128">
          <w:tab/>
        </w:r>
        <w:r w:rsidR="008C6128">
          <w:fldChar w:fldCharType="begin"/>
        </w:r>
        <w:r w:rsidR="008C6128">
          <w:instrText xml:space="preserve"> PAGEREF _Toc72828464 \h </w:instrText>
        </w:r>
        <w:r w:rsidR="008C6128">
          <w:fldChar w:fldCharType="separate"/>
        </w:r>
        <w:r w:rsidR="008C6128">
          <w:t>3</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5" w:history="1">
        <w:r w:rsidR="008C6128">
          <w:rPr>
            <w:rStyle w:val="affffa"/>
          </w:rPr>
          <w:t>5.6 评估方法选择</w:t>
        </w:r>
        <w:r w:rsidR="008C6128">
          <w:tab/>
        </w:r>
        <w:r w:rsidR="008C6128">
          <w:fldChar w:fldCharType="begin"/>
        </w:r>
        <w:r w:rsidR="008C6128">
          <w:instrText xml:space="preserve"> PAGEREF _Toc72828465 \h </w:instrText>
        </w:r>
        <w:r w:rsidR="008C6128">
          <w:fldChar w:fldCharType="separate"/>
        </w:r>
        <w:r w:rsidR="008C6128">
          <w:t>4</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6" w:history="1">
        <w:r w:rsidR="008C6128">
          <w:rPr>
            <w:rStyle w:val="affffa"/>
          </w:rPr>
          <w:t>5.7 定性、定量评估</w:t>
        </w:r>
        <w:r w:rsidR="008C6128">
          <w:tab/>
        </w:r>
        <w:r w:rsidR="008C6128">
          <w:fldChar w:fldCharType="begin"/>
        </w:r>
        <w:r w:rsidR="008C6128">
          <w:instrText xml:space="preserve"> PAGEREF _Toc72828466 \h </w:instrText>
        </w:r>
        <w:r w:rsidR="008C6128">
          <w:fldChar w:fldCharType="separate"/>
        </w:r>
        <w:r w:rsidR="008C6128">
          <w:t>4</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7" w:history="1">
        <w:r w:rsidR="008C6128">
          <w:rPr>
            <w:rStyle w:val="affffa"/>
          </w:rPr>
          <w:t>5.8 对策措施建议</w:t>
        </w:r>
        <w:r w:rsidR="008C6128">
          <w:tab/>
        </w:r>
        <w:r w:rsidR="008C6128">
          <w:fldChar w:fldCharType="begin"/>
        </w:r>
        <w:r w:rsidR="008C6128">
          <w:instrText xml:space="preserve"> PAGEREF _Toc72828467 \h </w:instrText>
        </w:r>
        <w:r w:rsidR="008C6128">
          <w:fldChar w:fldCharType="separate"/>
        </w:r>
        <w:r w:rsidR="008C6128">
          <w:t>5</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8" w:history="1">
        <w:r w:rsidR="008C6128">
          <w:rPr>
            <w:rStyle w:val="affffa"/>
          </w:rPr>
          <w:t>5.9 评估结论</w:t>
        </w:r>
        <w:r w:rsidR="008C6128">
          <w:tab/>
        </w:r>
        <w:r w:rsidR="008C6128">
          <w:fldChar w:fldCharType="begin"/>
        </w:r>
        <w:r w:rsidR="008C6128">
          <w:instrText xml:space="preserve"> PAGEREF _Toc72828468 \h </w:instrText>
        </w:r>
        <w:r w:rsidR="008C6128">
          <w:fldChar w:fldCharType="separate"/>
        </w:r>
        <w:r w:rsidR="008C6128">
          <w:t>5</w:t>
        </w:r>
        <w:r w:rsidR="008C6128">
          <w:fldChar w:fldCharType="end"/>
        </w:r>
      </w:hyperlink>
    </w:p>
    <w:p w:rsidR="00824E17" w:rsidRDefault="00900A5F">
      <w:pPr>
        <w:pStyle w:val="23"/>
        <w:rPr>
          <w:rFonts w:asciiTheme="minorHAnsi" w:eastAsiaTheme="minorEastAsia" w:hAnsiTheme="minorHAnsi" w:cstheme="minorBidi"/>
          <w:szCs w:val="22"/>
        </w:rPr>
      </w:pPr>
      <w:hyperlink w:anchor="_Toc72828469" w:history="1">
        <w:r w:rsidR="008C6128">
          <w:rPr>
            <w:rStyle w:val="affffa"/>
          </w:rPr>
          <w:t>5.10 评估报告编制</w:t>
        </w:r>
        <w:r w:rsidR="008C6128">
          <w:tab/>
        </w:r>
        <w:r w:rsidR="008C6128">
          <w:fldChar w:fldCharType="begin"/>
        </w:r>
        <w:r w:rsidR="008C6128">
          <w:instrText xml:space="preserve"> PAGEREF _Toc72828469 \h </w:instrText>
        </w:r>
        <w:r w:rsidR="008C6128">
          <w:fldChar w:fldCharType="separate"/>
        </w:r>
        <w:r w:rsidR="008C6128">
          <w:t>6</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70" w:history="1">
        <w:r w:rsidR="008C6128">
          <w:rPr>
            <w:rStyle w:val="affffa"/>
            <w:spacing w:val="100"/>
          </w:rPr>
          <w:t>附录A</w:t>
        </w:r>
        <w:r w:rsidR="008C6128">
          <w:rPr>
            <w:rStyle w:val="affffa"/>
          </w:rPr>
          <w:t xml:space="preserve"> （资料性） 城市安全风险评估程序图</w:t>
        </w:r>
        <w:r w:rsidR="008C6128">
          <w:tab/>
        </w:r>
        <w:r w:rsidR="008C6128">
          <w:fldChar w:fldCharType="begin"/>
        </w:r>
        <w:r w:rsidR="008C6128">
          <w:instrText xml:space="preserve"> PAGEREF _Toc72828470 \h </w:instrText>
        </w:r>
        <w:r w:rsidR="008C6128">
          <w:fldChar w:fldCharType="separate"/>
        </w:r>
        <w:r w:rsidR="008C6128">
          <w:t>7</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71" w:history="1">
        <w:r w:rsidR="008C6128">
          <w:rPr>
            <w:rStyle w:val="affffa"/>
            <w:spacing w:val="100"/>
          </w:rPr>
          <w:t>附录B</w:t>
        </w:r>
        <w:r w:rsidR="008C6128">
          <w:rPr>
            <w:rStyle w:val="affffa"/>
          </w:rPr>
          <w:t xml:space="preserve"> （资料性） 安全风险清单格式</w:t>
        </w:r>
        <w:r w:rsidR="008C6128">
          <w:tab/>
        </w:r>
        <w:r w:rsidR="008C6128">
          <w:fldChar w:fldCharType="begin"/>
        </w:r>
        <w:r w:rsidR="008C6128">
          <w:instrText xml:space="preserve"> PAGEREF _Toc72828471 \h </w:instrText>
        </w:r>
        <w:r w:rsidR="008C6128">
          <w:fldChar w:fldCharType="separate"/>
        </w:r>
        <w:r w:rsidR="008C6128">
          <w:t>8</w:t>
        </w:r>
        <w:r w:rsidR="008C6128">
          <w:fldChar w:fldCharType="end"/>
        </w:r>
      </w:hyperlink>
    </w:p>
    <w:p w:rsidR="00824E17" w:rsidRDefault="00900A5F">
      <w:pPr>
        <w:pStyle w:val="10"/>
        <w:tabs>
          <w:tab w:val="right" w:leader="dot" w:pos="9344"/>
        </w:tabs>
        <w:rPr>
          <w:rFonts w:asciiTheme="minorHAnsi" w:eastAsiaTheme="minorEastAsia" w:hAnsiTheme="minorHAnsi" w:cstheme="minorBidi"/>
          <w:szCs w:val="22"/>
        </w:rPr>
      </w:pPr>
      <w:hyperlink w:anchor="_Toc72828472" w:history="1">
        <w:r w:rsidR="008C6128">
          <w:rPr>
            <w:rStyle w:val="affffa"/>
            <w:spacing w:val="100"/>
          </w:rPr>
          <w:t>附录C</w:t>
        </w:r>
        <w:r w:rsidR="008C6128">
          <w:rPr>
            <w:rStyle w:val="affffa"/>
          </w:rPr>
          <w:t xml:space="preserve"> （资料性） 定性、定量评估方法</w:t>
        </w:r>
        <w:r w:rsidR="008C6128">
          <w:tab/>
        </w:r>
        <w:r w:rsidR="008C6128">
          <w:fldChar w:fldCharType="begin"/>
        </w:r>
        <w:r w:rsidR="008C6128">
          <w:instrText xml:space="preserve"> PAGEREF _Toc72828472 \h </w:instrText>
        </w:r>
        <w:r w:rsidR="008C6128">
          <w:fldChar w:fldCharType="separate"/>
        </w:r>
        <w:r w:rsidR="008C6128">
          <w:t>9</w:t>
        </w:r>
        <w:r w:rsidR="008C6128">
          <w:fldChar w:fldCharType="end"/>
        </w:r>
      </w:hyperlink>
    </w:p>
    <w:p w:rsidR="00824E17" w:rsidRDefault="008C6128">
      <w:pPr>
        <w:pStyle w:val="affffff9"/>
        <w:spacing w:after="468"/>
        <w:sectPr w:rsidR="00824E17">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r>
        <w:fldChar w:fldCharType="end"/>
      </w:r>
    </w:p>
    <w:p w:rsidR="00824E17" w:rsidRDefault="008C6128">
      <w:pPr>
        <w:pStyle w:val="a6"/>
        <w:spacing w:after="468"/>
      </w:pPr>
      <w:bookmarkStart w:id="15" w:name="_Toc72828454"/>
      <w:bookmarkStart w:id="16" w:name="_Toc69373703"/>
      <w:bookmarkStart w:id="17" w:name="BookMark2"/>
      <w:bookmarkEnd w:id="12"/>
      <w:r>
        <w:rPr>
          <w:spacing w:val="320"/>
        </w:rPr>
        <w:lastRenderedPageBreak/>
        <w:t>前</w:t>
      </w:r>
      <w:r>
        <w:t>言</w:t>
      </w:r>
      <w:bookmarkEnd w:id="13"/>
      <w:bookmarkEnd w:id="14"/>
      <w:bookmarkEnd w:id="15"/>
      <w:bookmarkEnd w:id="16"/>
    </w:p>
    <w:p w:rsidR="00824E17" w:rsidRDefault="008C6128">
      <w:pPr>
        <w:pStyle w:val="afffff4"/>
        <w:ind w:firstLine="420"/>
      </w:pPr>
      <w:r>
        <w:rPr>
          <w:rFonts w:hint="eastAsia"/>
        </w:rPr>
        <w:t>本文件按照GB/T 1.1—2020《标准化工作导则  第1部分：标准化文件的结构和起草规则》的规定起草。</w:t>
      </w:r>
    </w:p>
    <w:p w:rsidR="00824E17" w:rsidRDefault="008C6128">
      <w:pPr>
        <w:pStyle w:val="afffff4"/>
        <w:ind w:firstLine="420"/>
      </w:pPr>
      <w:r>
        <w:rPr>
          <w:rFonts w:hint="eastAsia"/>
        </w:rPr>
        <w:t>请注意本文件的某些内容可能涉及专利。本文件的发布机构不承担识别专利的责任。</w:t>
      </w:r>
    </w:p>
    <w:p w:rsidR="00824E17" w:rsidRDefault="008C6128">
      <w:pPr>
        <w:pStyle w:val="afffff4"/>
        <w:ind w:firstLine="420"/>
      </w:pPr>
      <w:r>
        <w:rPr>
          <w:rFonts w:hint="eastAsia"/>
        </w:rPr>
        <w:t>本文件由</w:t>
      </w:r>
      <w:r>
        <w:rPr>
          <w:rFonts w:ascii="Times New Roman" w:hint="eastAsia"/>
        </w:rPr>
        <w:t>江苏省应急管理厅</w:t>
      </w:r>
      <w:r>
        <w:rPr>
          <w:rFonts w:hint="eastAsia"/>
        </w:rPr>
        <w:t>提出。</w:t>
      </w:r>
    </w:p>
    <w:p w:rsidR="00824E17" w:rsidRDefault="008C6128">
      <w:pPr>
        <w:pStyle w:val="afffff4"/>
        <w:ind w:firstLine="420"/>
      </w:pPr>
      <w:r>
        <w:rPr>
          <w:rFonts w:hint="eastAsia"/>
        </w:rPr>
        <w:t>本文件由</w:t>
      </w:r>
      <w:r>
        <w:rPr>
          <w:rFonts w:ascii="Times New Roman" w:hint="eastAsia"/>
        </w:rPr>
        <w:t>江苏省安全生产标准化委员会</w:t>
      </w:r>
      <w:r>
        <w:rPr>
          <w:rFonts w:hint="eastAsia"/>
        </w:rPr>
        <w:t>归口。</w:t>
      </w:r>
    </w:p>
    <w:p w:rsidR="00824E17" w:rsidRDefault="008C6128">
      <w:pPr>
        <w:pStyle w:val="afffff4"/>
        <w:ind w:firstLine="420"/>
      </w:pPr>
      <w:r>
        <w:rPr>
          <w:rFonts w:hint="eastAsia"/>
        </w:rPr>
        <w:t>本文件起草单位：江苏国恒安全评价咨询服务有限公司。</w:t>
      </w:r>
    </w:p>
    <w:p w:rsidR="00824E17" w:rsidRDefault="008C6128">
      <w:pPr>
        <w:pStyle w:val="afffff4"/>
        <w:ind w:firstLine="420"/>
      </w:pPr>
      <w:r>
        <w:rPr>
          <w:rFonts w:hint="eastAsia"/>
        </w:rPr>
        <w:t>本文件主要起草人：李桂玲、由锰、尤文辉、严雷、傅先元、史果、戴相禄、于涛、吕兴霞、陆赛杰、金京、李存燕、金杰、魏巍、徐春兰、王振。</w:t>
      </w:r>
    </w:p>
    <w:p w:rsidR="00824E17" w:rsidRDefault="00824E17">
      <w:pPr>
        <w:pStyle w:val="afffff4"/>
        <w:ind w:firstLine="420"/>
      </w:pPr>
    </w:p>
    <w:p w:rsidR="00824E17" w:rsidRDefault="00824E17">
      <w:pPr>
        <w:pStyle w:val="afffff4"/>
        <w:ind w:firstLine="420"/>
        <w:sectPr w:rsidR="00824E17">
          <w:pgSz w:w="11906" w:h="16838"/>
          <w:pgMar w:top="567" w:right="1134" w:bottom="1134" w:left="1134" w:header="1418" w:footer="1134" w:gutter="284"/>
          <w:pgNumType w:fmt="upperRoman"/>
          <w:cols w:space="425"/>
          <w:formProt w:val="0"/>
          <w:docGrid w:type="lines" w:linePitch="312"/>
        </w:sectPr>
      </w:pPr>
    </w:p>
    <w:p w:rsidR="00824E17" w:rsidRDefault="00824E17">
      <w:pPr>
        <w:spacing w:line="20" w:lineRule="exact"/>
        <w:jc w:val="center"/>
        <w:rPr>
          <w:rFonts w:ascii="黑体" w:eastAsia="黑体" w:hAnsi="黑体"/>
          <w:sz w:val="32"/>
          <w:szCs w:val="32"/>
        </w:rPr>
      </w:pPr>
      <w:bookmarkStart w:id="18" w:name="BookMark4"/>
      <w:bookmarkEnd w:id="17"/>
    </w:p>
    <w:p w:rsidR="00824E17" w:rsidRDefault="00824E17">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B7455BDC3C42495C931812EA4F7965E3"/>
        </w:placeholder>
      </w:sdtPr>
      <w:sdtEndPr/>
      <w:sdtContent>
        <w:p w:rsidR="00824E17" w:rsidRDefault="008C6128">
          <w:pPr>
            <w:pStyle w:val="afffffffff7"/>
            <w:spacing w:beforeLines="100" w:before="312" w:afterLines="220" w:after="686"/>
          </w:pPr>
          <w:r>
            <w:rPr>
              <w:rFonts w:hint="eastAsia"/>
            </w:rPr>
            <w:t>城市安全风险评估导则</w:t>
          </w:r>
        </w:p>
      </w:sdtContent>
    </w:sdt>
    <w:p w:rsidR="00824E17" w:rsidRDefault="008C6128">
      <w:pPr>
        <w:pStyle w:val="affe"/>
        <w:spacing w:before="312" w:after="312"/>
      </w:pPr>
      <w:bookmarkStart w:id="20" w:name="_Toc72828455"/>
      <w:bookmarkStart w:id="21" w:name="_Toc26718930"/>
      <w:bookmarkStart w:id="22" w:name="_Toc24884211"/>
      <w:bookmarkStart w:id="23" w:name="_Toc69373604"/>
      <w:bookmarkStart w:id="24" w:name="_Toc26986771"/>
      <w:bookmarkStart w:id="25" w:name="_Toc26986530"/>
      <w:bookmarkStart w:id="26" w:name="_Toc69373704"/>
      <w:bookmarkStart w:id="27" w:name="_Toc17233325"/>
      <w:bookmarkStart w:id="28" w:name="_Toc24884218"/>
      <w:bookmarkStart w:id="29" w:name="_Toc26648465"/>
      <w:bookmarkStart w:id="30" w:name="_Toc69373661"/>
      <w:bookmarkStart w:id="31" w:name="_Toc17233333"/>
      <w:bookmarkEnd w:id="19"/>
      <w:r>
        <w:rPr>
          <w:rFonts w:hint="eastAsia"/>
        </w:rPr>
        <w:t>范围</w:t>
      </w:r>
      <w:bookmarkEnd w:id="20"/>
      <w:bookmarkEnd w:id="21"/>
      <w:bookmarkEnd w:id="22"/>
      <w:bookmarkEnd w:id="23"/>
      <w:bookmarkEnd w:id="24"/>
      <w:bookmarkEnd w:id="25"/>
      <w:bookmarkEnd w:id="26"/>
      <w:bookmarkEnd w:id="27"/>
      <w:bookmarkEnd w:id="28"/>
      <w:bookmarkEnd w:id="29"/>
      <w:bookmarkEnd w:id="30"/>
      <w:bookmarkEnd w:id="31"/>
    </w:p>
    <w:p w:rsidR="00824E17" w:rsidRDefault="008C6128">
      <w:pPr>
        <w:pStyle w:val="afffff4"/>
        <w:ind w:firstLine="420"/>
      </w:pPr>
      <w:bookmarkStart w:id="32" w:name="_Hlk55458486"/>
      <w:bookmarkStart w:id="33" w:name="_Toc17233326"/>
      <w:bookmarkStart w:id="34" w:name="_Toc24884212"/>
      <w:bookmarkStart w:id="35" w:name="_Toc24884219"/>
      <w:bookmarkStart w:id="36" w:name="_Toc17233334"/>
      <w:bookmarkStart w:id="37" w:name="_Toc26648466"/>
      <w:r>
        <w:rPr>
          <w:rFonts w:hint="eastAsia"/>
        </w:rPr>
        <w:t>本文件规定了城市安全风险评估项目人员、</w:t>
      </w:r>
      <w:bookmarkEnd w:id="32"/>
      <w:r>
        <w:rPr>
          <w:rFonts w:hint="eastAsia"/>
        </w:rPr>
        <w:t>评估程序和要求等内容。</w:t>
      </w:r>
    </w:p>
    <w:p w:rsidR="00824E17" w:rsidRDefault="008C6128">
      <w:pPr>
        <w:pStyle w:val="afffff4"/>
        <w:ind w:firstLine="420"/>
      </w:pPr>
      <w:r>
        <w:rPr>
          <w:rFonts w:hint="eastAsia"/>
        </w:rPr>
        <w:t>本文件适用于</w:t>
      </w:r>
      <w:bookmarkStart w:id="38" w:name="_Hlk68706871"/>
      <w:r>
        <w:rPr>
          <w:rFonts w:hint="eastAsia"/>
        </w:rPr>
        <w:t>自然灾害和事故灾难类的城市安全风险</w:t>
      </w:r>
      <w:bookmarkEnd w:id="38"/>
      <w:r>
        <w:rPr>
          <w:rFonts w:hint="eastAsia"/>
        </w:rPr>
        <w:t>评估工作。</w:t>
      </w:r>
    </w:p>
    <w:p w:rsidR="00824E17" w:rsidRDefault="008C6128">
      <w:pPr>
        <w:pStyle w:val="afffff4"/>
        <w:ind w:firstLine="420"/>
        <w:rPr>
          <w:rFonts w:hAnsi="宋体" w:cs="宋体"/>
          <w:sz w:val="24"/>
          <w:szCs w:val="24"/>
        </w:rPr>
      </w:pPr>
      <w:r>
        <w:rPr>
          <w:rFonts w:hint="eastAsia"/>
        </w:rPr>
        <w:t>本文件不适用于公共卫生事件和社会安全事件类的城市风险评估工作</w:t>
      </w:r>
      <w:r>
        <w:rPr>
          <w:rFonts w:hAnsi="宋体" w:cs="宋体" w:hint="eastAsia"/>
          <w:sz w:val="24"/>
          <w:szCs w:val="24"/>
        </w:rPr>
        <w:t>。</w:t>
      </w:r>
    </w:p>
    <w:p w:rsidR="00824E17" w:rsidRDefault="008C6128">
      <w:pPr>
        <w:pStyle w:val="affe"/>
        <w:spacing w:before="312" w:after="312"/>
      </w:pPr>
      <w:bookmarkStart w:id="39" w:name="_Toc26986531"/>
      <w:bookmarkStart w:id="40" w:name="_Toc26986772"/>
      <w:bookmarkStart w:id="41" w:name="_Toc69373705"/>
      <w:bookmarkStart w:id="42" w:name="_Toc69373605"/>
      <w:bookmarkStart w:id="43" w:name="_Toc72828456"/>
      <w:bookmarkStart w:id="44" w:name="_Toc26718931"/>
      <w:bookmarkStart w:id="45" w:name="_Toc69373662"/>
      <w:r>
        <w:rPr>
          <w:rFonts w:hint="eastAsia"/>
        </w:rPr>
        <w:t>规范性引用文件</w:t>
      </w:r>
      <w:bookmarkEnd w:id="33"/>
      <w:bookmarkEnd w:id="34"/>
      <w:bookmarkEnd w:id="35"/>
      <w:bookmarkEnd w:id="36"/>
      <w:bookmarkEnd w:id="37"/>
      <w:bookmarkEnd w:id="39"/>
      <w:bookmarkEnd w:id="40"/>
      <w:bookmarkEnd w:id="41"/>
      <w:bookmarkEnd w:id="42"/>
      <w:bookmarkEnd w:id="43"/>
      <w:bookmarkEnd w:id="44"/>
      <w:bookmarkEnd w:id="45"/>
    </w:p>
    <w:sdt>
      <w:sdtPr>
        <w:rPr>
          <w:rFonts w:hint="eastAsia"/>
        </w:rPr>
        <w:id w:val="715848253"/>
        <w:placeholder>
          <w:docPart w:val="39FC9C26B0CD412099B3A71D6E9534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24E17" w:rsidRDefault="008C6128">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4E17" w:rsidRDefault="008C6128">
      <w:pPr>
        <w:pStyle w:val="afffff4"/>
        <w:ind w:firstLine="420"/>
      </w:pPr>
      <w:bookmarkStart w:id="46" w:name="_Hlk68009812"/>
      <w:bookmarkStart w:id="47" w:name="_Hlk55458521"/>
      <w:r>
        <w:rPr>
          <w:rFonts w:hint="eastAsia"/>
        </w:rPr>
        <w:t>GB 6441  企业职工伤亡事故分类</w:t>
      </w:r>
    </w:p>
    <w:p w:rsidR="00824E17" w:rsidRDefault="008C6128">
      <w:pPr>
        <w:pStyle w:val="afffff4"/>
        <w:ind w:firstLine="420"/>
      </w:pPr>
      <w:r>
        <w:rPr>
          <w:rFonts w:hint="eastAsia"/>
        </w:rPr>
        <w:t>GB 18218  危险化学品重大危险源辨识</w:t>
      </w:r>
    </w:p>
    <w:p w:rsidR="00824E17" w:rsidRDefault="008C6128">
      <w:pPr>
        <w:pStyle w:val="afffff4"/>
        <w:ind w:firstLine="420"/>
      </w:pPr>
      <w:bookmarkStart w:id="48" w:name="_Hlk67992406"/>
      <w:r>
        <w:rPr>
          <w:rFonts w:hint="eastAsia"/>
        </w:rPr>
        <w:t>G</w:t>
      </w:r>
      <w:r>
        <w:t xml:space="preserve">B 21734 </w:t>
      </w:r>
      <w:r>
        <w:rPr>
          <w:rFonts w:hint="eastAsia"/>
        </w:rPr>
        <w:t xml:space="preserve"> 地震应急避难场所场址及配套设施</w:t>
      </w:r>
    </w:p>
    <w:p w:rsidR="00824E17" w:rsidRDefault="008C6128">
      <w:pPr>
        <w:pStyle w:val="afffff4"/>
        <w:ind w:firstLine="420"/>
      </w:pPr>
      <w:r>
        <w:rPr>
          <w:rFonts w:hint="eastAsia"/>
        </w:rPr>
        <w:t>GB</w:t>
      </w:r>
      <w:r>
        <w:t xml:space="preserve">/T 24353  </w:t>
      </w:r>
      <w:r>
        <w:rPr>
          <w:rFonts w:hint="eastAsia"/>
        </w:rPr>
        <w:t xml:space="preserve">风险管理 </w:t>
      </w:r>
      <w:r>
        <w:t xml:space="preserve"> </w:t>
      </w:r>
      <w:r>
        <w:rPr>
          <w:rFonts w:hint="eastAsia"/>
        </w:rPr>
        <w:t>原则与实施指南</w:t>
      </w:r>
    </w:p>
    <w:bookmarkEnd w:id="48"/>
    <w:p w:rsidR="00824E17" w:rsidRDefault="008C6128">
      <w:pPr>
        <w:pStyle w:val="afffff4"/>
        <w:ind w:firstLine="420"/>
      </w:pPr>
      <w:r>
        <w:rPr>
          <w:rFonts w:hint="eastAsia"/>
        </w:rPr>
        <w:t>GB/T 33000  企业安全生产标准化基本规范</w:t>
      </w:r>
    </w:p>
    <w:p w:rsidR="00824E17" w:rsidRDefault="008C6128">
      <w:pPr>
        <w:pStyle w:val="afffff4"/>
        <w:ind w:firstLine="420"/>
      </w:pPr>
      <w:r>
        <w:rPr>
          <w:rFonts w:hint="eastAsia"/>
        </w:rPr>
        <w:t>GB 35181</w:t>
      </w:r>
      <w:bookmarkEnd w:id="46"/>
      <w:r>
        <w:rPr>
          <w:rFonts w:hint="eastAsia"/>
        </w:rPr>
        <w:t xml:space="preserve">  重大火灾隐患判定方法</w:t>
      </w:r>
    </w:p>
    <w:p w:rsidR="00824E17" w:rsidRDefault="008C6128">
      <w:pPr>
        <w:pStyle w:val="afffff4"/>
        <w:ind w:firstLine="420"/>
      </w:pPr>
      <w:r>
        <w:rPr>
          <w:rFonts w:hint="eastAsia"/>
        </w:rPr>
        <w:t>GB 50011  建筑抗震设计规范</w:t>
      </w:r>
    </w:p>
    <w:p w:rsidR="00824E17" w:rsidRDefault="008C6128">
      <w:pPr>
        <w:pStyle w:val="afffff4"/>
        <w:ind w:firstLine="420"/>
      </w:pPr>
      <w:r>
        <w:rPr>
          <w:rFonts w:hint="eastAsia"/>
        </w:rPr>
        <w:t>G</w:t>
      </w:r>
      <w:r>
        <w:t>B 50016</w:t>
      </w:r>
      <w:r>
        <w:rPr>
          <w:rFonts w:hint="eastAsia"/>
        </w:rPr>
        <w:t xml:space="preserve"> </w:t>
      </w:r>
      <w:r>
        <w:t xml:space="preserve"> </w:t>
      </w:r>
      <w:r>
        <w:rPr>
          <w:rFonts w:hint="eastAsia"/>
        </w:rPr>
        <w:t>建筑设计防火规范</w:t>
      </w:r>
    </w:p>
    <w:p w:rsidR="00824E17" w:rsidRDefault="008C6128">
      <w:pPr>
        <w:pStyle w:val="afffff4"/>
        <w:ind w:firstLine="420"/>
      </w:pPr>
      <w:r>
        <w:t>GB 50084</w:t>
      </w:r>
      <w:r>
        <w:rPr>
          <w:rFonts w:hint="eastAsia"/>
        </w:rPr>
        <w:t xml:space="preserve"> </w:t>
      </w:r>
      <w:r>
        <w:t xml:space="preserve"> </w:t>
      </w:r>
      <w:r>
        <w:rPr>
          <w:rFonts w:hint="eastAsia"/>
        </w:rPr>
        <w:t>自动喷水灭火系统设计规范</w:t>
      </w:r>
    </w:p>
    <w:p w:rsidR="00824E17" w:rsidRDefault="008C6128">
      <w:pPr>
        <w:pStyle w:val="afffff4"/>
        <w:ind w:firstLine="420"/>
      </w:pPr>
      <w:r>
        <w:t>GB 50116</w:t>
      </w:r>
      <w:r>
        <w:rPr>
          <w:rFonts w:hint="eastAsia"/>
        </w:rPr>
        <w:t xml:space="preserve">  火灾自动报警系统设计规范</w:t>
      </w:r>
    </w:p>
    <w:p w:rsidR="00824E17" w:rsidRDefault="008C6128">
      <w:pPr>
        <w:pStyle w:val="afffff4"/>
        <w:ind w:firstLine="420"/>
      </w:pPr>
      <w:r>
        <w:rPr>
          <w:rFonts w:hint="eastAsia"/>
        </w:rPr>
        <w:t>G</w:t>
      </w:r>
      <w:r>
        <w:t xml:space="preserve">B 50201 </w:t>
      </w:r>
      <w:r>
        <w:rPr>
          <w:rFonts w:hint="eastAsia"/>
        </w:rPr>
        <w:t xml:space="preserve"> 防洪标准</w:t>
      </w:r>
    </w:p>
    <w:p w:rsidR="00824E17" w:rsidRDefault="008C6128">
      <w:pPr>
        <w:pStyle w:val="afffff4"/>
        <w:ind w:firstLine="420"/>
      </w:pPr>
      <w:r>
        <w:t>GB 50974</w:t>
      </w:r>
      <w:r>
        <w:rPr>
          <w:rFonts w:hint="eastAsia"/>
        </w:rPr>
        <w:t xml:space="preserve"> </w:t>
      </w:r>
      <w:r>
        <w:t xml:space="preserve"> </w:t>
      </w:r>
      <w:r>
        <w:rPr>
          <w:rFonts w:hint="eastAsia"/>
        </w:rPr>
        <w:t>消防给水及消火栓系统技术规范</w:t>
      </w:r>
    </w:p>
    <w:p w:rsidR="00824E17" w:rsidRDefault="008C6128">
      <w:pPr>
        <w:pStyle w:val="afffff4"/>
        <w:ind w:firstLine="420"/>
      </w:pPr>
      <w:r>
        <w:rPr>
          <w:rFonts w:hint="eastAsia"/>
        </w:rPr>
        <w:t>GB 51080  城市消防规划规范</w:t>
      </w:r>
    </w:p>
    <w:p w:rsidR="00824E17" w:rsidRDefault="008C6128">
      <w:pPr>
        <w:pStyle w:val="afffff4"/>
        <w:ind w:firstLine="420"/>
      </w:pPr>
      <w:r>
        <w:t>GB 51251</w:t>
      </w:r>
      <w:r>
        <w:rPr>
          <w:rFonts w:hint="eastAsia"/>
        </w:rPr>
        <w:t xml:space="preserve">  建筑防烟排烟系统技术标准</w:t>
      </w:r>
    </w:p>
    <w:p w:rsidR="00824E17" w:rsidRDefault="008C6128">
      <w:pPr>
        <w:pStyle w:val="afffff4"/>
        <w:ind w:firstLine="420"/>
      </w:pPr>
      <w:r>
        <w:rPr>
          <w:rFonts w:hint="eastAsia"/>
        </w:rPr>
        <w:t xml:space="preserve">AQ 8001 </w:t>
      </w:r>
      <w:r>
        <w:t xml:space="preserve"> </w:t>
      </w:r>
      <w:r>
        <w:rPr>
          <w:rFonts w:hint="eastAsia"/>
        </w:rPr>
        <w:t>安全评价通则</w:t>
      </w:r>
    </w:p>
    <w:p w:rsidR="00824E17" w:rsidRDefault="008C6128">
      <w:pPr>
        <w:pStyle w:val="afffff4"/>
        <w:ind w:firstLine="420"/>
      </w:pPr>
      <w:r>
        <w:rPr>
          <w:rFonts w:hint="eastAsia"/>
        </w:rPr>
        <w:t xml:space="preserve">DB32/T 3849  </w:t>
      </w:r>
      <w:proofErr w:type="gramStart"/>
      <w:r>
        <w:rPr>
          <w:rFonts w:hint="eastAsia"/>
        </w:rPr>
        <w:t>安全发展</w:t>
      </w:r>
      <w:proofErr w:type="gramEnd"/>
      <w:r>
        <w:rPr>
          <w:rFonts w:hint="eastAsia"/>
        </w:rPr>
        <w:t>示范城市创建基本规范</w:t>
      </w:r>
    </w:p>
    <w:p w:rsidR="00824E17" w:rsidRDefault="008C6128">
      <w:pPr>
        <w:pStyle w:val="affe"/>
        <w:spacing w:before="312" w:after="312"/>
      </w:pPr>
      <w:bookmarkStart w:id="49" w:name="_Toc69373706"/>
      <w:bookmarkStart w:id="50" w:name="_Toc72828457"/>
      <w:bookmarkStart w:id="51" w:name="_Toc69373606"/>
      <w:bookmarkStart w:id="52" w:name="_Toc69373663"/>
      <w:bookmarkEnd w:id="47"/>
      <w:r>
        <w:rPr>
          <w:rFonts w:hint="eastAsia"/>
          <w:szCs w:val="21"/>
        </w:rPr>
        <w:t>术语和定义</w:t>
      </w:r>
      <w:bookmarkEnd w:id="49"/>
      <w:bookmarkEnd w:id="50"/>
      <w:bookmarkEnd w:id="51"/>
      <w:bookmarkEnd w:id="52"/>
    </w:p>
    <w:bookmarkStart w:id="53" w:name="_Toc26986532" w:displacedByCustomXml="next"/>
    <w:bookmarkEnd w:id="53" w:displacedByCustomXml="next"/>
    <w:sdt>
      <w:sdtPr>
        <w:id w:val="-1909835108"/>
        <w:placeholder>
          <w:docPart w:val="3C60C8E44A744FE7BBA6ECC1E2C2008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24E17" w:rsidRDefault="008C6128">
          <w:pPr>
            <w:pStyle w:val="afffff4"/>
            <w:ind w:firstLine="420"/>
          </w:pPr>
          <w:r>
            <w:t>下列术语和定义适用于本文件。</w:t>
          </w:r>
        </w:p>
      </w:sdtContent>
    </w:sdt>
    <w:p w:rsidR="00824E17" w:rsidRDefault="008C6128">
      <w:pPr>
        <w:pStyle w:val="afffffffffff3"/>
        <w:ind w:left="420" w:hangingChars="200" w:hanging="420"/>
        <w:rPr>
          <w:rFonts w:ascii="黑体" w:eastAsia="黑体" w:hAnsi="黑体"/>
          <w:szCs w:val="21"/>
        </w:rPr>
      </w:pPr>
      <w:r>
        <w:rPr>
          <w:rFonts w:ascii="黑体" w:eastAsia="黑体" w:hAnsi="黑体"/>
        </w:rPr>
        <w:br/>
      </w:r>
      <w:r>
        <w:rPr>
          <w:rFonts w:ascii="黑体" w:eastAsia="黑体" w:hAnsi="黑体" w:hint="eastAsia"/>
        </w:rPr>
        <w:t>安全</w:t>
      </w:r>
      <w:r>
        <w:rPr>
          <w:rFonts w:ascii="黑体" w:eastAsia="黑体" w:hAnsi="黑体"/>
          <w:szCs w:val="21"/>
        </w:rPr>
        <w:t>风险</w:t>
      </w:r>
      <w:r>
        <w:rPr>
          <w:rFonts w:ascii="黑体" w:eastAsia="黑体" w:hAnsi="黑体" w:hint="eastAsia"/>
          <w:szCs w:val="21"/>
        </w:rPr>
        <w:t xml:space="preserve">  </w:t>
      </w:r>
      <w:r>
        <w:rPr>
          <w:rFonts w:ascii="黑体" w:eastAsia="黑体" w:hAnsi="黑体" w:hint="eastAsia"/>
        </w:rPr>
        <w:t xml:space="preserve">safety </w:t>
      </w:r>
      <w:r>
        <w:rPr>
          <w:rFonts w:ascii="黑体" w:eastAsia="黑体" w:hAnsi="黑体" w:hint="eastAsia"/>
          <w:szCs w:val="21"/>
        </w:rPr>
        <w:t>risk</w:t>
      </w:r>
    </w:p>
    <w:p w:rsidR="00824E17" w:rsidRDefault="008C6128">
      <w:pPr>
        <w:pStyle w:val="afffff4"/>
        <w:ind w:firstLine="420"/>
      </w:pPr>
      <w:r>
        <w:t>某种特定的危险事件（事故或</w:t>
      </w:r>
      <w:r>
        <w:rPr>
          <w:rFonts w:hint="eastAsia"/>
        </w:rPr>
        <w:t>自然灾害</w:t>
      </w:r>
      <w:r>
        <w:t>）发生的可能性与其产生的后果的组合。</w:t>
      </w:r>
    </w:p>
    <w:p w:rsidR="00824E17" w:rsidRDefault="008C6128">
      <w:pPr>
        <w:pStyle w:val="afffffffffff3"/>
        <w:ind w:left="420" w:hangingChars="200" w:hanging="420"/>
        <w:rPr>
          <w:rFonts w:ascii="黑体" w:eastAsia="黑体" w:hAnsi="黑体"/>
        </w:rPr>
      </w:pPr>
      <w:r>
        <w:rPr>
          <w:rFonts w:ascii="黑体" w:eastAsia="黑体" w:hAnsi="黑体"/>
        </w:rPr>
        <w:br/>
        <w:t>风险源</w:t>
      </w:r>
      <w:r>
        <w:rPr>
          <w:rFonts w:ascii="黑体" w:eastAsia="黑体" w:hAnsi="黑体" w:hint="eastAsia"/>
        </w:rPr>
        <w:t xml:space="preserve">  risk source</w:t>
      </w:r>
    </w:p>
    <w:p w:rsidR="00824E17" w:rsidRDefault="008C6128">
      <w:pPr>
        <w:pStyle w:val="afffff4"/>
        <w:ind w:firstLine="420"/>
      </w:pPr>
      <w:r>
        <w:rPr>
          <w:rFonts w:hint="eastAsia"/>
        </w:rPr>
        <w:t>危险源</w:t>
      </w:r>
    </w:p>
    <w:p w:rsidR="00824E17" w:rsidRDefault="008C6128">
      <w:pPr>
        <w:pStyle w:val="afffff4"/>
        <w:ind w:firstLine="420"/>
      </w:pPr>
      <w:r>
        <w:t>可能造成人员伤害或疾病、财产损失、工作环境破坏或这些情况组合的根源或状态</w:t>
      </w:r>
      <w:r>
        <w:rPr>
          <w:rFonts w:hint="eastAsia"/>
        </w:rPr>
        <w:t>。</w:t>
      </w:r>
    </w:p>
    <w:p w:rsidR="00824E17" w:rsidRDefault="00824E17">
      <w:pPr>
        <w:pStyle w:val="afffff4"/>
        <w:ind w:firstLine="420"/>
      </w:pPr>
    </w:p>
    <w:p w:rsidR="00824E17" w:rsidRDefault="008C6128">
      <w:pPr>
        <w:pStyle w:val="afffffffffff3"/>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脆弱性目标  </w:t>
      </w:r>
      <w:r>
        <w:rPr>
          <w:rFonts w:ascii="黑体" w:eastAsia="黑体" w:hAnsi="黑体"/>
        </w:rPr>
        <w:t>vulnerability target</w:t>
      </w:r>
    </w:p>
    <w:p w:rsidR="00824E17" w:rsidRDefault="008C6128">
      <w:pPr>
        <w:pStyle w:val="afffff4"/>
        <w:ind w:firstLine="420"/>
      </w:pPr>
      <w:bookmarkStart w:id="54" w:name="_Toc68706174"/>
      <w:bookmarkStart w:id="55" w:name="_Toc29791"/>
      <w:bookmarkStart w:id="56" w:name="_Toc12896"/>
      <w:bookmarkStart w:id="57" w:name="_Toc16251"/>
      <w:r>
        <w:rPr>
          <w:rFonts w:hint="eastAsia"/>
        </w:rPr>
        <w:t>与重大风险或重大危险源临近，面对自然灾害、事故灾难时，自身存在较易遭受伤害和损失的场所和目标。</w:t>
      </w:r>
    </w:p>
    <w:p w:rsidR="00824E17" w:rsidRDefault="00824E17">
      <w:pPr>
        <w:pStyle w:val="afffff4"/>
        <w:ind w:firstLine="420"/>
      </w:pPr>
    </w:p>
    <w:p w:rsidR="00824E17" w:rsidRDefault="008C6128">
      <w:pPr>
        <w:pStyle w:val="afffffffffff3"/>
        <w:ind w:left="420" w:hangingChars="200" w:hanging="420"/>
        <w:rPr>
          <w:rFonts w:ascii="黑体" w:eastAsia="黑体" w:hAnsi="黑体"/>
        </w:rPr>
      </w:pPr>
      <w:r>
        <w:rPr>
          <w:rFonts w:ascii="黑体" w:eastAsia="黑体" w:hAnsi="黑体"/>
        </w:rPr>
        <w:br/>
      </w:r>
      <w:r>
        <w:rPr>
          <w:rFonts w:ascii="黑体" w:eastAsia="黑体" w:hAnsi="黑体" w:hint="eastAsia"/>
        </w:rPr>
        <w:t>安全风险电子地图  electronic map for safety risk</w:t>
      </w:r>
      <w:bookmarkEnd w:id="54"/>
    </w:p>
    <w:p w:rsidR="00824E17" w:rsidRDefault="008C6128">
      <w:pPr>
        <w:pStyle w:val="afffff4"/>
        <w:ind w:firstLine="420"/>
      </w:pPr>
      <w:r>
        <w:rPr>
          <w:rFonts w:hint="eastAsia"/>
        </w:rPr>
        <w:t>显示安全风险空间分布的数字文件，是城市安全风险（3.1）分级结果、应急资源以及风险管控措施的地图展示。</w:t>
      </w:r>
    </w:p>
    <w:p w:rsidR="00824E17" w:rsidRDefault="008C6128">
      <w:pPr>
        <w:pStyle w:val="affe"/>
        <w:spacing w:before="312" w:after="312"/>
      </w:pPr>
      <w:bookmarkStart w:id="58" w:name="_Toc72828458"/>
      <w:bookmarkStart w:id="59" w:name="_Toc68706175"/>
      <w:bookmarkStart w:id="60" w:name="_Toc69373607"/>
      <w:bookmarkStart w:id="61" w:name="_Toc69373664"/>
      <w:bookmarkStart w:id="62" w:name="_Toc5392"/>
      <w:bookmarkStart w:id="63" w:name="_Toc69373707"/>
      <w:bookmarkEnd w:id="55"/>
      <w:bookmarkEnd w:id="56"/>
      <w:bookmarkEnd w:id="57"/>
      <w:r>
        <w:rPr>
          <w:rFonts w:hint="eastAsia"/>
        </w:rPr>
        <w:t>评估项目人员</w:t>
      </w:r>
      <w:bookmarkEnd w:id="58"/>
      <w:bookmarkEnd w:id="59"/>
      <w:bookmarkEnd w:id="60"/>
      <w:bookmarkEnd w:id="61"/>
      <w:bookmarkEnd w:id="62"/>
      <w:bookmarkEnd w:id="63"/>
    </w:p>
    <w:p w:rsidR="00824E17" w:rsidRDefault="008C6128">
      <w:pPr>
        <w:pStyle w:val="afffff4"/>
        <w:ind w:firstLine="420"/>
      </w:pPr>
      <w:r>
        <w:rPr>
          <w:rFonts w:hint="eastAsia"/>
        </w:rPr>
        <w:t>项目组由组长及相关人员组成，应根据评估对象和评估范围确定成员数量和专业构成，成员数量不宜少于</w:t>
      </w:r>
      <w:r>
        <w:t>10</w:t>
      </w:r>
      <w:r>
        <w:rPr>
          <w:rFonts w:hint="eastAsia"/>
        </w:rPr>
        <w:t>人，专业工作背景及能力宜覆盖安全、机械、交通、土木、化工、电气、信息化、消防、地质、地震、气象、水文等。</w:t>
      </w:r>
    </w:p>
    <w:p w:rsidR="00824E17" w:rsidRDefault="008C6128">
      <w:pPr>
        <w:pStyle w:val="afffff4"/>
        <w:ind w:firstLine="420"/>
      </w:pPr>
      <w:r>
        <w:rPr>
          <w:rFonts w:hint="eastAsia"/>
        </w:rPr>
        <w:t>项目组组长应由具备副高及以上职称的一级安全评价师担任。</w:t>
      </w:r>
    </w:p>
    <w:p w:rsidR="00824E17" w:rsidRDefault="008C6128">
      <w:pPr>
        <w:pStyle w:val="afffff4"/>
        <w:ind w:firstLine="420"/>
      </w:pPr>
      <w:r>
        <w:rPr>
          <w:rFonts w:hint="eastAsia"/>
        </w:rPr>
        <w:t>项目组成员应具有安全评价师或注册安全工程师资格。</w:t>
      </w:r>
    </w:p>
    <w:p w:rsidR="00824E17" w:rsidRDefault="008C6128">
      <w:pPr>
        <w:pStyle w:val="affe"/>
        <w:spacing w:before="312" w:after="312"/>
      </w:pPr>
      <w:bookmarkStart w:id="64" w:name="_Toc47195661"/>
      <w:bookmarkStart w:id="65" w:name="_Toc69373665"/>
      <w:bookmarkStart w:id="66" w:name="_Toc69373708"/>
      <w:bookmarkStart w:id="67" w:name="_Toc59133415"/>
      <w:bookmarkStart w:id="68" w:name="_Toc69373608"/>
      <w:bookmarkStart w:id="69" w:name="_Toc47195683"/>
      <w:bookmarkStart w:id="70" w:name="_Toc68706176"/>
      <w:bookmarkStart w:id="71" w:name="_Toc72828459"/>
      <w:r>
        <w:rPr>
          <w:rFonts w:hint="eastAsia"/>
        </w:rPr>
        <w:t>评估程序</w:t>
      </w:r>
      <w:bookmarkEnd w:id="64"/>
      <w:bookmarkEnd w:id="65"/>
      <w:bookmarkEnd w:id="66"/>
      <w:bookmarkEnd w:id="67"/>
      <w:bookmarkEnd w:id="68"/>
      <w:bookmarkEnd w:id="69"/>
      <w:bookmarkEnd w:id="70"/>
      <w:r>
        <w:rPr>
          <w:rFonts w:hint="eastAsia"/>
        </w:rPr>
        <w:t>和要求</w:t>
      </w:r>
      <w:bookmarkEnd w:id="71"/>
    </w:p>
    <w:p w:rsidR="00824E17" w:rsidRDefault="008C6128">
      <w:pPr>
        <w:pStyle w:val="afff"/>
        <w:spacing w:before="156" w:after="156"/>
        <w:ind w:left="0"/>
      </w:pPr>
      <w:bookmarkStart w:id="72" w:name="_Toc69373709"/>
      <w:bookmarkStart w:id="73" w:name="_Toc72828460"/>
      <w:r>
        <w:rPr>
          <w:rFonts w:hint="eastAsia"/>
        </w:rPr>
        <w:t>评估程序</w:t>
      </w:r>
      <w:bookmarkEnd w:id="72"/>
      <w:bookmarkEnd w:id="73"/>
    </w:p>
    <w:p w:rsidR="00824E17" w:rsidRDefault="008C6128">
      <w:pPr>
        <w:pStyle w:val="afffff4"/>
        <w:ind w:firstLine="420"/>
      </w:pPr>
      <w:r>
        <w:rPr>
          <w:rFonts w:hint="eastAsia"/>
        </w:rPr>
        <w:t>安全风险评估程序包括：前期准备、评估对象概况、风险辨识、评估单元划分、评估方法选择、定性、定量评估、对策措施建议、评估结论、评估报告编制等。</w:t>
      </w:r>
    </w:p>
    <w:p w:rsidR="00824E17" w:rsidRDefault="008C6128">
      <w:pPr>
        <w:pStyle w:val="afffff4"/>
        <w:ind w:firstLine="420"/>
      </w:pPr>
      <w:r>
        <w:rPr>
          <w:rFonts w:hint="eastAsia"/>
        </w:rPr>
        <w:t>安全风险评估程序详见附录A。</w:t>
      </w:r>
    </w:p>
    <w:p w:rsidR="00824E17" w:rsidRDefault="008C6128">
      <w:pPr>
        <w:pStyle w:val="afff"/>
        <w:spacing w:before="156" w:after="156"/>
        <w:ind w:left="0"/>
      </w:pPr>
      <w:bookmarkStart w:id="74" w:name="_Toc69373710"/>
      <w:bookmarkStart w:id="75" w:name="_Toc72828461"/>
      <w:bookmarkStart w:id="76" w:name="_Toc68706178"/>
      <w:r>
        <w:rPr>
          <w:rFonts w:hint="eastAsia"/>
        </w:rPr>
        <w:t>前期准备</w:t>
      </w:r>
      <w:bookmarkEnd w:id="74"/>
      <w:bookmarkEnd w:id="75"/>
      <w:bookmarkEnd w:id="76"/>
    </w:p>
    <w:p w:rsidR="00824E17" w:rsidRDefault="008C6128">
      <w:pPr>
        <w:pStyle w:val="afff0"/>
        <w:spacing w:before="156" w:after="156"/>
      </w:pPr>
      <w:bookmarkStart w:id="77" w:name="_Toc63348045"/>
      <w:bookmarkStart w:id="78" w:name="_Toc63341770"/>
      <w:bookmarkStart w:id="79" w:name="_Toc68706179"/>
      <w:r>
        <w:rPr>
          <w:rFonts w:hint="eastAsia"/>
        </w:rPr>
        <w:t>方案</w:t>
      </w:r>
      <w:bookmarkEnd w:id="77"/>
      <w:bookmarkEnd w:id="78"/>
      <w:bookmarkEnd w:id="79"/>
      <w:r>
        <w:rPr>
          <w:rFonts w:hint="eastAsia"/>
        </w:rPr>
        <w:t>制定</w:t>
      </w:r>
    </w:p>
    <w:p w:rsidR="00824E17" w:rsidRDefault="008C6128">
      <w:pPr>
        <w:pStyle w:val="afffff4"/>
        <w:ind w:firstLine="420"/>
      </w:pPr>
      <w:r>
        <w:rPr>
          <w:rFonts w:hint="eastAsia"/>
        </w:rPr>
        <w:t>评估方案应包括但不限于以下内容：</w:t>
      </w:r>
    </w:p>
    <w:p w:rsidR="00824E17" w:rsidRDefault="008C6128">
      <w:pPr>
        <w:pStyle w:val="af7"/>
      </w:pPr>
      <w:r>
        <w:rPr>
          <w:rFonts w:hint="eastAsia"/>
        </w:rPr>
        <w:t>项目组成员信息及责任分工；</w:t>
      </w:r>
    </w:p>
    <w:p w:rsidR="00824E17" w:rsidRDefault="008C6128">
      <w:pPr>
        <w:pStyle w:val="af7"/>
      </w:pPr>
      <w:r>
        <w:rPr>
          <w:rFonts w:hint="eastAsia"/>
        </w:rPr>
        <w:t>分阶段工作内容、对接单位及时限要求；</w:t>
      </w:r>
    </w:p>
    <w:p w:rsidR="00824E17" w:rsidRDefault="008C6128">
      <w:pPr>
        <w:pStyle w:val="af7"/>
      </w:pPr>
      <w:r>
        <w:rPr>
          <w:rFonts w:hint="eastAsia"/>
        </w:rPr>
        <w:t>基础表格：包括基层政府信息采集表、行业管理部门信息采集表、各类风险源点位风险信息采集表、脆弱性目标信息采集表等；</w:t>
      </w:r>
    </w:p>
    <w:p w:rsidR="00824E17" w:rsidRDefault="008C6128">
      <w:pPr>
        <w:pStyle w:val="af7"/>
      </w:pPr>
      <w:r>
        <w:rPr>
          <w:rFonts w:hint="eastAsia"/>
        </w:rPr>
        <w:t>评估所需其他资料清单；</w:t>
      </w:r>
    </w:p>
    <w:p w:rsidR="00824E17" w:rsidRDefault="008C6128">
      <w:pPr>
        <w:pStyle w:val="af7"/>
      </w:pPr>
      <w:r>
        <w:rPr>
          <w:rFonts w:hint="eastAsia"/>
        </w:rPr>
        <w:t>准备评估需要的工器具，包括地图、定位工具、无人机、勘察检测仪器等；</w:t>
      </w:r>
    </w:p>
    <w:p w:rsidR="00824E17" w:rsidRDefault="008C6128">
      <w:pPr>
        <w:pStyle w:val="af7"/>
      </w:pPr>
      <w:r>
        <w:rPr>
          <w:rFonts w:hint="eastAsia"/>
        </w:rPr>
        <w:t>工作中可能面临的风险及对策措施。</w:t>
      </w:r>
    </w:p>
    <w:p w:rsidR="00824E17" w:rsidRDefault="008C6128">
      <w:pPr>
        <w:pStyle w:val="afff0"/>
        <w:spacing w:before="156" w:after="156"/>
      </w:pPr>
      <w:bookmarkStart w:id="80" w:name="_Toc68706180"/>
      <w:r>
        <w:rPr>
          <w:rFonts w:hint="eastAsia"/>
        </w:rPr>
        <w:t>资料</w:t>
      </w:r>
      <w:bookmarkEnd w:id="80"/>
      <w:r>
        <w:rPr>
          <w:rFonts w:hint="eastAsia"/>
        </w:rPr>
        <w:t>收集</w:t>
      </w:r>
    </w:p>
    <w:p w:rsidR="00824E17" w:rsidRDefault="008C6128">
      <w:pPr>
        <w:pStyle w:val="afffff4"/>
        <w:ind w:firstLine="420"/>
      </w:pPr>
      <w:r>
        <w:rPr>
          <w:rFonts w:hint="eastAsia"/>
        </w:rPr>
        <w:t>项目组应收集与评估有关的基本资料，包括但不限于以下内容：</w:t>
      </w:r>
    </w:p>
    <w:p w:rsidR="00824E17" w:rsidRDefault="008C6128">
      <w:pPr>
        <w:pStyle w:val="af7"/>
        <w:numPr>
          <w:ilvl w:val="0"/>
          <w:numId w:val="33"/>
        </w:numPr>
      </w:pPr>
      <w:r>
        <w:rPr>
          <w:rFonts w:hint="eastAsia"/>
        </w:rPr>
        <w:t>城市总体规划、公共安全相关专项规划、产业发展规划；</w:t>
      </w:r>
    </w:p>
    <w:p w:rsidR="00824E17" w:rsidRDefault="008C6128">
      <w:pPr>
        <w:pStyle w:val="af7"/>
        <w:numPr>
          <w:ilvl w:val="0"/>
          <w:numId w:val="33"/>
        </w:numPr>
      </w:pPr>
      <w:r>
        <w:rPr>
          <w:rFonts w:hint="eastAsia"/>
        </w:rPr>
        <w:t>城市工业、人员密集场所、公共设施等要素分布情况及自然灾害风险现状；</w:t>
      </w:r>
    </w:p>
    <w:p w:rsidR="00824E17" w:rsidRDefault="008C6128">
      <w:pPr>
        <w:pStyle w:val="af7"/>
        <w:numPr>
          <w:ilvl w:val="0"/>
          <w:numId w:val="33"/>
        </w:numPr>
      </w:pPr>
      <w:r>
        <w:rPr>
          <w:rFonts w:hint="eastAsia"/>
        </w:rPr>
        <w:t>城市风险源和脆弱性目标信息；</w:t>
      </w:r>
    </w:p>
    <w:p w:rsidR="00824E17" w:rsidRDefault="008C6128">
      <w:pPr>
        <w:pStyle w:val="af7"/>
      </w:pPr>
      <w:r>
        <w:rPr>
          <w:rFonts w:hint="eastAsia"/>
        </w:rPr>
        <w:t>城市应急救援体系和应急救援队伍现状；</w:t>
      </w:r>
    </w:p>
    <w:p w:rsidR="00824E17" w:rsidRDefault="008C6128">
      <w:pPr>
        <w:pStyle w:val="af7"/>
      </w:pPr>
      <w:r>
        <w:rPr>
          <w:rFonts w:hint="eastAsia"/>
        </w:rPr>
        <w:lastRenderedPageBreak/>
        <w:t>相关灾害事故案例及调查分析资料；</w:t>
      </w:r>
    </w:p>
    <w:p w:rsidR="00824E17" w:rsidRDefault="008C6128">
      <w:pPr>
        <w:pStyle w:val="af7"/>
      </w:pPr>
      <w:r>
        <w:rPr>
          <w:rFonts w:hint="eastAsia"/>
        </w:rPr>
        <w:t>城市安全风险评估有关的法律、法规、规章、文件、标准。</w:t>
      </w:r>
    </w:p>
    <w:p w:rsidR="00824E17" w:rsidRDefault="008C6128">
      <w:pPr>
        <w:pStyle w:val="afff0"/>
        <w:spacing w:before="156" w:after="156"/>
      </w:pPr>
      <w:bookmarkStart w:id="81" w:name="_Toc68706181"/>
      <w:r>
        <w:rPr>
          <w:rFonts w:hint="eastAsia"/>
        </w:rPr>
        <w:t>现场调研</w:t>
      </w:r>
      <w:bookmarkEnd w:id="81"/>
    </w:p>
    <w:p w:rsidR="00824E17" w:rsidRDefault="008C6128">
      <w:pPr>
        <w:pStyle w:val="afffff4"/>
        <w:ind w:firstLine="420"/>
      </w:pPr>
      <w:r>
        <w:rPr>
          <w:rFonts w:hint="eastAsia"/>
        </w:rPr>
        <w:t>项目组对评估对象的地理位置、自然环境、总体布局、建构筑物群和城市规划、生产经营单位、危险性较大的设备设施、大型活动、人员密集场所、学校、医院、社会福利机构、宗教活动场所、旅游景区、高层建筑、地下空间、车站、码头、桥梁、隧道、公共管廊、电力设施、城市排水防涝设施、</w:t>
      </w:r>
      <w:r>
        <w:rPr>
          <w:rFonts w:hint="eastAsia"/>
          <w:kern w:val="21"/>
        </w:rPr>
        <w:t>尾矿库、渣土受纳场</w:t>
      </w:r>
      <w:r>
        <w:rPr>
          <w:rFonts w:hint="eastAsia"/>
        </w:rPr>
        <w:t>等情况进行现场调研，留取作业现场、隐患部位影像资料。</w:t>
      </w:r>
    </w:p>
    <w:p w:rsidR="00824E17" w:rsidRDefault="008C6128">
      <w:pPr>
        <w:pStyle w:val="afffff4"/>
        <w:ind w:firstLine="420"/>
      </w:pPr>
      <w:r>
        <w:rPr>
          <w:rFonts w:hint="eastAsia"/>
        </w:rPr>
        <w:t>对风险较大的工业企业、重点人员密集场所、大型群众性活动、脆弱性目标等开展安全风险评估时，评估人员应重点进行现场调查，可采取口头、书面、召开座谈会等形式，围绕评估内容作深入调研。</w:t>
      </w:r>
    </w:p>
    <w:p w:rsidR="00824E17" w:rsidRDefault="008C6128">
      <w:pPr>
        <w:pStyle w:val="afffff4"/>
        <w:ind w:firstLine="420"/>
      </w:pPr>
      <w:r>
        <w:rPr>
          <w:rFonts w:hint="eastAsia"/>
        </w:rPr>
        <w:t>对于收集到的资料进行分析梳理，存在疑问的资料及可能影响整体风险评估结果的部分应进行现场核实。</w:t>
      </w:r>
    </w:p>
    <w:p w:rsidR="00824E17" w:rsidRDefault="008C6128">
      <w:pPr>
        <w:pStyle w:val="afff"/>
        <w:spacing w:before="156" w:after="156"/>
        <w:ind w:left="0"/>
      </w:pPr>
      <w:bookmarkStart w:id="82" w:name="_Toc72828462"/>
      <w:r>
        <w:rPr>
          <w:rFonts w:hint="eastAsia"/>
        </w:rPr>
        <w:t>评估对象概况</w:t>
      </w:r>
      <w:bookmarkEnd w:id="82"/>
    </w:p>
    <w:p w:rsidR="00824E17" w:rsidRDefault="008C6128">
      <w:pPr>
        <w:pStyle w:val="afffff4"/>
        <w:ind w:firstLine="420"/>
      </w:pPr>
      <w:r>
        <w:rPr>
          <w:rFonts w:hint="eastAsia"/>
        </w:rPr>
        <w:t>评估对象概况包括但不限于以下内容：</w:t>
      </w:r>
    </w:p>
    <w:p w:rsidR="00824E17" w:rsidRDefault="008C6128">
      <w:pPr>
        <w:pStyle w:val="af7"/>
        <w:numPr>
          <w:ilvl w:val="0"/>
          <w:numId w:val="34"/>
        </w:numPr>
      </w:pPr>
      <w:r>
        <w:rPr>
          <w:rFonts w:hint="eastAsia"/>
        </w:rPr>
        <w:t>城市社会经济发展情况及周边交通概况、国民经济发展、周边环境、自然条件、总体布局、功能分区、主导产业、企业基本情况、人员密集场所、地质脆弱区域及设备设施、涉及危险物品、重大危险源分布和风险管控情况、公用基础设施、应急救援、安全管理等概况；</w:t>
      </w:r>
    </w:p>
    <w:p w:rsidR="00824E17" w:rsidRDefault="008C6128">
      <w:pPr>
        <w:pStyle w:val="af7"/>
      </w:pPr>
      <w:r>
        <w:rPr>
          <w:rFonts w:hint="eastAsia"/>
        </w:rPr>
        <w:t>城市功能区划，总体发展规划，产业规划，防灾、应急专项规划概况；</w:t>
      </w:r>
    </w:p>
    <w:p w:rsidR="00824E17" w:rsidRDefault="008C6128">
      <w:pPr>
        <w:pStyle w:val="af7"/>
      </w:pPr>
      <w:r>
        <w:rPr>
          <w:rFonts w:hint="eastAsia"/>
        </w:rPr>
        <w:t>地形地貌、地质、水文、气象、地震烈度等自然条件情况；</w:t>
      </w:r>
    </w:p>
    <w:p w:rsidR="00824E17" w:rsidRDefault="008C6128">
      <w:pPr>
        <w:pStyle w:val="af7"/>
      </w:pPr>
      <w:r>
        <w:rPr>
          <w:rFonts w:hint="eastAsia"/>
        </w:rPr>
        <w:t>主导产业、各类园区（特别是化工园区或化工集中区）、脆弱性目标分布等情况；</w:t>
      </w:r>
    </w:p>
    <w:p w:rsidR="00824E17" w:rsidRDefault="008C6128">
      <w:pPr>
        <w:pStyle w:val="af7"/>
      </w:pPr>
      <w:r>
        <w:rPr>
          <w:rFonts w:hint="eastAsia"/>
        </w:rPr>
        <w:t>电力、给排水、燃气、交通、通讯网络、防洪（涝）、污水处理、垃圾处理、消防、医疗等公用基础设施情况；</w:t>
      </w:r>
    </w:p>
    <w:p w:rsidR="00824E17" w:rsidRDefault="008C6128">
      <w:pPr>
        <w:pStyle w:val="af7"/>
        <w:numPr>
          <w:ilvl w:val="0"/>
          <w:numId w:val="34"/>
        </w:numPr>
      </w:pPr>
      <w:r>
        <w:rPr>
          <w:rFonts w:hint="eastAsia"/>
        </w:rPr>
        <w:t>近年来事故、应急组织机构和工作机制、应急指挥平台建设、应急队伍建设情况、应急物资及装备配备情况、应急资金保障情况、应急预案及演练等城市安全状况。</w:t>
      </w:r>
    </w:p>
    <w:p w:rsidR="00824E17" w:rsidRDefault="008C6128">
      <w:pPr>
        <w:pStyle w:val="afff"/>
        <w:spacing w:before="156" w:after="156"/>
        <w:ind w:left="0"/>
      </w:pPr>
      <w:bookmarkStart w:id="83" w:name="_Toc68706182"/>
      <w:bookmarkStart w:id="84" w:name="_Toc72828463"/>
      <w:bookmarkStart w:id="85" w:name="_Toc69373711"/>
      <w:r>
        <w:rPr>
          <w:rFonts w:hint="eastAsia"/>
        </w:rPr>
        <w:t>风险辨识</w:t>
      </w:r>
      <w:bookmarkEnd w:id="83"/>
      <w:bookmarkEnd w:id="84"/>
      <w:bookmarkEnd w:id="85"/>
    </w:p>
    <w:p w:rsidR="00824E17" w:rsidRDefault="008C6128">
      <w:pPr>
        <w:pStyle w:val="afff0"/>
        <w:spacing w:before="156" w:after="156"/>
      </w:pPr>
      <w:r>
        <w:rPr>
          <w:rFonts w:hint="eastAsia"/>
        </w:rPr>
        <w:t>风险清单编制</w:t>
      </w:r>
    </w:p>
    <w:p w:rsidR="00824E17" w:rsidRDefault="008C6128">
      <w:pPr>
        <w:pStyle w:val="afffff4"/>
        <w:ind w:firstLine="420"/>
      </w:pPr>
      <w:r>
        <w:rPr>
          <w:rFonts w:hint="eastAsia"/>
        </w:rPr>
        <w:t>通过资料和实地调研，分单元或区域列举可能存在的风险，列出风险清单。</w:t>
      </w:r>
    </w:p>
    <w:p w:rsidR="00824E17" w:rsidRDefault="008C6128">
      <w:pPr>
        <w:pStyle w:val="afffff4"/>
        <w:ind w:firstLine="420"/>
      </w:pPr>
      <w:r>
        <w:rPr>
          <w:rFonts w:hint="eastAsia"/>
        </w:rPr>
        <w:t>安全风险清单格式参见附录B。</w:t>
      </w:r>
    </w:p>
    <w:p w:rsidR="00824E17" w:rsidRDefault="008C6128">
      <w:pPr>
        <w:pStyle w:val="afff0"/>
        <w:spacing w:before="156" w:after="156"/>
      </w:pPr>
      <w:r>
        <w:rPr>
          <w:rFonts w:hint="eastAsia"/>
        </w:rPr>
        <w:t>风险筛选</w:t>
      </w:r>
    </w:p>
    <w:p w:rsidR="00824E17" w:rsidRDefault="008C6128">
      <w:pPr>
        <w:pStyle w:val="afffff4"/>
        <w:ind w:firstLine="420"/>
      </w:pPr>
      <w:r>
        <w:t>根据风险评估的目标和范围</w:t>
      </w:r>
      <w:r>
        <w:rPr>
          <w:rFonts w:hint="eastAsia"/>
        </w:rPr>
        <w:t>，</w:t>
      </w:r>
      <w:r>
        <w:t>结合已经确定的风险评估指标</w:t>
      </w:r>
      <w:r>
        <w:rPr>
          <w:rFonts w:hint="eastAsia"/>
        </w:rPr>
        <w:t>，</w:t>
      </w:r>
      <w:r>
        <w:t>筛选风险</w:t>
      </w:r>
      <w:r>
        <w:rPr>
          <w:rFonts w:hint="eastAsia"/>
        </w:rPr>
        <w:t>。</w:t>
      </w:r>
    </w:p>
    <w:p w:rsidR="00824E17" w:rsidRDefault="008C6128">
      <w:pPr>
        <w:pStyle w:val="afff0"/>
        <w:spacing w:before="156" w:after="156"/>
      </w:pPr>
      <w:r>
        <w:rPr>
          <w:rFonts w:hint="eastAsia"/>
        </w:rPr>
        <w:t>风险描述</w:t>
      </w:r>
    </w:p>
    <w:p w:rsidR="00824E17" w:rsidRDefault="008C6128">
      <w:pPr>
        <w:pStyle w:val="afffff4"/>
        <w:ind w:firstLine="420"/>
      </w:pPr>
      <w:r>
        <w:rPr>
          <w:rFonts w:hint="eastAsia"/>
        </w:rPr>
        <w:t>描述每一种风险的类型，发生部位、影响因素、影响形式及潜在的后果，描述风险特征。</w:t>
      </w:r>
    </w:p>
    <w:p w:rsidR="00824E17" w:rsidRDefault="00824E17">
      <w:pPr>
        <w:pStyle w:val="afffff4"/>
        <w:ind w:firstLine="420"/>
      </w:pPr>
    </w:p>
    <w:p w:rsidR="00824E17" w:rsidRDefault="008C6128">
      <w:pPr>
        <w:pStyle w:val="afff"/>
        <w:spacing w:before="156" w:after="156"/>
        <w:ind w:left="0"/>
      </w:pPr>
      <w:bookmarkStart w:id="86" w:name="_Toc72828464"/>
      <w:bookmarkStart w:id="87" w:name="_Toc31128"/>
      <w:bookmarkStart w:id="88" w:name="_Toc68706185"/>
      <w:bookmarkStart w:id="89" w:name="_Toc69373712"/>
      <w:bookmarkStart w:id="90" w:name="_Hlk55457958"/>
      <w:r>
        <w:rPr>
          <w:rFonts w:hint="eastAsia"/>
        </w:rPr>
        <w:t>评估单元划分</w:t>
      </w:r>
      <w:bookmarkEnd w:id="86"/>
      <w:bookmarkEnd w:id="87"/>
      <w:bookmarkEnd w:id="88"/>
      <w:bookmarkEnd w:id="89"/>
    </w:p>
    <w:p w:rsidR="00824E17" w:rsidRDefault="008C6128">
      <w:pPr>
        <w:pStyle w:val="afffff4"/>
        <w:ind w:firstLine="420"/>
      </w:pPr>
      <w:bookmarkStart w:id="91" w:name="_Toc63330751"/>
      <w:bookmarkStart w:id="92" w:name="_Toc63266186"/>
      <w:bookmarkStart w:id="93" w:name="_Toc63338261"/>
      <w:bookmarkStart w:id="94" w:name="_Toc66718910"/>
      <w:bookmarkStart w:id="95" w:name="_Toc63341780"/>
      <w:bookmarkStart w:id="96" w:name="_Toc63348055"/>
      <w:bookmarkStart w:id="97" w:name="_Toc63154406"/>
      <w:bookmarkEnd w:id="90"/>
      <w:bookmarkEnd w:id="91"/>
      <w:bookmarkEnd w:id="92"/>
      <w:bookmarkEnd w:id="93"/>
      <w:bookmarkEnd w:id="94"/>
      <w:bookmarkEnd w:id="95"/>
      <w:bookmarkEnd w:id="96"/>
      <w:bookmarkEnd w:id="97"/>
      <w:r>
        <w:rPr>
          <w:rFonts w:hint="eastAsia"/>
        </w:rPr>
        <w:t>按以下要求划分评估单元：</w:t>
      </w:r>
    </w:p>
    <w:p w:rsidR="00824E17" w:rsidRDefault="008C6128">
      <w:pPr>
        <w:pStyle w:val="af7"/>
        <w:numPr>
          <w:ilvl w:val="0"/>
          <w:numId w:val="35"/>
        </w:numPr>
      </w:pPr>
      <w:r>
        <w:rPr>
          <w:rFonts w:hint="eastAsia"/>
        </w:rPr>
        <w:t>评估单元划分应考虑所评估城市（区域）特点以及风险评估的特点；</w:t>
      </w:r>
    </w:p>
    <w:p w:rsidR="00824E17" w:rsidRDefault="008C6128">
      <w:pPr>
        <w:pStyle w:val="af7"/>
      </w:pPr>
      <w:r>
        <w:rPr>
          <w:rFonts w:hint="eastAsia"/>
        </w:rPr>
        <w:t>划分的评估单元应相对独立，具有明显的特征界限，便于实施评估；</w:t>
      </w:r>
    </w:p>
    <w:p w:rsidR="00824E17" w:rsidRDefault="008C6128">
      <w:pPr>
        <w:pStyle w:val="af7"/>
      </w:pPr>
      <w:r>
        <w:rPr>
          <w:rFonts w:hint="eastAsia"/>
        </w:rPr>
        <w:t>根据辨识出的风险源清单，可按照行政区划、行业领域等情况进行单元划分。</w:t>
      </w:r>
    </w:p>
    <w:p w:rsidR="00824E17" w:rsidRDefault="008C6128">
      <w:pPr>
        <w:pStyle w:val="afff"/>
        <w:spacing w:before="156" w:after="156"/>
        <w:ind w:left="0"/>
      </w:pPr>
      <w:bookmarkStart w:id="98" w:name="_Toc68706187"/>
      <w:bookmarkStart w:id="99" w:name="_Toc72828465"/>
      <w:r>
        <w:rPr>
          <w:rFonts w:hint="eastAsia"/>
        </w:rPr>
        <w:lastRenderedPageBreak/>
        <w:t>评估方法选择</w:t>
      </w:r>
      <w:bookmarkEnd w:id="98"/>
      <w:bookmarkEnd w:id="99"/>
    </w:p>
    <w:p w:rsidR="00824E17" w:rsidRDefault="008C6128">
      <w:pPr>
        <w:pStyle w:val="afffff4"/>
        <w:ind w:firstLine="420"/>
      </w:pPr>
      <w:r>
        <w:rPr>
          <w:rFonts w:hint="eastAsia"/>
        </w:rPr>
        <w:t>评估单位应根据评估对象的难易程度、规模和划分的评估单元，选择、确定评估方法；能进行定量评估的应采用定量评估方法，不能进行定量评估的可选用半定量或定性评估方法。</w:t>
      </w:r>
    </w:p>
    <w:p w:rsidR="00824E17" w:rsidRDefault="008C6128">
      <w:pPr>
        <w:pStyle w:val="afffff4"/>
        <w:ind w:firstLine="420"/>
      </w:pPr>
      <w:r>
        <w:t>应积极拓展现行评</w:t>
      </w:r>
      <w:r>
        <w:rPr>
          <w:rFonts w:hint="eastAsia"/>
        </w:rPr>
        <w:t>估</w:t>
      </w:r>
      <w:r>
        <w:t>方法，根据评</w:t>
      </w:r>
      <w:r>
        <w:rPr>
          <w:rFonts w:hint="eastAsia"/>
        </w:rPr>
        <w:t>估</w:t>
      </w:r>
      <w:r>
        <w:t>工作实际，运用大数据、信息化、三维倾斜摄影等相关的研究成果，开发和改进实用的评</w:t>
      </w:r>
      <w:r>
        <w:rPr>
          <w:rFonts w:hint="eastAsia"/>
        </w:rPr>
        <w:t>估</w:t>
      </w:r>
      <w:r>
        <w:t>技术，以得到更科学、准确</w:t>
      </w:r>
      <w:r>
        <w:rPr>
          <w:rFonts w:hint="eastAsia"/>
        </w:rPr>
        <w:t>、及时</w:t>
      </w:r>
      <w:r>
        <w:t>的评</w:t>
      </w:r>
      <w:r>
        <w:rPr>
          <w:rFonts w:hint="eastAsia"/>
        </w:rPr>
        <w:t>估</w:t>
      </w:r>
      <w:r>
        <w:t>结果，为评</w:t>
      </w:r>
      <w:r>
        <w:rPr>
          <w:rFonts w:hint="eastAsia"/>
        </w:rPr>
        <w:t>估</w:t>
      </w:r>
      <w:r>
        <w:t>工作提供技术支撑。</w:t>
      </w:r>
    </w:p>
    <w:p w:rsidR="00824E17" w:rsidRDefault="008C6128">
      <w:pPr>
        <w:pStyle w:val="afff"/>
        <w:spacing w:before="156" w:after="156"/>
        <w:ind w:left="0"/>
      </w:pPr>
      <w:bookmarkStart w:id="100" w:name="_Toc72828466"/>
      <w:r>
        <w:rPr>
          <w:rFonts w:hint="eastAsia"/>
        </w:rPr>
        <w:t>定性、定量评估</w:t>
      </w:r>
      <w:bookmarkEnd w:id="100"/>
    </w:p>
    <w:p w:rsidR="00824E17" w:rsidRDefault="008C6128">
      <w:pPr>
        <w:pStyle w:val="afff0"/>
        <w:spacing w:before="156" w:after="156"/>
      </w:pPr>
      <w:bookmarkStart w:id="101" w:name="_Toc63330755"/>
      <w:bookmarkStart w:id="102" w:name="_Toc63341784"/>
      <w:bookmarkStart w:id="103" w:name="_Toc63154410"/>
      <w:bookmarkStart w:id="104" w:name="_Toc66718914"/>
      <w:bookmarkStart w:id="105" w:name="_Toc63266190"/>
      <w:bookmarkStart w:id="106" w:name="_Toc63348059"/>
      <w:bookmarkStart w:id="107" w:name="_Toc63338265"/>
      <w:bookmarkStart w:id="108" w:name="_Toc68706189"/>
      <w:bookmarkEnd w:id="101"/>
      <w:bookmarkEnd w:id="102"/>
      <w:bookmarkEnd w:id="103"/>
      <w:bookmarkEnd w:id="104"/>
      <w:bookmarkEnd w:id="105"/>
      <w:bookmarkEnd w:id="106"/>
      <w:bookmarkEnd w:id="107"/>
      <w:r>
        <w:rPr>
          <w:rFonts w:hint="eastAsia"/>
        </w:rPr>
        <w:t>评估要素</w:t>
      </w:r>
      <w:bookmarkEnd w:id="108"/>
    </w:p>
    <w:p w:rsidR="00824E17" w:rsidRDefault="008C6128">
      <w:pPr>
        <w:pStyle w:val="afffff4"/>
        <w:ind w:firstLine="420"/>
      </w:pPr>
      <w:r>
        <w:rPr>
          <w:rFonts w:hint="eastAsia"/>
        </w:rPr>
        <w:t>定性、定量评估的主要要素包括但不限于：</w:t>
      </w:r>
    </w:p>
    <w:p w:rsidR="00824E17" w:rsidRDefault="008C6128">
      <w:pPr>
        <w:pStyle w:val="af7"/>
        <w:numPr>
          <w:ilvl w:val="0"/>
          <w:numId w:val="36"/>
        </w:numPr>
      </w:pPr>
      <w:r>
        <w:rPr>
          <w:rFonts w:hint="eastAsia"/>
        </w:rPr>
        <w:t>审查、确定评估对象各类活动与安全生产法律、法规、标准、行政规章、规范及规划、</w:t>
      </w:r>
      <w:proofErr w:type="gramStart"/>
      <w:r>
        <w:rPr>
          <w:rFonts w:hint="eastAsia"/>
        </w:rPr>
        <w:t>安全发展</w:t>
      </w:r>
      <w:proofErr w:type="gramEnd"/>
      <w:r>
        <w:rPr>
          <w:rFonts w:hint="eastAsia"/>
        </w:rPr>
        <w:t>目标要求的符合性；</w:t>
      </w:r>
    </w:p>
    <w:p w:rsidR="00824E17" w:rsidRDefault="008C6128">
      <w:pPr>
        <w:pStyle w:val="af7"/>
      </w:pPr>
      <w:r>
        <w:rPr>
          <w:rFonts w:hint="eastAsia"/>
        </w:rPr>
        <w:t>辨识被评估对象的主要风险源和主要危险有害因素；</w:t>
      </w:r>
    </w:p>
    <w:p w:rsidR="00824E17" w:rsidRDefault="008C6128">
      <w:pPr>
        <w:pStyle w:val="af7"/>
      </w:pPr>
      <w:r>
        <w:rPr>
          <w:rFonts w:hint="eastAsia"/>
        </w:rPr>
        <w:t>预测发生事故或造成社会影响事件的可能性和危害程度；</w:t>
      </w:r>
    </w:p>
    <w:p w:rsidR="00824E17" w:rsidRDefault="008C6128">
      <w:pPr>
        <w:pStyle w:val="af7"/>
      </w:pPr>
      <w:r>
        <w:rPr>
          <w:rFonts w:hint="eastAsia"/>
        </w:rPr>
        <w:t>对排查出的安全隐患，根据量化的安全状态参数值、整改的优先度进行排序，给出整改提升措施及建议；</w:t>
      </w:r>
    </w:p>
    <w:p w:rsidR="00824E17" w:rsidRDefault="008C6128">
      <w:pPr>
        <w:pStyle w:val="af7"/>
      </w:pPr>
      <w:r>
        <w:rPr>
          <w:rFonts w:hint="eastAsia"/>
        </w:rPr>
        <w:t>提出科学、合理、可行的安全对策措施和建议。</w:t>
      </w:r>
    </w:p>
    <w:p w:rsidR="00824E17" w:rsidRDefault="008C6128">
      <w:pPr>
        <w:pStyle w:val="afff0"/>
        <w:spacing w:before="156" w:after="156"/>
      </w:pPr>
      <w:r>
        <w:rPr>
          <w:rFonts w:hint="eastAsia"/>
        </w:rPr>
        <w:t>评估内容</w:t>
      </w:r>
    </w:p>
    <w:p w:rsidR="00824E17" w:rsidRDefault="008C6128">
      <w:pPr>
        <w:pStyle w:val="afffff4"/>
        <w:ind w:firstLine="420"/>
      </w:pPr>
      <w:r>
        <w:rPr>
          <w:rFonts w:hint="eastAsia"/>
        </w:rPr>
        <w:t>应根据被评估对象的实际情况，按照评估单元划分顺序，根据选定的评估方法（见附录C），详细列出定性、定量分析过程；评估预测主要风险源可能发生事故的部位、发生各类事故的影响范围和可能性，评估风险</w:t>
      </w:r>
      <w:proofErr w:type="gramStart"/>
      <w:r>
        <w:rPr>
          <w:rFonts w:hint="eastAsia"/>
        </w:rPr>
        <w:t>源总体</w:t>
      </w:r>
      <w:proofErr w:type="gramEnd"/>
      <w:r>
        <w:rPr>
          <w:rFonts w:hint="eastAsia"/>
        </w:rPr>
        <w:t>布局、安全管理、应急能力等方面对城市（区域）公共安全的影响；给出相应的分析结果和风险等级。同时，根据评估组人员对所评估城市的调研、辨识、评估情况，提出存在问题和隐患整改要求。</w:t>
      </w:r>
    </w:p>
    <w:p w:rsidR="00824E17" w:rsidRDefault="008C6128">
      <w:pPr>
        <w:pStyle w:val="afffff4"/>
        <w:ind w:firstLine="420"/>
      </w:pPr>
      <w:r>
        <w:rPr>
          <w:rFonts w:hint="eastAsia"/>
        </w:rPr>
        <w:t>鼓励在市政、交通、住建等领域相关部门现有管控平台中导入有关安全的信息，并进行分类梳理，分析评估。</w:t>
      </w:r>
    </w:p>
    <w:p w:rsidR="00824E17" w:rsidRDefault="008C6128">
      <w:pPr>
        <w:pStyle w:val="afffff4"/>
        <w:ind w:firstLine="420"/>
      </w:pPr>
      <w:r>
        <w:rPr>
          <w:rFonts w:hint="eastAsia"/>
        </w:rPr>
        <w:t>在应急资源调查与评估中应按照国家标准或行业标准评估应急资源及应急能力。</w:t>
      </w:r>
    </w:p>
    <w:p w:rsidR="00824E17" w:rsidRDefault="008C6128">
      <w:pPr>
        <w:pStyle w:val="afffff4"/>
        <w:ind w:firstLine="420"/>
      </w:pPr>
      <w:r>
        <w:rPr>
          <w:rFonts w:hint="eastAsia"/>
        </w:rPr>
        <w:t>定性、定量</w:t>
      </w:r>
      <w:r>
        <w:t>评估的内容</w:t>
      </w:r>
      <w:r>
        <w:rPr>
          <w:rFonts w:hint="eastAsia"/>
        </w:rPr>
        <w:t>包括但不限于：</w:t>
      </w:r>
    </w:p>
    <w:p w:rsidR="00824E17" w:rsidRDefault="008C6128">
      <w:pPr>
        <w:pStyle w:val="af7"/>
        <w:numPr>
          <w:ilvl w:val="0"/>
          <w:numId w:val="37"/>
        </w:numPr>
        <w:rPr>
          <w:kern w:val="21"/>
        </w:rPr>
      </w:pPr>
      <w:r>
        <w:rPr>
          <w:rFonts w:hint="eastAsia"/>
          <w:kern w:val="21"/>
        </w:rPr>
        <w:t>辨识城市各类风险源，分析风险</w:t>
      </w:r>
      <w:proofErr w:type="gramStart"/>
      <w:r>
        <w:rPr>
          <w:rFonts w:hint="eastAsia"/>
          <w:kern w:val="21"/>
        </w:rPr>
        <w:t>源造成</w:t>
      </w:r>
      <w:proofErr w:type="gramEnd"/>
      <w:r>
        <w:rPr>
          <w:rFonts w:hint="eastAsia"/>
          <w:kern w:val="21"/>
        </w:rPr>
        <w:t>事故的可能性及影响严重程度，城市的应对措施和应急能力；</w:t>
      </w:r>
    </w:p>
    <w:p w:rsidR="00824E17" w:rsidRDefault="008C6128">
      <w:pPr>
        <w:pStyle w:val="af7"/>
        <w:rPr>
          <w:kern w:val="21"/>
        </w:rPr>
      </w:pPr>
      <w:r>
        <w:rPr>
          <w:rFonts w:hint="eastAsia"/>
          <w:kern w:val="21"/>
        </w:rPr>
        <w:t>分析风险源总体分布与城市发展规划的协调性及可能产生的安全风险；</w:t>
      </w:r>
    </w:p>
    <w:p w:rsidR="00824E17" w:rsidRDefault="008C6128">
      <w:pPr>
        <w:pStyle w:val="af7"/>
        <w:rPr>
          <w:kern w:val="21"/>
        </w:rPr>
      </w:pPr>
      <w:r>
        <w:rPr>
          <w:rFonts w:hint="eastAsia"/>
          <w:kern w:val="21"/>
        </w:rPr>
        <w:t>按照G</w:t>
      </w:r>
      <w:r>
        <w:rPr>
          <w:kern w:val="21"/>
        </w:rPr>
        <w:t>B</w:t>
      </w:r>
      <w:r>
        <w:rPr>
          <w:rFonts w:hint="eastAsia"/>
          <w:kern w:val="21"/>
        </w:rPr>
        <w:t xml:space="preserve"> </w:t>
      </w:r>
      <w:r>
        <w:rPr>
          <w:kern w:val="21"/>
        </w:rPr>
        <w:t>18218</w:t>
      </w:r>
      <w:r>
        <w:rPr>
          <w:rFonts w:hint="eastAsia"/>
          <w:kern w:val="21"/>
        </w:rPr>
        <w:t>的规定辨识危险化学品重大危险源并分级，分析及与周边的相互影响；</w:t>
      </w:r>
    </w:p>
    <w:p w:rsidR="00824E17" w:rsidRDefault="008C6128">
      <w:pPr>
        <w:pStyle w:val="af7"/>
        <w:rPr>
          <w:kern w:val="21"/>
        </w:rPr>
      </w:pPr>
      <w:r>
        <w:rPr>
          <w:rFonts w:hint="eastAsia"/>
          <w:kern w:val="21"/>
        </w:rPr>
        <w:t>对尾矿库、渣土受纳场、建筑施工作业的风险进行分析，对其安全监控系统的有效性进行评估；</w:t>
      </w:r>
    </w:p>
    <w:p w:rsidR="00824E17" w:rsidRDefault="008C6128">
      <w:pPr>
        <w:pStyle w:val="af7"/>
        <w:rPr>
          <w:kern w:val="21"/>
        </w:rPr>
      </w:pPr>
      <w:r>
        <w:rPr>
          <w:rFonts w:hint="eastAsia"/>
          <w:kern w:val="21"/>
        </w:rPr>
        <w:t>分析城市供电、供水、燃气、交通等市政公用设施的抗风险能力，及给城市</w:t>
      </w:r>
      <w:proofErr w:type="gramStart"/>
      <w:r>
        <w:rPr>
          <w:rFonts w:hint="eastAsia"/>
          <w:kern w:val="21"/>
        </w:rPr>
        <w:t>安全发展</w:t>
      </w:r>
      <w:proofErr w:type="gramEnd"/>
      <w:r>
        <w:rPr>
          <w:rFonts w:hint="eastAsia"/>
          <w:kern w:val="21"/>
        </w:rPr>
        <w:t>所带来的风险；</w:t>
      </w:r>
    </w:p>
    <w:p w:rsidR="00824E17" w:rsidRDefault="008C6128">
      <w:pPr>
        <w:pStyle w:val="af7"/>
        <w:rPr>
          <w:kern w:val="21"/>
        </w:rPr>
      </w:pPr>
      <w:r>
        <w:rPr>
          <w:rFonts w:hint="eastAsia"/>
          <w:kern w:val="21"/>
        </w:rPr>
        <w:t>分析城市消防重点单位分布，按照GB 35181的要求判定重大火灾隐患，明确突出的火灾隐患，存在的主要问题；</w:t>
      </w:r>
    </w:p>
    <w:p w:rsidR="00824E17" w:rsidRDefault="008C6128">
      <w:pPr>
        <w:pStyle w:val="af7"/>
        <w:rPr>
          <w:kern w:val="21"/>
        </w:rPr>
      </w:pPr>
      <w:r>
        <w:rPr>
          <w:rFonts w:hint="eastAsia"/>
          <w:kern w:val="21"/>
        </w:rPr>
        <w:t>分析城市在应急能力、应急预案编制、演练、宣传方面存在的问题；</w:t>
      </w:r>
    </w:p>
    <w:p w:rsidR="00824E17" w:rsidRDefault="008C6128">
      <w:pPr>
        <w:pStyle w:val="af7"/>
        <w:rPr>
          <w:kern w:val="21"/>
        </w:rPr>
      </w:pPr>
      <w:r>
        <w:rPr>
          <w:rFonts w:hint="eastAsia"/>
          <w:kern w:val="21"/>
        </w:rPr>
        <w:t>分析城市总体发展规划在地震、地质、气象、洪涝灾害、生化、危险物品、水源地、环境保护、核辐射等方面存在的安全风险和问题。</w:t>
      </w:r>
    </w:p>
    <w:p w:rsidR="00824E17" w:rsidRDefault="008C6128">
      <w:pPr>
        <w:pStyle w:val="afff0"/>
        <w:spacing w:before="156" w:after="156"/>
      </w:pPr>
      <w:bookmarkStart w:id="109" w:name="_Toc68706191"/>
      <w:r>
        <w:rPr>
          <w:rFonts w:hint="eastAsia"/>
        </w:rPr>
        <w:t>评估</w:t>
      </w:r>
      <w:r>
        <w:t>分级</w:t>
      </w:r>
      <w:bookmarkEnd w:id="109"/>
    </w:p>
    <w:p w:rsidR="00824E17" w:rsidRDefault="008C6128">
      <w:pPr>
        <w:pStyle w:val="afffff4"/>
        <w:ind w:firstLine="420"/>
        <w:rPr>
          <w:color w:val="FF0000"/>
        </w:rPr>
      </w:pPr>
      <w:r>
        <w:rPr>
          <w:rFonts w:hint="eastAsia"/>
        </w:rPr>
        <w:lastRenderedPageBreak/>
        <w:t>根据国家关于风险等级的划分原则和城市（区域）经济和社会发展的具体情况，评估单位可参照GB/T 24</w:t>
      </w:r>
      <w:r>
        <w:t>3</w:t>
      </w:r>
      <w:r>
        <w:rPr>
          <w:rFonts w:hint="eastAsia"/>
        </w:rPr>
        <w:t>53确定风险评估（分级）的基本要求、风险等级确定的方法和风险结果判定的标准,通过对风险的定性、定量分析评估，对照分级标准，将辨识出的风险进行分类分级。</w:t>
      </w:r>
    </w:p>
    <w:p w:rsidR="00824E17" w:rsidRDefault="008C6128">
      <w:pPr>
        <w:pStyle w:val="afff0"/>
        <w:spacing w:before="156" w:after="156"/>
      </w:pPr>
      <w:bookmarkStart w:id="110" w:name="_Toc68706192"/>
      <w:bookmarkStart w:id="111" w:name="_Hlk66888647"/>
      <w:r>
        <w:rPr>
          <w:rFonts w:hint="eastAsia"/>
        </w:rPr>
        <w:t>安全</w:t>
      </w:r>
      <w:bookmarkStart w:id="112" w:name="_Hlk59613348"/>
      <w:r>
        <w:rPr>
          <w:rFonts w:hint="eastAsia"/>
        </w:rPr>
        <w:t>风险电子地图绘制</w:t>
      </w:r>
      <w:bookmarkEnd w:id="110"/>
      <w:bookmarkEnd w:id="112"/>
    </w:p>
    <w:p w:rsidR="00824E17" w:rsidRDefault="008C6128">
      <w:pPr>
        <w:pStyle w:val="afffff4"/>
        <w:ind w:firstLine="420"/>
      </w:pPr>
      <w:r>
        <w:rPr>
          <w:rFonts w:hint="eastAsia"/>
        </w:rPr>
        <w:t>安全风险电子地图绘制应符合以下要求：</w:t>
      </w:r>
    </w:p>
    <w:bookmarkEnd w:id="111"/>
    <w:p w:rsidR="00824E17" w:rsidRDefault="008C6128">
      <w:pPr>
        <w:pStyle w:val="af7"/>
        <w:numPr>
          <w:ilvl w:val="0"/>
          <w:numId w:val="38"/>
        </w:numPr>
      </w:pPr>
      <w:r>
        <w:rPr>
          <w:rFonts w:hint="eastAsia"/>
        </w:rPr>
        <w:t>选用近1年内的行政区域的比例不大于1:</w:t>
      </w:r>
      <w:r>
        <w:t>2000</w:t>
      </w:r>
      <w:r>
        <w:rPr>
          <w:rFonts w:hint="eastAsia"/>
        </w:rPr>
        <w:t>的电子地图作为底图；</w:t>
      </w:r>
    </w:p>
    <w:p w:rsidR="00824E17" w:rsidRDefault="008C6128">
      <w:pPr>
        <w:pStyle w:val="af7"/>
      </w:pPr>
      <w:r>
        <w:rPr>
          <w:rFonts w:hint="eastAsia"/>
        </w:rPr>
        <w:t>根据风险评估分级结果，标注所在区域内最高风险值对应的颜色；</w:t>
      </w:r>
    </w:p>
    <w:p w:rsidR="00824E17" w:rsidRDefault="008C6128">
      <w:pPr>
        <w:pStyle w:val="af7"/>
      </w:pPr>
      <w:r>
        <w:rPr>
          <w:rFonts w:hint="eastAsia"/>
        </w:rPr>
        <w:t>在重大风险、较大风险区域展示主要的风险源信息；</w:t>
      </w:r>
    </w:p>
    <w:p w:rsidR="00824E17" w:rsidRDefault="008C6128">
      <w:pPr>
        <w:pStyle w:val="af7"/>
      </w:pPr>
      <w:r>
        <w:rPr>
          <w:rFonts w:hint="eastAsia"/>
        </w:rPr>
        <w:t>标注区域内主要的脆弱性目标；</w:t>
      </w:r>
    </w:p>
    <w:p w:rsidR="00824E17" w:rsidRDefault="008C6128">
      <w:pPr>
        <w:pStyle w:val="af7"/>
      </w:pPr>
      <w:r>
        <w:rPr>
          <w:rFonts w:hint="eastAsia"/>
        </w:rPr>
        <w:t>标注区域内的重大危险</w:t>
      </w:r>
      <w:proofErr w:type="gramStart"/>
      <w:r>
        <w:rPr>
          <w:rFonts w:hint="eastAsia"/>
        </w:rPr>
        <w:t>源信息</w:t>
      </w:r>
      <w:proofErr w:type="gramEnd"/>
      <w:r>
        <w:rPr>
          <w:rFonts w:hint="eastAsia"/>
        </w:rPr>
        <w:t>及其5</w:t>
      </w:r>
      <w:r>
        <w:t>00</w:t>
      </w:r>
      <w:r>
        <w:rPr>
          <w:rFonts w:hint="eastAsia"/>
        </w:rPr>
        <w:t>m范围内的敏感目标及应急救援能力分布信息。</w:t>
      </w:r>
    </w:p>
    <w:p w:rsidR="00824E17" w:rsidRDefault="00824E17">
      <w:pPr>
        <w:pStyle w:val="af7"/>
        <w:numPr>
          <w:ilvl w:val="0"/>
          <w:numId w:val="0"/>
        </w:numPr>
        <w:ind w:left="851" w:hanging="426"/>
      </w:pPr>
    </w:p>
    <w:p w:rsidR="00824E17" w:rsidRDefault="008C6128">
      <w:pPr>
        <w:pStyle w:val="afff"/>
        <w:spacing w:before="156" w:after="156"/>
        <w:ind w:left="0"/>
      </w:pPr>
      <w:bookmarkStart w:id="113" w:name="_Toc72828467"/>
      <w:r>
        <w:rPr>
          <w:rFonts w:hint="eastAsia"/>
        </w:rPr>
        <w:t>对策措施建议</w:t>
      </w:r>
      <w:bookmarkEnd w:id="113"/>
    </w:p>
    <w:p w:rsidR="00824E17" w:rsidRDefault="008C6128">
      <w:pPr>
        <w:pStyle w:val="afffff4"/>
        <w:ind w:firstLine="420"/>
      </w:pPr>
      <w:r>
        <w:rPr>
          <w:rFonts w:hint="eastAsia"/>
        </w:rPr>
        <w:t>根据危险、有害因素辨识与分析结果、现场检查存在问题以及定性、定量分析，列出安全对策措施与建议及其依据、原则。</w:t>
      </w:r>
    </w:p>
    <w:p w:rsidR="00824E17" w:rsidRDefault="008C6128">
      <w:pPr>
        <w:pStyle w:val="afffff4"/>
        <w:ind w:firstLine="420"/>
      </w:pPr>
      <w:r>
        <w:rPr>
          <w:rFonts w:hint="eastAsia"/>
        </w:rPr>
        <w:t>综合城市安全风险及应急能力评估结果，从以下方面提出城市</w:t>
      </w:r>
      <w:proofErr w:type="gramStart"/>
      <w:r>
        <w:rPr>
          <w:rFonts w:hint="eastAsia"/>
        </w:rPr>
        <w:t>安全发展</w:t>
      </w:r>
      <w:proofErr w:type="gramEnd"/>
      <w:r>
        <w:rPr>
          <w:rFonts w:hint="eastAsia"/>
        </w:rPr>
        <w:t>建议：</w:t>
      </w:r>
    </w:p>
    <w:p w:rsidR="00824E17" w:rsidRDefault="008C6128">
      <w:pPr>
        <w:pStyle w:val="af7"/>
        <w:numPr>
          <w:ilvl w:val="0"/>
          <w:numId w:val="39"/>
        </w:numPr>
      </w:pPr>
      <w:r>
        <w:rPr>
          <w:rFonts w:hint="eastAsia"/>
        </w:rPr>
        <w:t>城市风险源优化布局调整、控制措施、监管手段、安全文化建设等管理措施；</w:t>
      </w:r>
    </w:p>
    <w:p w:rsidR="00824E17" w:rsidRDefault="008C6128">
      <w:pPr>
        <w:pStyle w:val="af7"/>
      </w:pPr>
      <w:r>
        <w:rPr>
          <w:rFonts w:hint="eastAsia"/>
        </w:rPr>
        <w:t>城市总体发展规划、功能区划、自然环境保护规划、土地利用总体规划、各园区发展规划、公用基础建设规划、产业发展规划等规划措施与建议，城市发展应该实现以上的“多规合一”，协调发展；</w:t>
      </w:r>
    </w:p>
    <w:p w:rsidR="00824E17" w:rsidRDefault="008C6128">
      <w:pPr>
        <w:pStyle w:val="af7"/>
      </w:pPr>
      <w:r>
        <w:rPr>
          <w:rFonts w:hint="eastAsia"/>
        </w:rPr>
        <w:t>从预防地震、地质、气象、洪涝灾害、生化危害、危险物品布局、水源地和环境保护等方面提出城市应急能力建设和管理措施。抗震措施应符合GB 50011的规定，防洪标准应符合GB 50201的规定，城市消防站建设应符合GB 51080的规定，地震应急避难场所场址及配套设施应符合G</w:t>
      </w:r>
      <w:r>
        <w:t>B 21734</w:t>
      </w:r>
      <w:r>
        <w:rPr>
          <w:rFonts w:hint="eastAsia"/>
        </w:rPr>
        <w:t>的规定，人员密集场所安全出口、疏散通道、火灾自动报警系统和其他消防设施设置等应符合</w:t>
      </w:r>
      <w:r>
        <w:t>GB 50016</w:t>
      </w:r>
      <w:r>
        <w:rPr>
          <w:rFonts w:hint="eastAsia"/>
        </w:rPr>
        <w:t>、</w:t>
      </w:r>
      <w:r>
        <w:t>GB</w:t>
      </w:r>
      <w:r>
        <w:rPr>
          <w:rFonts w:hint="eastAsia"/>
        </w:rPr>
        <w:t xml:space="preserve"> </w:t>
      </w:r>
      <w:r>
        <w:t>50116</w:t>
      </w:r>
      <w:r>
        <w:rPr>
          <w:rFonts w:hint="eastAsia"/>
        </w:rPr>
        <w:t>、</w:t>
      </w:r>
      <w:r>
        <w:t>GB 50084</w:t>
      </w:r>
      <w:r>
        <w:rPr>
          <w:rFonts w:hint="eastAsia"/>
        </w:rPr>
        <w:t>、</w:t>
      </w:r>
      <w:r>
        <w:t>GB 51251</w:t>
      </w:r>
      <w:r>
        <w:rPr>
          <w:rFonts w:hint="eastAsia"/>
        </w:rPr>
        <w:t>、</w:t>
      </w:r>
      <w:r>
        <w:t>GB 50974</w:t>
      </w:r>
      <w:r>
        <w:rPr>
          <w:rFonts w:hint="eastAsia"/>
        </w:rPr>
        <w:t>的要求；</w:t>
      </w:r>
      <w:r>
        <w:t xml:space="preserve"> </w:t>
      </w:r>
    </w:p>
    <w:p w:rsidR="00824E17" w:rsidRDefault="008C6128">
      <w:pPr>
        <w:pStyle w:val="af7"/>
      </w:pPr>
      <w:r>
        <w:rPr>
          <w:rFonts w:hint="eastAsia"/>
        </w:rPr>
        <w:t>明确工业企业的安全主体责任，按照《</w:t>
      </w:r>
      <w:r>
        <w:t>江苏省工业企业安全生产风险报告规定</w:t>
      </w:r>
      <w:r>
        <w:rPr>
          <w:rFonts w:hint="eastAsia"/>
        </w:rPr>
        <w:t>》及《省安委办关于印发&lt;江苏省工业企业较大以上安全生产风险目录（第一批）&gt;的通知》主动进行风险辨识与公告，并按照 GB/T 33000的规定建立安全生产标准化体系并持续改进；</w:t>
      </w:r>
    </w:p>
    <w:p w:rsidR="00824E17" w:rsidRDefault="008C6128">
      <w:pPr>
        <w:pStyle w:val="af7"/>
      </w:pPr>
      <w:r>
        <w:rPr>
          <w:rFonts w:hint="eastAsia"/>
        </w:rPr>
        <w:t>根据辨识评估结果，明确按照DB32/T 3849的要求应重点进行的建设与改进；</w:t>
      </w:r>
    </w:p>
    <w:p w:rsidR="00824E17" w:rsidRDefault="008C6128">
      <w:pPr>
        <w:pStyle w:val="af7"/>
      </w:pPr>
      <w:r>
        <w:rPr>
          <w:rFonts w:hint="eastAsia"/>
        </w:rPr>
        <w:t>其他方面建议。</w:t>
      </w:r>
    </w:p>
    <w:p w:rsidR="00824E17" w:rsidRDefault="00824E17">
      <w:pPr>
        <w:pStyle w:val="afffff4"/>
        <w:ind w:firstLineChars="0" w:firstLine="0"/>
      </w:pPr>
    </w:p>
    <w:p w:rsidR="00824E17" w:rsidRDefault="008C6128">
      <w:pPr>
        <w:pStyle w:val="afff"/>
        <w:spacing w:before="156" w:after="156"/>
        <w:ind w:left="0"/>
      </w:pPr>
      <w:bookmarkStart w:id="114" w:name="_Toc72828468"/>
      <w:r>
        <w:rPr>
          <w:rFonts w:hint="eastAsia"/>
        </w:rPr>
        <w:t>评估结论</w:t>
      </w:r>
      <w:bookmarkEnd w:id="114"/>
    </w:p>
    <w:p w:rsidR="00824E17" w:rsidRDefault="008C6128">
      <w:pPr>
        <w:pStyle w:val="afffff4"/>
        <w:ind w:firstLine="420"/>
      </w:pPr>
      <w:r>
        <w:t>评估结论应包括（但不限于）以下内容：</w:t>
      </w:r>
    </w:p>
    <w:p w:rsidR="00824E17" w:rsidRDefault="008C6128">
      <w:pPr>
        <w:pStyle w:val="af7"/>
        <w:numPr>
          <w:ilvl w:val="0"/>
          <w:numId w:val="40"/>
        </w:numPr>
      </w:pPr>
      <w:r>
        <w:rPr>
          <w:rFonts w:hint="eastAsia"/>
        </w:rPr>
        <w:t>明确城市（区域）存在的风险源，列出重点防控目标；</w:t>
      </w:r>
    </w:p>
    <w:p w:rsidR="00824E17" w:rsidRDefault="008C6128">
      <w:pPr>
        <w:pStyle w:val="af7"/>
      </w:pPr>
      <w:r>
        <w:rPr>
          <w:rFonts w:hint="eastAsia"/>
        </w:rPr>
        <w:t>总结引发各类</w:t>
      </w:r>
      <w:proofErr w:type="gramStart"/>
      <w:r>
        <w:rPr>
          <w:rFonts w:hint="eastAsia"/>
        </w:rPr>
        <w:t>潜在事故</w:t>
      </w:r>
      <w:proofErr w:type="gramEnd"/>
      <w:r>
        <w:rPr>
          <w:rFonts w:hint="eastAsia"/>
        </w:rPr>
        <w:t>的主要危险、有害因素；</w:t>
      </w:r>
    </w:p>
    <w:p w:rsidR="00824E17" w:rsidRDefault="008C6128">
      <w:pPr>
        <w:pStyle w:val="af7"/>
      </w:pPr>
      <w:r>
        <w:rPr>
          <w:rFonts w:hint="eastAsia"/>
        </w:rPr>
        <w:t>确认应对潜在风险的安全对策措施、风险控制措施；</w:t>
      </w:r>
    </w:p>
    <w:p w:rsidR="00824E17" w:rsidRDefault="008C6128">
      <w:pPr>
        <w:pStyle w:val="af7"/>
      </w:pPr>
      <w:r>
        <w:rPr>
          <w:rFonts w:hint="eastAsia"/>
        </w:rPr>
        <w:t>明确城市总体布局、自然环境及人员密集场所的风险源点；</w:t>
      </w:r>
    </w:p>
    <w:p w:rsidR="00824E17" w:rsidRDefault="008C6128">
      <w:pPr>
        <w:pStyle w:val="af7"/>
      </w:pPr>
      <w:r>
        <w:rPr>
          <w:rFonts w:hint="eastAsia"/>
        </w:rPr>
        <w:t>列出评估单元内较大及以上事故发生的可能性及严重程度预测结果；评估各单元典型事故类型的风险承受能力和控制能力；</w:t>
      </w:r>
    </w:p>
    <w:p w:rsidR="00824E17" w:rsidRDefault="008C6128">
      <w:pPr>
        <w:pStyle w:val="af7"/>
      </w:pPr>
      <w:r>
        <w:rPr>
          <w:rFonts w:hint="eastAsia"/>
        </w:rPr>
        <w:t>明确应急救援能力、安全管理状况；</w:t>
      </w:r>
    </w:p>
    <w:p w:rsidR="00824E17" w:rsidRDefault="008C6128">
      <w:pPr>
        <w:pStyle w:val="af7"/>
      </w:pPr>
      <w:r>
        <w:rPr>
          <w:rFonts w:hint="eastAsia"/>
        </w:rPr>
        <w:t>城市/区域存在的安全隐患，确认风险管控的要害、重点；</w:t>
      </w:r>
    </w:p>
    <w:p w:rsidR="00824E17" w:rsidRDefault="008C6128">
      <w:pPr>
        <w:pStyle w:val="af7"/>
      </w:pPr>
      <w:r>
        <w:rPr>
          <w:rFonts w:hint="eastAsia"/>
        </w:rPr>
        <w:lastRenderedPageBreak/>
        <w:t>明确城市/区域的整体风险程度。</w:t>
      </w:r>
    </w:p>
    <w:p w:rsidR="00824E17" w:rsidRDefault="008C6128">
      <w:pPr>
        <w:pStyle w:val="afff"/>
        <w:spacing w:before="156" w:after="156"/>
        <w:ind w:left="0"/>
      </w:pPr>
      <w:bookmarkStart w:id="115" w:name="_Toc72828469"/>
      <w:bookmarkStart w:id="116" w:name="_Toc11782"/>
      <w:bookmarkStart w:id="117" w:name="_Toc68706193"/>
      <w:bookmarkStart w:id="118" w:name="_Toc69373714"/>
      <w:r>
        <w:rPr>
          <w:rFonts w:hint="eastAsia"/>
        </w:rPr>
        <w:t>评估报告编制</w:t>
      </w:r>
      <w:bookmarkStart w:id="119" w:name="_Toc68706194"/>
      <w:bookmarkStart w:id="120" w:name="_Toc63266196"/>
      <w:bookmarkStart w:id="121" w:name="_Toc63154416"/>
      <w:bookmarkStart w:id="122" w:name="_Toc63338271"/>
      <w:bookmarkStart w:id="123" w:name="_Toc66718920"/>
      <w:bookmarkStart w:id="124" w:name="_Toc68011766"/>
      <w:bookmarkStart w:id="125" w:name="_Toc63341790"/>
      <w:bookmarkStart w:id="126" w:name="_Toc63330761"/>
      <w:bookmarkStart w:id="127" w:name="_Toc63348065"/>
      <w:bookmarkEnd w:id="115"/>
      <w:bookmarkEnd w:id="116"/>
      <w:bookmarkEnd w:id="117"/>
      <w:bookmarkEnd w:id="118"/>
      <w:bookmarkEnd w:id="119"/>
      <w:bookmarkEnd w:id="120"/>
      <w:bookmarkEnd w:id="121"/>
      <w:bookmarkEnd w:id="122"/>
      <w:bookmarkEnd w:id="123"/>
      <w:bookmarkEnd w:id="124"/>
      <w:bookmarkEnd w:id="125"/>
      <w:bookmarkEnd w:id="126"/>
      <w:bookmarkEnd w:id="127"/>
    </w:p>
    <w:p w:rsidR="00824E17" w:rsidRDefault="008C6128">
      <w:pPr>
        <w:pStyle w:val="afff0"/>
        <w:spacing w:before="156" w:after="156"/>
      </w:pPr>
      <w:r>
        <w:rPr>
          <w:rFonts w:hint="eastAsia"/>
        </w:rPr>
        <w:t>评估报告总体要求</w:t>
      </w:r>
    </w:p>
    <w:p w:rsidR="00824E17" w:rsidRDefault="008C6128">
      <w:pPr>
        <w:pStyle w:val="affffffffffff"/>
      </w:pPr>
      <w:r>
        <w:rPr>
          <w:rFonts w:hint="eastAsia"/>
        </w:rPr>
        <w:t>报告文字应简洁、准确，评估过程科学、规范，评估结论清楚、明确。</w:t>
      </w:r>
    </w:p>
    <w:p w:rsidR="00824E17" w:rsidRDefault="008C6128">
      <w:pPr>
        <w:pStyle w:val="afff0"/>
        <w:spacing w:before="156" w:after="156"/>
      </w:pPr>
      <w:r>
        <w:rPr>
          <w:rFonts w:hint="eastAsia"/>
        </w:rPr>
        <w:t>评估报告主要内容</w:t>
      </w:r>
    </w:p>
    <w:p w:rsidR="00824E17" w:rsidRDefault="008C6128">
      <w:pPr>
        <w:pStyle w:val="affffffffffff"/>
      </w:pPr>
      <w:r>
        <w:rPr>
          <w:rFonts w:hint="eastAsia"/>
        </w:rPr>
        <w:t>主要内容如下：</w:t>
      </w:r>
    </w:p>
    <w:p w:rsidR="00824E17" w:rsidRDefault="008C6128">
      <w:pPr>
        <w:pStyle w:val="affffffffffff"/>
      </w:pPr>
      <w:r>
        <w:rPr>
          <w:rFonts w:hint="eastAsia"/>
        </w:rPr>
        <w:t>a) 概述，包含评估目的、评估范围及评估依据；</w:t>
      </w:r>
    </w:p>
    <w:p w:rsidR="00824E17" w:rsidRDefault="008C6128">
      <w:pPr>
        <w:pStyle w:val="affffffffffff"/>
      </w:pPr>
      <w:r>
        <w:rPr>
          <w:rFonts w:hint="eastAsia"/>
        </w:rPr>
        <w:t>b) 城市概况；</w:t>
      </w:r>
    </w:p>
    <w:p w:rsidR="00824E17" w:rsidRDefault="008C6128">
      <w:pPr>
        <w:pStyle w:val="affffffffffff"/>
      </w:pPr>
      <w:r>
        <w:rPr>
          <w:rFonts w:hint="eastAsia"/>
        </w:rPr>
        <w:t>c) 主要危险有害因素分析结果汇总；</w:t>
      </w:r>
    </w:p>
    <w:p w:rsidR="00824E17" w:rsidRDefault="008C6128">
      <w:pPr>
        <w:pStyle w:val="affffffffffff"/>
      </w:pPr>
      <w:r>
        <w:rPr>
          <w:rFonts w:hint="eastAsia"/>
        </w:rPr>
        <w:t>d) 采用的评估方法和单元划分；</w:t>
      </w:r>
    </w:p>
    <w:p w:rsidR="00824E17" w:rsidRDefault="008C6128">
      <w:pPr>
        <w:pStyle w:val="affffffffffff"/>
      </w:pPr>
      <w:r>
        <w:rPr>
          <w:rFonts w:hint="eastAsia"/>
        </w:rPr>
        <w:t>e) 定性和定量评估；</w:t>
      </w:r>
    </w:p>
    <w:p w:rsidR="00824E17" w:rsidRDefault="008C6128">
      <w:pPr>
        <w:pStyle w:val="affffffffffff"/>
      </w:pPr>
      <w:r>
        <w:rPr>
          <w:rFonts w:hint="eastAsia"/>
        </w:rPr>
        <w:t>f) 评估结果汇总；</w:t>
      </w:r>
    </w:p>
    <w:p w:rsidR="00824E17" w:rsidRDefault="008C6128">
      <w:pPr>
        <w:pStyle w:val="affffffffffff"/>
      </w:pPr>
      <w:r>
        <w:rPr>
          <w:rFonts w:hint="eastAsia"/>
        </w:rPr>
        <w:t>g) 对策措施与建议；</w:t>
      </w:r>
    </w:p>
    <w:p w:rsidR="00824E17" w:rsidRDefault="008C6128">
      <w:pPr>
        <w:pStyle w:val="affffffffffff"/>
      </w:pPr>
      <w:r>
        <w:rPr>
          <w:rFonts w:hint="eastAsia"/>
        </w:rPr>
        <w:t>h) 安全评估结论。</w:t>
      </w:r>
    </w:p>
    <w:p w:rsidR="00824E17" w:rsidRDefault="008C6128">
      <w:pPr>
        <w:pStyle w:val="afff0"/>
        <w:spacing w:before="156" w:after="156"/>
      </w:pPr>
      <w:r>
        <w:rPr>
          <w:rFonts w:hint="eastAsia"/>
        </w:rPr>
        <w:t>评估报告附件</w:t>
      </w:r>
    </w:p>
    <w:p w:rsidR="00824E17" w:rsidRDefault="008C6128">
      <w:pPr>
        <w:pStyle w:val="affffffffffff"/>
      </w:pPr>
      <w:r>
        <w:rPr>
          <w:rFonts w:hint="eastAsia"/>
        </w:rPr>
        <w:t>主要内容如下：</w:t>
      </w:r>
    </w:p>
    <w:p w:rsidR="00824E17" w:rsidRDefault="008C6128">
      <w:pPr>
        <w:pStyle w:val="affffffffffff"/>
      </w:pPr>
      <w:r>
        <w:rPr>
          <w:rFonts w:hint="eastAsia"/>
        </w:rPr>
        <w:t>a) 事故类型的分析识别过程；</w:t>
      </w:r>
    </w:p>
    <w:p w:rsidR="00824E17" w:rsidRDefault="008C6128">
      <w:pPr>
        <w:pStyle w:val="affffffffffff"/>
      </w:pPr>
      <w:r>
        <w:rPr>
          <w:rFonts w:hint="eastAsia"/>
        </w:rPr>
        <w:t>b) 定性、定量分析过程；</w:t>
      </w:r>
    </w:p>
    <w:p w:rsidR="00824E17" w:rsidRDefault="008C6128">
      <w:pPr>
        <w:pStyle w:val="affffffffffff"/>
      </w:pPr>
      <w:r>
        <w:rPr>
          <w:rFonts w:hint="eastAsia"/>
        </w:rPr>
        <w:t>c) 对可能发生的事故后果影响范围的预测过程；</w:t>
      </w:r>
    </w:p>
    <w:p w:rsidR="00824E17" w:rsidRDefault="008C6128">
      <w:pPr>
        <w:pStyle w:val="affffffffffff"/>
      </w:pPr>
      <w:r>
        <w:rPr>
          <w:rFonts w:hint="eastAsia"/>
        </w:rPr>
        <w:t>d) 城市整体性安全风险分析；</w:t>
      </w:r>
    </w:p>
    <w:p w:rsidR="00824E17" w:rsidRDefault="008C6128">
      <w:pPr>
        <w:pStyle w:val="affffffffffff"/>
      </w:pPr>
      <w:r>
        <w:rPr>
          <w:rFonts w:hint="eastAsia"/>
        </w:rPr>
        <w:t>e) 城市规划图、平面布置图、事故后果范围图以及其他不宜放置在正文中的其他图表；</w:t>
      </w:r>
    </w:p>
    <w:p w:rsidR="00824E17" w:rsidRDefault="008C6128">
      <w:pPr>
        <w:pStyle w:val="affffffffffff"/>
      </w:pPr>
      <w:r>
        <w:rPr>
          <w:rFonts w:hint="eastAsia"/>
        </w:rPr>
        <w:t>f) 评估方法的确定说明和评估方法简介；</w:t>
      </w:r>
    </w:p>
    <w:p w:rsidR="00824E17" w:rsidRDefault="008C6128">
      <w:pPr>
        <w:pStyle w:val="affffffffffff"/>
      </w:pPr>
      <w:r>
        <w:rPr>
          <w:rFonts w:hint="eastAsia"/>
        </w:rPr>
        <w:t>g) 被评估城市提供的原始资料目录或复制件。</w:t>
      </w:r>
    </w:p>
    <w:p w:rsidR="00824E17" w:rsidRDefault="008C6128">
      <w:pPr>
        <w:pStyle w:val="afff0"/>
        <w:spacing w:before="156" w:after="156"/>
      </w:pPr>
      <w:r>
        <w:rPr>
          <w:rFonts w:hint="eastAsia"/>
        </w:rPr>
        <w:t>评估报告格式</w:t>
      </w:r>
    </w:p>
    <w:p w:rsidR="00824E17" w:rsidRDefault="008C6128">
      <w:pPr>
        <w:pStyle w:val="affffffffffff"/>
      </w:pPr>
      <w:r>
        <w:rPr>
          <w:rFonts w:hint="eastAsia"/>
        </w:rPr>
        <w:t>安全评估报告的格式应符合AQ 8001中规定的要求。</w:t>
      </w:r>
    </w:p>
    <w:p w:rsidR="00824E17" w:rsidRDefault="008C6128">
      <w:pPr>
        <w:pStyle w:val="afff0"/>
        <w:spacing w:before="156" w:after="156"/>
      </w:pPr>
      <w:r>
        <w:rPr>
          <w:rFonts w:hint="eastAsia"/>
        </w:rPr>
        <w:t>修订与更新</w:t>
      </w:r>
    </w:p>
    <w:p w:rsidR="00824E17" w:rsidRDefault="008C6128">
      <w:pPr>
        <w:pStyle w:val="afffff4"/>
        <w:ind w:firstLine="420"/>
      </w:pPr>
      <w:r>
        <w:rPr>
          <w:rFonts w:hint="eastAsia"/>
        </w:rPr>
        <w:t>定期对城市安全风险评估报告进行补充和修订，可根据城市管理要求和城市经济社会发展的实际情况，建议每年进行评估修订和补充。也可根据城市总体发展规划修编情况进行评估、修订。</w:t>
      </w:r>
    </w:p>
    <w:p w:rsidR="00824E17" w:rsidRDefault="008C6128">
      <w:pPr>
        <w:pStyle w:val="afffff4"/>
        <w:ind w:firstLine="420"/>
      </w:pPr>
      <w:r>
        <w:rPr>
          <w:rFonts w:hint="eastAsia"/>
        </w:rPr>
        <w:t>城市风险状况发生重大改变或每隔</w:t>
      </w:r>
      <w:r>
        <w:t>3</w:t>
      </w:r>
      <w:r>
        <w:rPr>
          <w:rFonts w:hint="eastAsia"/>
        </w:rPr>
        <w:t>年宜重新进行安全风险评估。</w:t>
      </w:r>
    </w:p>
    <w:p w:rsidR="00824E17" w:rsidRDefault="00824E17">
      <w:pPr>
        <w:pStyle w:val="afffff4"/>
        <w:ind w:firstLine="420"/>
        <w:sectPr w:rsidR="00824E17">
          <w:pgSz w:w="11906" w:h="16838"/>
          <w:pgMar w:top="567" w:right="1134" w:bottom="1134" w:left="1134" w:header="1418" w:footer="1134" w:gutter="284"/>
          <w:pgNumType w:start="1"/>
          <w:cols w:space="425"/>
          <w:formProt w:val="0"/>
          <w:docGrid w:type="lines" w:linePitch="312"/>
        </w:sectPr>
      </w:pPr>
    </w:p>
    <w:p w:rsidR="00824E17" w:rsidRDefault="00824E17">
      <w:pPr>
        <w:pStyle w:val="afa"/>
        <w:rPr>
          <w:vanish w:val="0"/>
        </w:rPr>
      </w:pPr>
      <w:bookmarkStart w:id="128" w:name="BookMark5"/>
      <w:bookmarkEnd w:id="18"/>
    </w:p>
    <w:p w:rsidR="00824E17" w:rsidRDefault="00824E17">
      <w:pPr>
        <w:pStyle w:val="aff0"/>
        <w:rPr>
          <w:vanish w:val="0"/>
        </w:rPr>
      </w:pPr>
    </w:p>
    <w:p w:rsidR="00824E17" w:rsidRDefault="008C6128">
      <w:pPr>
        <w:pStyle w:val="aff5"/>
        <w:spacing w:before="78" w:after="156"/>
      </w:pPr>
      <w:r>
        <w:br/>
      </w:r>
      <w:bookmarkStart w:id="129" w:name="_Toc69373609"/>
      <w:bookmarkStart w:id="130" w:name="_Toc69373715"/>
      <w:bookmarkStart w:id="131" w:name="_Toc69373666"/>
      <w:bookmarkStart w:id="132" w:name="_Toc72828470"/>
      <w:r>
        <w:rPr>
          <w:rFonts w:hint="eastAsia"/>
        </w:rPr>
        <w:t>（资料性）</w:t>
      </w:r>
      <w:r>
        <w:br/>
      </w:r>
      <w:r>
        <w:rPr>
          <w:rFonts w:hint="eastAsia"/>
        </w:rPr>
        <w:t>城市安全风险评估程序</w:t>
      </w:r>
      <w:bookmarkEnd w:id="129"/>
      <w:bookmarkEnd w:id="130"/>
      <w:bookmarkEnd w:id="131"/>
      <w:r>
        <w:rPr>
          <w:rFonts w:hint="eastAsia"/>
        </w:rPr>
        <w:t>图</w:t>
      </w:r>
      <w:bookmarkEnd w:id="132"/>
    </w:p>
    <w:p w:rsidR="00824E17" w:rsidRDefault="008C6128">
      <w:pPr>
        <w:pStyle w:val="afffff4"/>
        <w:ind w:firstLine="420"/>
      </w:pPr>
      <w:r>
        <w:rPr>
          <w:rFonts w:hint="eastAsia"/>
        </w:rPr>
        <w:t>城市安全风险评估程序见图A</w:t>
      </w:r>
      <w:r>
        <w:t>.1</w:t>
      </w:r>
      <w:r>
        <w:rPr>
          <w:rFonts w:hint="eastAsia"/>
        </w:rPr>
        <w:t>。</w:t>
      </w:r>
    </w:p>
    <w:p w:rsidR="00824E17" w:rsidRDefault="00824E17">
      <w:pPr>
        <w:pStyle w:val="afffff4"/>
        <w:ind w:firstLine="420"/>
      </w:pPr>
    </w:p>
    <w:bookmarkStart w:id="133" w:name="_MON_1679982679"/>
    <w:bookmarkStart w:id="134" w:name="_1677502816"/>
    <w:bookmarkEnd w:id="133"/>
    <w:bookmarkEnd w:id="134"/>
    <w:p w:rsidR="00824E17" w:rsidRDefault="008C6128">
      <w:pPr>
        <w:pStyle w:val="afffff4"/>
        <w:ind w:firstLine="420"/>
      </w:pPr>
      <w:r>
        <w:object w:dxaOrig="8001" w:dyaOrig="9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489pt" o:ole="">
            <v:imagedata r:id="rId19" o:title=""/>
          </v:shape>
          <o:OLEObject Type="Embed" ProgID="Word.Document.12" ShapeID="_x0000_i1025" DrawAspect="Content" ObjectID="_1700979668" r:id="rId20"/>
        </w:object>
      </w:r>
    </w:p>
    <w:p w:rsidR="00824E17" w:rsidRDefault="008C6128">
      <w:pPr>
        <w:pStyle w:val="afb"/>
        <w:spacing w:before="156" w:after="156"/>
        <w:sectPr w:rsidR="00824E17">
          <w:pgSz w:w="11906" w:h="16838"/>
          <w:pgMar w:top="567" w:right="1134" w:bottom="1134" w:left="1134" w:header="1418" w:footer="1134" w:gutter="284"/>
          <w:cols w:space="425"/>
          <w:formProt w:val="0"/>
          <w:docGrid w:type="lines" w:linePitch="312"/>
        </w:sectPr>
      </w:pPr>
      <w:r>
        <w:rPr>
          <w:rFonts w:hint="eastAsia"/>
        </w:rPr>
        <w:t>城市安全风险评估程序图</w:t>
      </w:r>
    </w:p>
    <w:p w:rsidR="00824E17" w:rsidRDefault="00824E17">
      <w:pPr>
        <w:pStyle w:val="afa"/>
        <w:rPr>
          <w:vanish w:val="0"/>
        </w:rPr>
      </w:pPr>
    </w:p>
    <w:p w:rsidR="00824E17" w:rsidRDefault="00824E17">
      <w:pPr>
        <w:pStyle w:val="aff0"/>
        <w:rPr>
          <w:vanish w:val="0"/>
        </w:rPr>
      </w:pPr>
    </w:p>
    <w:p w:rsidR="00824E17" w:rsidRDefault="008C6128">
      <w:pPr>
        <w:pStyle w:val="aff5"/>
        <w:spacing w:before="78" w:after="156"/>
      </w:pPr>
      <w:r>
        <w:br/>
      </w:r>
      <w:bookmarkStart w:id="135" w:name="_Toc69373610"/>
      <w:bookmarkStart w:id="136" w:name="_Toc72828471"/>
      <w:bookmarkStart w:id="137" w:name="_Toc69373667"/>
      <w:bookmarkStart w:id="138" w:name="_Toc69373716"/>
      <w:r>
        <w:rPr>
          <w:rFonts w:hint="eastAsia"/>
        </w:rPr>
        <w:t>（资料性）</w:t>
      </w:r>
      <w:r>
        <w:br/>
      </w:r>
      <w:r>
        <w:rPr>
          <w:rFonts w:hint="eastAsia"/>
        </w:rPr>
        <w:t>安全风险清单格式</w:t>
      </w:r>
      <w:bookmarkEnd w:id="135"/>
      <w:bookmarkEnd w:id="136"/>
      <w:bookmarkEnd w:id="137"/>
      <w:bookmarkEnd w:id="138"/>
    </w:p>
    <w:p w:rsidR="00824E17" w:rsidRDefault="008C6128">
      <w:pPr>
        <w:pStyle w:val="afffff4"/>
        <w:ind w:firstLine="420"/>
      </w:pPr>
      <w:r>
        <w:rPr>
          <w:rFonts w:hint="eastAsia"/>
        </w:rPr>
        <w:t>表B.1给出了XX行业（区域）安全风险源清单的格式。</w:t>
      </w:r>
    </w:p>
    <w:p w:rsidR="00824E17" w:rsidRDefault="008C6128">
      <w:pPr>
        <w:pStyle w:val="aff1"/>
        <w:spacing w:before="156" w:after="156"/>
      </w:pPr>
      <w:r>
        <w:rPr>
          <w:rFonts w:hint="eastAsia"/>
        </w:rPr>
        <w:t>XX行业（区域）安全风险源清单</w:t>
      </w:r>
    </w:p>
    <w:tbl>
      <w:tblPr>
        <w:tblStyle w:val="affff6"/>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8"/>
        <w:gridCol w:w="849"/>
        <w:gridCol w:w="851"/>
        <w:gridCol w:w="994"/>
        <w:gridCol w:w="849"/>
        <w:gridCol w:w="851"/>
        <w:gridCol w:w="992"/>
        <w:gridCol w:w="853"/>
        <w:gridCol w:w="1271"/>
        <w:gridCol w:w="851"/>
        <w:gridCol w:w="435"/>
      </w:tblGrid>
      <w:tr w:rsidR="00824E17">
        <w:trPr>
          <w:tblHeader/>
          <w:jc w:val="center"/>
        </w:trPr>
        <w:tc>
          <w:tcPr>
            <w:tcW w:w="308" w:type="pct"/>
            <w:tcBorders>
              <w:top w:val="single" w:sz="8" w:space="0" w:color="auto"/>
              <w:bottom w:val="single" w:sz="8" w:space="0" w:color="auto"/>
            </w:tcBorders>
            <w:shd w:val="clear" w:color="auto" w:fill="auto"/>
            <w:vAlign w:val="center"/>
          </w:tcPr>
          <w:p w:rsidR="00824E17" w:rsidRDefault="008C6128">
            <w:pPr>
              <w:pStyle w:val="afffffffff8"/>
            </w:pPr>
            <w:r>
              <w:rPr>
                <w:rFonts w:hint="eastAsia"/>
              </w:rPr>
              <w:t>序号</w:t>
            </w:r>
          </w:p>
        </w:tc>
        <w:tc>
          <w:tcPr>
            <w:tcW w:w="453"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场所/区域</w:t>
            </w:r>
          </w:p>
        </w:tc>
        <w:tc>
          <w:tcPr>
            <w:tcW w:w="454"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实际地址</w:t>
            </w:r>
          </w:p>
        </w:tc>
        <w:tc>
          <w:tcPr>
            <w:tcW w:w="530"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安全风险源</w:t>
            </w:r>
          </w:p>
        </w:tc>
        <w:tc>
          <w:tcPr>
            <w:tcW w:w="453"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诱发因素</w:t>
            </w:r>
          </w:p>
        </w:tc>
        <w:tc>
          <w:tcPr>
            <w:tcW w:w="454"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风险类型</w:t>
            </w:r>
          </w:p>
        </w:tc>
        <w:tc>
          <w:tcPr>
            <w:tcW w:w="529"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风险源部位</w:t>
            </w:r>
          </w:p>
        </w:tc>
        <w:tc>
          <w:tcPr>
            <w:tcW w:w="455"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可能造成的后果</w:t>
            </w:r>
          </w:p>
        </w:tc>
        <w:tc>
          <w:tcPr>
            <w:tcW w:w="678"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现有安全措施（管理措施/技术措施）</w:t>
            </w:r>
          </w:p>
        </w:tc>
        <w:tc>
          <w:tcPr>
            <w:tcW w:w="454"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szCs w:val="21"/>
              </w:rPr>
              <w:t>风险等级</w:t>
            </w:r>
          </w:p>
        </w:tc>
        <w:tc>
          <w:tcPr>
            <w:tcW w:w="232"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备注</w:t>
            </w:r>
          </w:p>
        </w:tc>
      </w:tr>
      <w:tr w:rsidR="00824E17">
        <w:trPr>
          <w:jc w:val="center"/>
        </w:trPr>
        <w:tc>
          <w:tcPr>
            <w:tcW w:w="308" w:type="pct"/>
            <w:tcBorders>
              <w:top w:val="single" w:sz="8" w:space="0" w:color="auto"/>
              <w:bottom w:val="single" w:sz="8" w:space="0" w:color="auto"/>
            </w:tcBorders>
            <w:shd w:val="clear" w:color="auto" w:fill="auto"/>
            <w:vAlign w:val="center"/>
          </w:tcPr>
          <w:p w:rsidR="00824E17" w:rsidRDefault="008C6128">
            <w:pPr>
              <w:pStyle w:val="afffffffff8"/>
            </w:pPr>
            <w:r>
              <w:rPr>
                <w:rFonts w:hint="eastAsia"/>
              </w:rPr>
              <w:t>1</w:t>
            </w:r>
          </w:p>
        </w:tc>
        <w:tc>
          <w:tcPr>
            <w:tcW w:w="453" w:type="pct"/>
            <w:tcBorders>
              <w:top w:val="single" w:sz="8" w:space="0" w:color="auto"/>
              <w:bottom w:val="single" w:sz="8" w:space="0" w:color="auto"/>
            </w:tcBorders>
            <w:shd w:val="clear" w:color="auto" w:fill="auto"/>
            <w:vAlign w:val="center"/>
          </w:tcPr>
          <w:p w:rsidR="00824E17" w:rsidRDefault="00824E17">
            <w:pPr>
              <w:pStyle w:val="afffffffff8"/>
            </w:pPr>
          </w:p>
        </w:tc>
        <w:tc>
          <w:tcPr>
            <w:tcW w:w="454" w:type="pct"/>
            <w:tcBorders>
              <w:top w:val="single" w:sz="8" w:space="0" w:color="auto"/>
              <w:bottom w:val="single" w:sz="8" w:space="0" w:color="auto"/>
            </w:tcBorders>
            <w:shd w:val="clear" w:color="auto" w:fill="auto"/>
            <w:vAlign w:val="center"/>
          </w:tcPr>
          <w:p w:rsidR="00824E17" w:rsidRDefault="008C6128">
            <w:pPr>
              <w:pStyle w:val="afffffffff8"/>
            </w:pPr>
            <w:r>
              <w:rPr>
                <w:rFonts w:hAnsi="宋体" w:hint="eastAsia"/>
                <w:szCs w:val="21"/>
              </w:rPr>
              <w:t>XX区XX街道XX</w:t>
            </w:r>
            <w:r>
              <w:rPr>
                <w:rFonts w:hAnsi="宋体"/>
                <w:szCs w:val="21"/>
              </w:rPr>
              <w:t>号</w:t>
            </w:r>
          </w:p>
        </w:tc>
        <w:tc>
          <w:tcPr>
            <w:tcW w:w="530" w:type="pct"/>
            <w:tcBorders>
              <w:top w:val="single" w:sz="8" w:space="0" w:color="auto"/>
              <w:bottom w:val="single" w:sz="8" w:space="0" w:color="auto"/>
            </w:tcBorders>
            <w:shd w:val="clear" w:color="auto" w:fill="auto"/>
            <w:vAlign w:val="center"/>
          </w:tcPr>
          <w:p w:rsidR="00824E17" w:rsidRDefault="00824E17">
            <w:pPr>
              <w:pStyle w:val="afffffffff8"/>
            </w:pPr>
          </w:p>
        </w:tc>
        <w:tc>
          <w:tcPr>
            <w:tcW w:w="453" w:type="pct"/>
            <w:tcBorders>
              <w:top w:val="single" w:sz="8" w:space="0" w:color="auto"/>
              <w:bottom w:val="single" w:sz="8" w:space="0" w:color="auto"/>
            </w:tcBorders>
            <w:shd w:val="clear" w:color="auto" w:fill="auto"/>
            <w:vAlign w:val="center"/>
          </w:tcPr>
          <w:p w:rsidR="00824E17" w:rsidRDefault="00824E17">
            <w:pPr>
              <w:pStyle w:val="afffffffff8"/>
            </w:pPr>
          </w:p>
        </w:tc>
        <w:tc>
          <w:tcPr>
            <w:tcW w:w="454" w:type="pct"/>
            <w:tcBorders>
              <w:top w:val="single" w:sz="8" w:space="0" w:color="auto"/>
              <w:bottom w:val="single" w:sz="8" w:space="0" w:color="auto"/>
            </w:tcBorders>
            <w:shd w:val="clear" w:color="auto" w:fill="auto"/>
            <w:vAlign w:val="center"/>
          </w:tcPr>
          <w:p w:rsidR="00824E17" w:rsidRDefault="00824E17">
            <w:pPr>
              <w:pStyle w:val="afffffffff8"/>
            </w:pPr>
          </w:p>
        </w:tc>
        <w:tc>
          <w:tcPr>
            <w:tcW w:w="529" w:type="pct"/>
            <w:tcBorders>
              <w:top w:val="single" w:sz="8" w:space="0" w:color="auto"/>
              <w:bottom w:val="single" w:sz="8" w:space="0" w:color="auto"/>
            </w:tcBorders>
            <w:shd w:val="clear" w:color="auto" w:fill="auto"/>
            <w:vAlign w:val="center"/>
          </w:tcPr>
          <w:p w:rsidR="00824E17" w:rsidRDefault="00824E17">
            <w:pPr>
              <w:pStyle w:val="afffffffff8"/>
            </w:pPr>
          </w:p>
        </w:tc>
        <w:tc>
          <w:tcPr>
            <w:tcW w:w="455" w:type="pct"/>
            <w:tcBorders>
              <w:top w:val="single" w:sz="8" w:space="0" w:color="auto"/>
              <w:bottom w:val="single" w:sz="8" w:space="0" w:color="auto"/>
            </w:tcBorders>
            <w:shd w:val="clear" w:color="auto" w:fill="auto"/>
            <w:vAlign w:val="center"/>
          </w:tcPr>
          <w:p w:rsidR="00824E17" w:rsidRDefault="00824E17">
            <w:pPr>
              <w:pStyle w:val="afffffffff8"/>
            </w:pPr>
          </w:p>
        </w:tc>
        <w:tc>
          <w:tcPr>
            <w:tcW w:w="678" w:type="pct"/>
            <w:tcBorders>
              <w:top w:val="single" w:sz="8" w:space="0" w:color="auto"/>
              <w:bottom w:val="single" w:sz="8" w:space="0" w:color="auto"/>
            </w:tcBorders>
            <w:shd w:val="clear" w:color="auto" w:fill="auto"/>
            <w:vAlign w:val="center"/>
          </w:tcPr>
          <w:p w:rsidR="00824E17" w:rsidRDefault="00824E17">
            <w:pPr>
              <w:pStyle w:val="afffffffff8"/>
            </w:pPr>
          </w:p>
        </w:tc>
        <w:tc>
          <w:tcPr>
            <w:tcW w:w="454" w:type="pct"/>
            <w:tcBorders>
              <w:top w:val="single" w:sz="8" w:space="0" w:color="auto"/>
              <w:bottom w:val="single" w:sz="8" w:space="0" w:color="auto"/>
            </w:tcBorders>
            <w:shd w:val="clear" w:color="auto" w:fill="auto"/>
            <w:vAlign w:val="center"/>
          </w:tcPr>
          <w:p w:rsidR="00824E17" w:rsidRDefault="00824E17">
            <w:pPr>
              <w:pStyle w:val="afffffffff8"/>
            </w:pPr>
          </w:p>
        </w:tc>
        <w:tc>
          <w:tcPr>
            <w:tcW w:w="232" w:type="pct"/>
            <w:tcBorders>
              <w:top w:val="single" w:sz="8" w:space="0" w:color="auto"/>
              <w:bottom w:val="single" w:sz="8" w:space="0" w:color="auto"/>
            </w:tcBorders>
            <w:shd w:val="clear" w:color="auto" w:fill="auto"/>
            <w:vAlign w:val="center"/>
          </w:tcPr>
          <w:p w:rsidR="00824E17" w:rsidRDefault="00824E17">
            <w:pPr>
              <w:pStyle w:val="afffffffff8"/>
            </w:pPr>
          </w:p>
        </w:tc>
      </w:tr>
      <w:tr w:rsidR="00824E17">
        <w:trPr>
          <w:jc w:val="center"/>
        </w:trPr>
        <w:tc>
          <w:tcPr>
            <w:tcW w:w="5000" w:type="pct"/>
            <w:gridSpan w:val="11"/>
            <w:tcBorders>
              <w:top w:val="single" w:sz="8" w:space="0" w:color="auto"/>
              <w:bottom w:val="single" w:sz="8" w:space="0" w:color="auto"/>
            </w:tcBorders>
            <w:shd w:val="clear" w:color="auto" w:fill="auto"/>
            <w:vAlign w:val="center"/>
          </w:tcPr>
          <w:p w:rsidR="00824E17" w:rsidRDefault="008C6128">
            <w:pPr>
              <w:pStyle w:val="afff4"/>
            </w:pPr>
            <w:r>
              <w:rPr>
                <w:rFonts w:hint="eastAsia"/>
              </w:rPr>
              <w:t>风险类型按照</w:t>
            </w:r>
            <w:bookmarkStart w:id="139" w:name="_Hlk69386548"/>
            <w:r>
              <w:rPr>
                <w:rFonts w:hint="eastAsia"/>
              </w:rPr>
              <w:t>GB 6441</w:t>
            </w:r>
            <w:bookmarkEnd w:id="139"/>
            <w:r>
              <w:rPr>
                <w:rFonts w:hint="eastAsia"/>
              </w:rPr>
              <w:t>的规定划分。</w:t>
            </w:r>
          </w:p>
        </w:tc>
      </w:tr>
    </w:tbl>
    <w:p w:rsidR="00824E17" w:rsidRDefault="00824E17">
      <w:pPr>
        <w:pStyle w:val="afffff4"/>
        <w:ind w:firstLine="420"/>
      </w:pPr>
    </w:p>
    <w:p w:rsidR="00824E17" w:rsidRDefault="00824E17">
      <w:pPr>
        <w:pStyle w:val="afffff4"/>
        <w:ind w:firstLine="420"/>
      </w:pPr>
    </w:p>
    <w:p w:rsidR="00824E17" w:rsidRDefault="00824E17">
      <w:pPr>
        <w:pStyle w:val="afffff4"/>
        <w:ind w:firstLine="420"/>
        <w:sectPr w:rsidR="00824E17">
          <w:pgSz w:w="11906" w:h="16838"/>
          <w:pgMar w:top="567" w:right="1134" w:bottom="1134" w:left="1134" w:header="1418" w:footer="1134" w:gutter="284"/>
          <w:cols w:space="425"/>
          <w:formProt w:val="0"/>
          <w:docGrid w:type="lines" w:linePitch="312"/>
        </w:sectPr>
      </w:pPr>
    </w:p>
    <w:p w:rsidR="00824E17" w:rsidRDefault="00824E17">
      <w:pPr>
        <w:pStyle w:val="afa"/>
        <w:rPr>
          <w:vanish w:val="0"/>
        </w:rPr>
      </w:pPr>
    </w:p>
    <w:p w:rsidR="00824E17" w:rsidRDefault="00824E17">
      <w:pPr>
        <w:pStyle w:val="aff0"/>
        <w:rPr>
          <w:vanish w:val="0"/>
        </w:rPr>
      </w:pPr>
    </w:p>
    <w:p w:rsidR="00824E17" w:rsidRDefault="008C6128">
      <w:pPr>
        <w:pStyle w:val="aff5"/>
        <w:spacing w:before="78" w:after="156"/>
      </w:pPr>
      <w:r>
        <w:br/>
      </w:r>
      <w:bookmarkStart w:id="140" w:name="_Toc72828472"/>
      <w:bookmarkStart w:id="141" w:name="_Toc69373611"/>
      <w:bookmarkStart w:id="142" w:name="_Toc69373717"/>
      <w:bookmarkStart w:id="143" w:name="_Toc69373668"/>
      <w:r>
        <w:rPr>
          <w:rFonts w:hint="eastAsia"/>
        </w:rPr>
        <w:t>（资料性）</w:t>
      </w:r>
      <w:r>
        <w:br/>
      </w:r>
      <w:r>
        <w:rPr>
          <w:rFonts w:hint="eastAsia"/>
        </w:rPr>
        <w:t>定性、定量评估方法</w:t>
      </w:r>
      <w:bookmarkEnd w:id="140"/>
      <w:bookmarkEnd w:id="141"/>
      <w:bookmarkEnd w:id="142"/>
      <w:bookmarkEnd w:id="143"/>
    </w:p>
    <w:p w:rsidR="00824E17" w:rsidRDefault="008C6128">
      <w:pPr>
        <w:pStyle w:val="afffff4"/>
        <w:ind w:firstLine="420"/>
      </w:pPr>
      <w:r>
        <w:rPr>
          <w:rFonts w:hint="eastAsia"/>
        </w:rPr>
        <w:t>定性、定量评估方法包括但不限于：</w:t>
      </w:r>
    </w:p>
    <w:p w:rsidR="00824E17" w:rsidRDefault="008C6128">
      <w:pPr>
        <w:pStyle w:val="af7"/>
        <w:numPr>
          <w:ilvl w:val="0"/>
          <w:numId w:val="41"/>
        </w:numPr>
      </w:pPr>
      <w:r>
        <w:rPr>
          <w:rFonts w:hint="eastAsia"/>
        </w:rPr>
        <w:t>风险矩阵分析法（LS）</w:t>
      </w:r>
      <w:r>
        <w:t>；</w:t>
      </w:r>
    </w:p>
    <w:p w:rsidR="00824E17" w:rsidRDefault="008C6128">
      <w:pPr>
        <w:pStyle w:val="af7"/>
      </w:pPr>
      <w:r>
        <w:rPr>
          <w:rFonts w:hint="eastAsia"/>
        </w:rPr>
        <w:t>作业条件危险性分析法（LEC）</w:t>
      </w:r>
      <w:r>
        <w:t>；</w:t>
      </w:r>
    </w:p>
    <w:p w:rsidR="00824E17" w:rsidRDefault="008C6128">
      <w:pPr>
        <w:pStyle w:val="af7"/>
      </w:pPr>
      <w:r>
        <w:rPr>
          <w:rFonts w:hint="eastAsia"/>
        </w:rPr>
        <w:t>风险程度分析法（MES）；</w:t>
      </w:r>
    </w:p>
    <w:p w:rsidR="00824E17" w:rsidRDefault="008C6128">
      <w:pPr>
        <w:pStyle w:val="af7"/>
      </w:pPr>
      <w:r>
        <w:rPr>
          <w:rFonts w:hint="eastAsia"/>
        </w:rPr>
        <w:t>故障树、事件树</w:t>
      </w:r>
      <w:r>
        <w:t>；</w:t>
      </w:r>
    </w:p>
    <w:p w:rsidR="00824E17" w:rsidRDefault="008C6128">
      <w:pPr>
        <w:pStyle w:val="af7"/>
      </w:pPr>
      <w:r>
        <w:t>QRA</w:t>
      </w:r>
      <w:r>
        <w:rPr>
          <w:rFonts w:hint="eastAsia"/>
        </w:rPr>
        <w:t>定量评价</w:t>
      </w:r>
      <w:r>
        <w:t>；</w:t>
      </w:r>
    </w:p>
    <w:p w:rsidR="00824E17" w:rsidRDefault="008C6128">
      <w:pPr>
        <w:pStyle w:val="af7"/>
      </w:pPr>
      <w:r>
        <w:rPr>
          <w:rFonts w:hint="eastAsia"/>
        </w:rPr>
        <w:t>安全一体化水平评价方法</w:t>
      </w:r>
      <w:r>
        <w:t>；</w:t>
      </w:r>
    </w:p>
    <w:p w:rsidR="00824E17" w:rsidRDefault="008C6128">
      <w:pPr>
        <w:pStyle w:val="af7"/>
      </w:pPr>
      <w:r>
        <w:rPr>
          <w:rFonts w:hint="eastAsia"/>
        </w:rPr>
        <w:t>事故后果灾害评价</w:t>
      </w:r>
      <w:r>
        <w:t>；</w:t>
      </w:r>
    </w:p>
    <w:p w:rsidR="00824E17" w:rsidRDefault="008C6128">
      <w:pPr>
        <w:pStyle w:val="af7"/>
      </w:pPr>
      <w:r>
        <w:rPr>
          <w:rFonts w:hint="eastAsia"/>
        </w:rPr>
        <w:t>危险</w:t>
      </w:r>
      <w:proofErr w:type="gramStart"/>
      <w:r>
        <w:rPr>
          <w:rFonts w:hint="eastAsia"/>
        </w:rPr>
        <w:t>度分析</w:t>
      </w:r>
      <w:proofErr w:type="gramEnd"/>
      <w:r>
        <w:rPr>
          <w:rFonts w:hint="eastAsia"/>
        </w:rPr>
        <w:t>法</w:t>
      </w:r>
      <w:r>
        <w:t>；</w:t>
      </w:r>
    </w:p>
    <w:p w:rsidR="00824E17" w:rsidRDefault="008C6128">
      <w:pPr>
        <w:pStyle w:val="af7"/>
      </w:pPr>
      <w:r>
        <w:rPr>
          <w:rFonts w:hint="eastAsia"/>
        </w:rPr>
        <w:t>安全检查表法；</w:t>
      </w:r>
    </w:p>
    <w:p w:rsidR="00824E17" w:rsidRDefault="008C6128">
      <w:pPr>
        <w:pStyle w:val="af7"/>
      </w:pPr>
      <w:r>
        <w:rPr>
          <w:rFonts w:hint="eastAsia"/>
        </w:rPr>
        <w:t>肯</w:t>
      </w:r>
      <w:proofErr w:type="gramStart"/>
      <w:r>
        <w:rPr>
          <w:rFonts w:hint="eastAsia"/>
        </w:rPr>
        <w:t>特</w:t>
      </w:r>
      <w:proofErr w:type="gramEnd"/>
      <w:r>
        <w:rPr>
          <w:rFonts w:hint="eastAsia"/>
        </w:rPr>
        <w:t>法。</w:t>
      </w:r>
    </w:p>
    <w:p w:rsidR="00824E17" w:rsidRDefault="008C6128">
      <w:pPr>
        <w:pStyle w:val="afffff4"/>
        <w:ind w:firstLineChars="0" w:firstLine="0"/>
        <w:jc w:val="center"/>
      </w:pPr>
      <w:bookmarkStart w:id="144" w:name="BookMark8"/>
      <w:bookmarkEnd w:id="128"/>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cstate="print"/>
                    <a:stretch>
                      <a:fillRect/>
                    </a:stretch>
                  </pic:blipFill>
                  <pic:spPr>
                    <a:xfrm>
                      <a:off x="0" y="0"/>
                      <a:ext cx="1485900" cy="317500"/>
                    </a:xfrm>
                    <a:prstGeom prst="rect">
                      <a:avLst/>
                    </a:prstGeom>
                  </pic:spPr>
                </pic:pic>
              </a:graphicData>
            </a:graphic>
          </wp:inline>
        </w:drawing>
      </w:r>
      <w:bookmarkEnd w:id="144"/>
    </w:p>
    <w:sectPr w:rsidR="00824E17">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A5F" w:rsidRDefault="00900A5F">
      <w:pPr>
        <w:spacing w:line="240" w:lineRule="auto"/>
      </w:pPr>
      <w:r>
        <w:separator/>
      </w:r>
    </w:p>
  </w:endnote>
  <w:endnote w:type="continuationSeparator" w:id="0">
    <w:p w:rsidR="00900A5F" w:rsidRDefault="00900A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C612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24E17">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C6128">
    <w:pPr>
      <w:pStyle w:val="afffff1"/>
    </w:pPr>
    <w:r>
      <w:fldChar w:fldCharType="begin"/>
    </w:r>
    <w:r>
      <w:instrText>PAGE   \* MERGEFORMAT</w:instrText>
    </w:r>
    <w:r>
      <w:fldChar w:fldCharType="separate"/>
    </w:r>
    <w:r w:rsidR="00723BEC" w:rsidRPr="00723BEC">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A5F" w:rsidRDefault="00900A5F">
      <w:pPr>
        <w:spacing w:line="240" w:lineRule="auto"/>
      </w:pPr>
      <w:r>
        <w:separator/>
      </w:r>
    </w:p>
  </w:footnote>
  <w:footnote w:type="continuationSeparator" w:id="0">
    <w:p w:rsidR="00900A5F" w:rsidRDefault="00900A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24E17">
    <w:pPr>
      <w:pStyle w:val="aff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C6128">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24E17">
    <w:pPr>
      <w:pStyle w:val="affff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C6128">
    <w:pPr>
      <w:pStyle w:val="affff1"/>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32/T XXXX—2021</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17" w:rsidRDefault="00824E17">
    <w:pPr>
      <w:pStyle w:val="afff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pStyle w:val="af1"/>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CDC10AD"/>
    <w:multiLevelType w:val="multilevel"/>
    <w:tmpl w:val="3CDC10AD"/>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pStyle w:val="af6"/>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99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A9F"/>
    <w:rsid w:val="0000040A"/>
    <w:rsid w:val="00000A94"/>
    <w:rsid w:val="00001972"/>
    <w:rsid w:val="00001D9A"/>
    <w:rsid w:val="00007B3A"/>
    <w:rsid w:val="000107E0"/>
    <w:rsid w:val="00011FDE"/>
    <w:rsid w:val="000123FB"/>
    <w:rsid w:val="00012FFD"/>
    <w:rsid w:val="00014162"/>
    <w:rsid w:val="00014340"/>
    <w:rsid w:val="00016430"/>
    <w:rsid w:val="00016A9C"/>
    <w:rsid w:val="00022184"/>
    <w:rsid w:val="00022762"/>
    <w:rsid w:val="000238E0"/>
    <w:rsid w:val="0002400B"/>
    <w:rsid w:val="000249DB"/>
    <w:rsid w:val="0002595E"/>
    <w:rsid w:val="00026610"/>
    <w:rsid w:val="000303C3"/>
    <w:rsid w:val="000331D3"/>
    <w:rsid w:val="000346A5"/>
    <w:rsid w:val="000359C3"/>
    <w:rsid w:val="00035A7D"/>
    <w:rsid w:val="000365ED"/>
    <w:rsid w:val="00040981"/>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EA3"/>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F12"/>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8EF"/>
    <w:rsid w:val="001A0ACB"/>
    <w:rsid w:val="001A1A53"/>
    <w:rsid w:val="001A234A"/>
    <w:rsid w:val="001A4CF3"/>
    <w:rsid w:val="001B06E8"/>
    <w:rsid w:val="001B71D0"/>
    <w:rsid w:val="001B71EE"/>
    <w:rsid w:val="001C04A8"/>
    <w:rsid w:val="001C2C03"/>
    <w:rsid w:val="001C3372"/>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104"/>
    <w:rsid w:val="001F77C7"/>
    <w:rsid w:val="00200183"/>
    <w:rsid w:val="00200333"/>
    <w:rsid w:val="0020107D"/>
    <w:rsid w:val="00202AA4"/>
    <w:rsid w:val="002031F7"/>
    <w:rsid w:val="002040E6"/>
    <w:rsid w:val="0020527B"/>
    <w:rsid w:val="00205F2C"/>
    <w:rsid w:val="00210B15"/>
    <w:rsid w:val="002142EA"/>
    <w:rsid w:val="00215EA9"/>
    <w:rsid w:val="002204BB"/>
    <w:rsid w:val="00221B79"/>
    <w:rsid w:val="00221C6B"/>
    <w:rsid w:val="002236BD"/>
    <w:rsid w:val="002251BD"/>
    <w:rsid w:val="002253A1"/>
    <w:rsid w:val="00225CF8"/>
    <w:rsid w:val="0022794E"/>
    <w:rsid w:val="00230CD7"/>
    <w:rsid w:val="00233D64"/>
    <w:rsid w:val="0023482A"/>
    <w:rsid w:val="002359CB"/>
    <w:rsid w:val="00235A93"/>
    <w:rsid w:val="00243540"/>
    <w:rsid w:val="0024497B"/>
    <w:rsid w:val="0024515B"/>
    <w:rsid w:val="00246021"/>
    <w:rsid w:val="0024666E"/>
    <w:rsid w:val="00247F52"/>
    <w:rsid w:val="00250B25"/>
    <w:rsid w:val="00250BBE"/>
    <w:rsid w:val="002515C2"/>
    <w:rsid w:val="0025194F"/>
    <w:rsid w:val="00251D0B"/>
    <w:rsid w:val="0025528D"/>
    <w:rsid w:val="0026148A"/>
    <w:rsid w:val="00262696"/>
    <w:rsid w:val="00263D25"/>
    <w:rsid w:val="002643C3"/>
    <w:rsid w:val="00264A0C"/>
    <w:rsid w:val="00266EEB"/>
    <w:rsid w:val="00267EF4"/>
    <w:rsid w:val="00270CB8"/>
    <w:rsid w:val="00271DC0"/>
    <w:rsid w:val="00272B08"/>
    <w:rsid w:val="00276BD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61"/>
    <w:rsid w:val="002D79AC"/>
    <w:rsid w:val="002E039D"/>
    <w:rsid w:val="002E14CB"/>
    <w:rsid w:val="002E4D5A"/>
    <w:rsid w:val="002E6326"/>
    <w:rsid w:val="002F30E0"/>
    <w:rsid w:val="002F35E4"/>
    <w:rsid w:val="002F3730"/>
    <w:rsid w:val="002F38E1"/>
    <w:rsid w:val="002F7AF6"/>
    <w:rsid w:val="00300E63"/>
    <w:rsid w:val="003021D9"/>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D6A"/>
    <w:rsid w:val="003615D2"/>
    <w:rsid w:val="0036429C"/>
    <w:rsid w:val="00364A53"/>
    <w:rsid w:val="003654CB"/>
    <w:rsid w:val="00365AA9"/>
    <w:rsid w:val="00365F86"/>
    <w:rsid w:val="00365F87"/>
    <w:rsid w:val="00366E89"/>
    <w:rsid w:val="003705F4"/>
    <w:rsid w:val="00370D58"/>
    <w:rsid w:val="00371316"/>
    <w:rsid w:val="003765D6"/>
    <w:rsid w:val="00376713"/>
    <w:rsid w:val="00381815"/>
    <w:rsid w:val="003819AF"/>
    <w:rsid w:val="003820E9"/>
    <w:rsid w:val="00382DE7"/>
    <w:rsid w:val="00384FFC"/>
    <w:rsid w:val="003872FC"/>
    <w:rsid w:val="00387ADC"/>
    <w:rsid w:val="00390020"/>
    <w:rsid w:val="003903D6"/>
    <w:rsid w:val="00390EE6"/>
    <w:rsid w:val="0039118F"/>
    <w:rsid w:val="0039155D"/>
    <w:rsid w:val="00392AD7"/>
    <w:rsid w:val="003938D9"/>
    <w:rsid w:val="00394376"/>
    <w:rsid w:val="003943FF"/>
    <w:rsid w:val="00395700"/>
    <w:rsid w:val="003974EB"/>
    <w:rsid w:val="00397CC5"/>
    <w:rsid w:val="003A1582"/>
    <w:rsid w:val="003A1CAE"/>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905"/>
    <w:rsid w:val="00407D39"/>
    <w:rsid w:val="0041477A"/>
    <w:rsid w:val="004167A3"/>
    <w:rsid w:val="00421076"/>
    <w:rsid w:val="00432DAA"/>
    <w:rsid w:val="00434305"/>
    <w:rsid w:val="00435DF7"/>
    <w:rsid w:val="0044083F"/>
    <w:rsid w:val="00441AE7"/>
    <w:rsid w:val="00445574"/>
    <w:rsid w:val="004467FB"/>
    <w:rsid w:val="00452D6B"/>
    <w:rsid w:val="00453832"/>
    <w:rsid w:val="00454484"/>
    <w:rsid w:val="0045517B"/>
    <w:rsid w:val="0046332A"/>
    <w:rsid w:val="00463B77"/>
    <w:rsid w:val="00463C7B"/>
    <w:rsid w:val="004644A6"/>
    <w:rsid w:val="004659BD"/>
    <w:rsid w:val="00470775"/>
    <w:rsid w:val="004746B1"/>
    <w:rsid w:val="0047583F"/>
    <w:rsid w:val="00475DE8"/>
    <w:rsid w:val="00481C44"/>
    <w:rsid w:val="00482B6F"/>
    <w:rsid w:val="00484936"/>
    <w:rsid w:val="00485C89"/>
    <w:rsid w:val="00486BE3"/>
    <w:rsid w:val="004905E4"/>
    <w:rsid w:val="00490A89"/>
    <w:rsid w:val="00490AB4"/>
    <w:rsid w:val="004919D6"/>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317"/>
    <w:rsid w:val="004E4092"/>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C0F"/>
    <w:rsid w:val="00533D04"/>
    <w:rsid w:val="00534804"/>
    <w:rsid w:val="00534BDF"/>
    <w:rsid w:val="005354EA"/>
    <w:rsid w:val="0053585F"/>
    <w:rsid w:val="00535EC4"/>
    <w:rsid w:val="00535ED9"/>
    <w:rsid w:val="0053692B"/>
    <w:rsid w:val="00541853"/>
    <w:rsid w:val="00541991"/>
    <w:rsid w:val="00543BDA"/>
    <w:rsid w:val="005441CC"/>
    <w:rsid w:val="005458A6"/>
    <w:rsid w:val="005479DA"/>
    <w:rsid w:val="00547BCC"/>
    <w:rsid w:val="0055013B"/>
    <w:rsid w:val="00551F6F"/>
    <w:rsid w:val="00555044"/>
    <w:rsid w:val="005558CE"/>
    <w:rsid w:val="00560195"/>
    <w:rsid w:val="00561475"/>
    <w:rsid w:val="00562BBA"/>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0C35"/>
    <w:rsid w:val="005A11B7"/>
    <w:rsid w:val="005A260B"/>
    <w:rsid w:val="005A4A1B"/>
    <w:rsid w:val="005A7830"/>
    <w:rsid w:val="005A7FCE"/>
    <w:rsid w:val="005B0F3F"/>
    <w:rsid w:val="005B1667"/>
    <w:rsid w:val="005B4903"/>
    <w:rsid w:val="005B51CE"/>
    <w:rsid w:val="005B5885"/>
    <w:rsid w:val="005B5CD7"/>
    <w:rsid w:val="005B651B"/>
    <w:rsid w:val="005B6CF6"/>
    <w:rsid w:val="005B6D80"/>
    <w:rsid w:val="005B7422"/>
    <w:rsid w:val="005C29B8"/>
    <w:rsid w:val="005C3AE2"/>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174AA"/>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0E4"/>
    <w:rsid w:val="006B2672"/>
    <w:rsid w:val="006B54BF"/>
    <w:rsid w:val="006B5F44"/>
    <w:rsid w:val="006B5F90"/>
    <w:rsid w:val="006B62E4"/>
    <w:rsid w:val="006C1BBA"/>
    <w:rsid w:val="006C2079"/>
    <w:rsid w:val="006C4300"/>
    <w:rsid w:val="006C5A62"/>
    <w:rsid w:val="006C5D68"/>
    <w:rsid w:val="006C6976"/>
    <w:rsid w:val="006C6DD0"/>
    <w:rsid w:val="006D04EA"/>
    <w:rsid w:val="006D16C4"/>
    <w:rsid w:val="006D37E9"/>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43B"/>
    <w:rsid w:val="00722FBF"/>
    <w:rsid w:val="00722FC2"/>
    <w:rsid w:val="00723BEC"/>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D2E"/>
    <w:rsid w:val="0074548E"/>
    <w:rsid w:val="00745773"/>
    <w:rsid w:val="00746800"/>
    <w:rsid w:val="007501A8"/>
    <w:rsid w:val="00750D61"/>
    <w:rsid w:val="00750EE1"/>
    <w:rsid w:val="0075150A"/>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AD8"/>
    <w:rsid w:val="007C1E8B"/>
    <w:rsid w:val="007C2D89"/>
    <w:rsid w:val="007C4593"/>
    <w:rsid w:val="007C5309"/>
    <w:rsid w:val="007C6069"/>
    <w:rsid w:val="007D06C4"/>
    <w:rsid w:val="007D1352"/>
    <w:rsid w:val="007D2508"/>
    <w:rsid w:val="007D346A"/>
    <w:rsid w:val="007D6355"/>
    <w:rsid w:val="007D6518"/>
    <w:rsid w:val="007D76BD"/>
    <w:rsid w:val="007E0BF1"/>
    <w:rsid w:val="007E24E3"/>
    <w:rsid w:val="007F0BA1"/>
    <w:rsid w:val="007F0ED8"/>
    <w:rsid w:val="007F0F63"/>
    <w:rsid w:val="007F75CE"/>
    <w:rsid w:val="008013A4"/>
    <w:rsid w:val="008027CE"/>
    <w:rsid w:val="00802F42"/>
    <w:rsid w:val="00804383"/>
    <w:rsid w:val="00804BB7"/>
    <w:rsid w:val="00804D41"/>
    <w:rsid w:val="00805A97"/>
    <w:rsid w:val="00810257"/>
    <w:rsid w:val="008104F5"/>
    <w:rsid w:val="00811072"/>
    <w:rsid w:val="00811369"/>
    <w:rsid w:val="00815419"/>
    <w:rsid w:val="008163C8"/>
    <w:rsid w:val="008164A1"/>
    <w:rsid w:val="00817325"/>
    <w:rsid w:val="008209E6"/>
    <w:rsid w:val="00823303"/>
    <w:rsid w:val="008233B2"/>
    <w:rsid w:val="00823A9F"/>
    <w:rsid w:val="00823C85"/>
    <w:rsid w:val="00824E17"/>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D5C"/>
    <w:rsid w:val="00883F93"/>
    <w:rsid w:val="00884DB3"/>
    <w:rsid w:val="00885A9D"/>
    <w:rsid w:val="008864F6"/>
    <w:rsid w:val="0089049D"/>
    <w:rsid w:val="00891A19"/>
    <w:rsid w:val="008928C9"/>
    <w:rsid w:val="008930CB"/>
    <w:rsid w:val="008938DC"/>
    <w:rsid w:val="00893FD1"/>
    <w:rsid w:val="00894836"/>
    <w:rsid w:val="00894EEC"/>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750"/>
    <w:rsid w:val="008B7E05"/>
    <w:rsid w:val="008C1797"/>
    <w:rsid w:val="008C219C"/>
    <w:rsid w:val="008C475E"/>
    <w:rsid w:val="008C6128"/>
    <w:rsid w:val="008C619A"/>
    <w:rsid w:val="008D0CE8"/>
    <w:rsid w:val="008D259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A5F"/>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E5A"/>
    <w:rsid w:val="00965E04"/>
    <w:rsid w:val="009674AD"/>
    <w:rsid w:val="00970CDC"/>
    <w:rsid w:val="00977010"/>
    <w:rsid w:val="00977D02"/>
    <w:rsid w:val="009809BB"/>
    <w:rsid w:val="0098364B"/>
    <w:rsid w:val="009851A6"/>
    <w:rsid w:val="009911AF"/>
    <w:rsid w:val="00991875"/>
    <w:rsid w:val="00991F92"/>
    <w:rsid w:val="00992985"/>
    <w:rsid w:val="00993889"/>
    <w:rsid w:val="0099551B"/>
    <w:rsid w:val="00995868"/>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800"/>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790"/>
    <w:rsid w:val="00A42CDF"/>
    <w:rsid w:val="00A4452E"/>
    <w:rsid w:val="00A4472C"/>
    <w:rsid w:val="00A44E69"/>
    <w:rsid w:val="00A4661E"/>
    <w:rsid w:val="00A50BD7"/>
    <w:rsid w:val="00A55BD6"/>
    <w:rsid w:val="00A55D50"/>
    <w:rsid w:val="00A57142"/>
    <w:rsid w:val="00A63C80"/>
    <w:rsid w:val="00A648CD"/>
    <w:rsid w:val="00A6537A"/>
    <w:rsid w:val="00A67866"/>
    <w:rsid w:val="00A70B07"/>
    <w:rsid w:val="00A723F8"/>
    <w:rsid w:val="00A77CCB"/>
    <w:rsid w:val="00A83D8D"/>
    <w:rsid w:val="00A84467"/>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930"/>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AFE"/>
    <w:rsid w:val="00BA263B"/>
    <w:rsid w:val="00BA42B2"/>
    <w:rsid w:val="00BA58D4"/>
    <w:rsid w:val="00BA5B9E"/>
    <w:rsid w:val="00BA7C9A"/>
    <w:rsid w:val="00BB5F8F"/>
    <w:rsid w:val="00BB657A"/>
    <w:rsid w:val="00BC1A4E"/>
    <w:rsid w:val="00BC5DC7"/>
    <w:rsid w:val="00BC6B8B"/>
    <w:rsid w:val="00BC73D8"/>
    <w:rsid w:val="00BD52D7"/>
    <w:rsid w:val="00BD5AD2"/>
    <w:rsid w:val="00BE159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18B"/>
    <w:rsid w:val="00C643F9"/>
    <w:rsid w:val="00C64E95"/>
    <w:rsid w:val="00C71372"/>
    <w:rsid w:val="00C72410"/>
    <w:rsid w:val="00C72631"/>
    <w:rsid w:val="00C7287F"/>
    <w:rsid w:val="00C80CB8"/>
    <w:rsid w:val="00C819F8"/>
    <w:rsid w:val="00C8248C"/>
    <w:rsid w:val="00C82845"/>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887"/>
    <w:rsid w:val="00CD1B1C"/>
    <w:rsid w:val="00CD2808"/>
    <w:rsid w:val="00CD28BF"/>
    <w:rsid w:val="00CD4092"/>
    <w:rsid w:val="00CD4A20"/>
    <w:rsid w:val="00CD50A1"/>
    <w:rsid w:val="00CD519E"/>
    <w:rsid w:val="00CD665A"/>
    <w:rsid w:val="00CE0C4F"/>
    <w:rsid w:val="00CE30EA"/>
    <w:rsid w:val="00CE5E11"/>
    <w:rsid w:val="00CF048A"/>
    <w:rsid w:val="00CF155A"/>
    <w:rsid w:val="00CF2947"/>
    <w:rsid w:val="00CF686F"/>
    <w:rsid w:val="00CF6E60"/>
    <w:rsid w:val="00CF7BCA"/>
    <w:rsid w:val="00D00339"/>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089"/>
    <w:rsid w:val="00D66846"/>
    <w:rsid w:val="00D675FB"/>
    <w:rsid w:val="00D71F25"/>
    <w:rsid w:val="00D72A9C"/>
    <w:rsid w:val="00D7387E"/>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D21"/>
    <w:rsid w:val="00E502C1"/>
    <w:rsid w:val="00E502DD"/>
    <w:rsid w:val="00E50D3A"/>
    <w:rsid w:val="00E51387"/>
    <w:rsid w:val="00E51E68"/>
    <w:rsid w:val="00E52EFD"/>
    <w:rsid w:val="00E5408A"/>
    <w:rsid w:val="00E56800"/>
    <w:rsid w:val="00E60C63"/>
    <w:rsid w:val="00E62FF9"/>
    <w:rsid w:val="00E635D6"/>
    <w:rsid w:val="00E639BC"/>
    <w:rsid w:val="00E6616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1B9"/>
    <w:rsid w:val="00E969D5"/>
    <w:rsid w:val="00EA30A7"/>
    <w:rsid w:val="00EA58D1"/>
    <w:rsid w:val="00EA61BC"/>
    <w:rsid w:val="00EA681A"/>
    <w:rsid w:val="00EA735B"/>
    <w:rsid w:val="00EB17DE"/>
    <w:rsid w:val="00EB1E69"/>
    <w:rsid w:val="00EB2086"/>
    <w:rsid w:val="00EB5EDF"/>
    <w:rsid w:val="00EB60FE"/>
    <w:rsid w:val="00EB74DB"/>
    <w:rsid w:val="00EC4745"/>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C5A"/>
    <w:rsid w:val="00F17A9F"/>
    <w:rsid w:val="00F25BB6"/>
    <w:rsid w:val="00F26B7E"/>
    <w:rsid w:val="00F27A3B"/>
    <w:rsid w:val="00F3244C"/>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1E7"/>
    <w:rsid w:val="00FB45F1"/>
    <w:rsid w:val="00FB4A72"/>
    <w:rsid w:val="00FB54E8"/>
    <w:rsid w:val="00FB7054"/>
    <w:rsid w:val="00FC17B7"/>
    <w:rsid w:val="00FC2CB7"/>
    <w:rsid w:val="00FC4090"/>
    <w:rsid w:val="00FC55B4"/>
    <w:rsid w:val="00FD00E6"/>
    <w:rsid w:val="00FD09A1"/>
    <w:rsid w:val="00FD13AC"/>
    <w:rsid w:val="00FD2A7C"/>
    <w:rsid w:val="00FD59EB"/>
    <w:rsid w:val="00FD7299"/>
    <w:rsid w:val="00FD793D"/>
    <w:rsid w:val="00FE1FBE"/>
    <w:rsid w:val="00FE3901"/>
    <w:rsid w:val="00FE39D3"/>
    <w:rsid w:val="00FE4BCE"/>
    <w:rsid w:val="00FE54AE"/>
    <w:rsid w:val="00FE576A"/>
    <w:rsid w:val="00FE7E79"/>
    <w:rsid w:val="00FF3E7D"/>
    <w:rsid w:val="00FF5B99"/>
    <w:rsid w:val="00FF730C"/>
    <w:rsid w:val="00FF73F4"/>
    <w:rsid w:val="00FF7CE4"/>
    <w:rsid w:val="00FF7E39"/>
    <w:rsid w:val="02F66B78"/>
    <w:rsid w:val="0764188F"/>
    <w:rsid w:val="0B834725"/>
    <w:rsid w:val="0BD6246B"/>
    <w:rsid w:val="0E5C5688"/>
    <w:rsid w:val="0F844992"/>
    <w:rsid w:val="10FB0452"/>
    <w:rsid w:val="11012378"/>
    <w:rsid w:val="110E513D"/>
    <w:rsid w:val="13E47DD1"/>
    <w:rsid w:val="1AD825A8"/>
    <w:rsid w:val="208371A9"/>
    <w:rsid w:val="20F35212"/>
    <w:rsid w:val="25152C49"/>
    <w:rsid w:val="255F07A1"/>
    <w:rsid w:val="299602FE"/>
    <w:rsid w:val="2B554ED6"/>
    <w:rsid w:val="2BD84F84"/>
    <w:rsid w:val="2E7B261B"/>
    <w:rsid w:val="320B1382"/>
    <w:rsid w:val="38E528A4"/>
    <w:rsid w:val="3A263DF5"/>
    <w:rsid w:val="3C37072A"/>
    <w:rsid w:val="3E3371F7"/>
    <w:rsid w:val="40681247"/>
    <w:rsid w:val="40825422"/>
    <w:rsid w:val="42D8189F"/>
    <w:rsid w:val="43AB52D7"/>
    <w:rsid w:val="452A4DC2"/>
    <w:rsid w:val="499E4879"/>
    <w:rsid w:val="4FBA34E1"/>
    <w:rsid w:val="51EB3917"/>
    <w:rsid w:val="52600428"/>
    <w:rsid w:val="551618D1"/>
    <w:rsid w:val="5B527B52"/>
    <w:rsid w:val="5B5C447D"/>
    <w:rsid w:val="63EB7283"/>
    <w:rsid w:val="6A90392D"/>
    <w:rsid w:val="6B6F280D"/>
    <w:rsid w:val="6C9C2846"/>
    <w:rsid w:val="6D0D59A5"/>
    <w:rsid w:val="72AD77F6"/>
    <w:rsid w:val="7358182D"/>
    <w:rsid w:val="74A1269B"/>
    <w:rsid w:val="78910F71"/>
    <w:rsid w:val="7ABD3FAB"/>
    <w:rsid w:val="7EB77601"/>
    <w:rsid w:val="7F1E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Document Map"/>
    <w:basedOn w:val="afff7"/>
    <w:link w:val="Char"/>
    <w:uiPriority w:val="99"/>
    <w:semiHidden/>
    <w:unhideWhenUsed/>
    <w:qFormat/>
    <w:rPr>
      <w:rFonts w:ascii="宋体"/>
      <w:sz w:val="18"/>
      <w:szCs w:val="18"/>
    </w:rPr>
  </w:style>
  <w:style w:type="paragraph" w:styleId="afffd">
    <w:name w:val="annotation text"/>
    <w:basedOn w:val="afff7"/>
    <w:link w:val="Char0"/>
    <w:uiPriority w:val="99"/>
    <w:semiHidden/>
    <w:unhideWhenUsed/>
    <w:qFormat/>
    <w:pPr>
      <w:jc w:val="left"/>
    </w:pPr>
  </w:style>
  <w:style w:type="paragraph" w:styleId="afffe">
    <w:name w:val="Body Text"/>
    <w:basedOn w:val="afff7"/>
    <w:link w:val="Char1"/>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f">
    <w:name w:val="Balloon Text"/>
    <w:basedOn w:val="afff7"/>
    <w:link w:val="Char2"/>
    <w:uiPriority w:val="99"/>
    <w:semiHidden/>
    <w:unhideWhenUsed/>
    <w:qFormat/>
    <w:rPr>
      <w:sz w:val="18"/>
      <w:szCs w:val="18"/>
    </w:rPr>
  </w:style>
  <w:style w:type="paragraph" w:styleId="affff0">
    <w:name w:val="footer"/>
    <w:basedOn w:val="afff7"/>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7"/>
    <w:link w:val="Char4"/>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2">
    <w:name w:val="footnote text"/>
    <w:basedOn w:val="afff7"/>
    <w:next w:val="afff7"/>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3">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4">
    <w:name w:val="Title"/>
    <w:basedOn w:val="afff7"/>
    <w:link w:val="Char6"/>
    <w:qFormat/>
    <w:pPr>
      <w:spacing w:before="240" w:after="60"/>
      <w:jc w:val="center"/>
      <w:outlineLvl w:val="0"/>
    </w:pPr>
    <w:rPr>
      <w:rFonts w:ascii="Arial" w:hAnsi="Arial" w:cs="Arial"/>
      <w:b/>
      <w:bCs/>
      <w:sz w:val="32"/>
      <w:szCs w:val="32"/>
    </w:rPr>
  </w:style>
  <w:style w:type="paragraph" w:styleId="affff5">
    <w:name w:val="annotation subject"/>
    <w:basedOn w:val="afffd"/>
    <w:next w:val="afffd"/>
    <w:link w:val="Char7"/>
    <w:uiPriority w:val="99"/>
    <w:semiHidden/>
    <w:unhideWhenUsed/>
    <w:qFormat/>
    <w:rPr>
      <w:b/>
      <w:bCs/>
    </w:rPr>
  </w:style>
  <w:style w:type="table" w:styleId="affff6">
    <w:name w:val="Table Grid"/>
    <w:basedOn w:val="aff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annotation reference"/>
    <w:basedOn w:val="afff8"/>
    <w:uiPriority w:val="99"/>
    <w:semiHidden/>
    <w:unhideWhenUsed/>
    <w:qFormat/>
    <w:rPr>
      <w:sz w:val="21"/>
      <w:szCs w:val="21"/>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1"/>
    <w:uiPriority w:val="99"/>
    <w:qFormat/>
    <w:rPr>
      <w:rFonts w:ascii="Times New Roman" w:eastAsia="宋体" w:hAnsi="Times New Roman" w:cs="Times New Roman"/>
      <w:sz w:val="18"/>
      <w:szCs w:val="18"/>
    </w:rPr>
  </w:style>
  <w:style w:type="character" w:customStyle="1" w:styleId="Char3">
    <w:name w:val="页脚 Char"/>
    <w:link w:val="affff0"/>
    <w:uiPriority w:val="99"/>
    <w:qFormat/>
    <w:rPr>
      <w:rFonts w:ascii="宋体" w:eastAsia="宋体" w:hAnsi="Times New Roman" w:cs="Times New Roman"/>
      <w:sz w:val="18"/>
      <w:szCs w:val="18"/>
    </w:rPr>
  </w:style>
  <w:style w:type="character" w:customStyle="1" w:styleId="Char2">
    <w:name w:val="批注框文本 Char"/>
    <w:link w:val="affff"/>
    <w:uiPriority w:val="99"/>
    <w:semiHidden/>
    <w:qFormat/>
    <w:rPr>
      <w:sz w:val="18"/>
      <w:szCs w:val="18"/>
    </w:rPr>
  </w:style>
  <w:style w:type="paragraph" w:styleId="affffd">
    <w:name w:val="Quote"/>
    <w:basedOn w:val="afff7"/>
    <w:next w:val="afff7"/>
    <w:link w:val="Char8"/>
    <w:uiPriority w:val="29"/>
    <w:qFormat/>
    <w:rPr>
      <w:i/>
      <w:iCs/>
      <w:color w:val="000000"/>
    </w:rPr>
  </w:style>
  <w:style w:type="character" w:customStyle="1" w:styleId="Char8">
    <w:name w:val="引用 Char"/>
    <w:link w:val="affffd"/>
    <w:uiPriority w:val="29"/>
    <w:qFormat/>
    <w:rPr>
      <w:i/>
      <w:iCs/>
      <w:color w:val="000000"/>
    </w:rPr>
  </w:style>
  <w:style w:type="character" w:customStyle="1" w:styleId="Char6">
    <w:name w:val="标题 Char"/>
    <w:link w:val="affff4"/>
    <w:qFormat/>
    <w:rPr>
      <w:rFonts w:ascii="Arial" w:eastAsia="宋体" w:hAnsi="Arial" w:cs="Arial"/>
      <w:b/>
      <w:bCs/>
      <w:sz w:val="32"/>
      <w:szCs w:val="32"/>
    </w:rPr>
  </w:style>
  <w:style w:type="paragraph" w:customStyle="1" w:styleId="affffe">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3">
    <w:name w:val="标准文件_标准正文"/>
    <w:basedOn w:val="afff7"/>
    <w:next w:val="afffff4"/>
    <w:qFormat/>
    <w:pPr>
      <w:snapToGrid w:val="0"/>
      <w:ind w:firstLineChars="200" w:firstLine="200"/>
    </w:pPr>
    <w:rPr>
      <w:kern w:val="0"/>
    </w:rPr>
  </w:style>
  <w:style w:type="paragraph" w:customStyle="1" w:styleId="afffff4">
    <w:name w:val="标准文件_段"/>
    <w:link w:val="Char9"/>
    <w:qFormat/>
    <w:pPr>
      <w:autoSpaceDE w:val="0"/>
      <w:autoSpaceDN w:val="0"/>
      <w:ind w:firstLineChars="200" w:firstLine="200"/>
      <w:jc w:val="both"/>
    </w:pPr>
    <w:rPr>
      <w:rFonts w:ascii="宋体"/>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7"/>
    <w:qFormat/>
    <w:pPr>
      <w:jc w:val="center"/>
    </w:pPr>
    <w:rPr>
      <w:rFonts w:ascii="黑体" w:eastAsia="黑体"/>
      <w:kern w:val="0"/>
      <w:sz w:val="44"/>
    </w:rPr>
  </w:style>
  <w:style w:type="paragraph" w:customStyle="1" w:styleId="afffff7">
    <w:name w:val="标准文件_标准代替"/>
    <w:basedOn w:val="afff7"/>
    <w:next w:val="afff7"/>
    <w:qFormat/>
    <w:pPr>
      <w:spacing w:line="310" w:lineRule="exact"/>
      <w:jc w:val="right"/>
    </w:pPr>
    <w:rPr>
      <w:rFonts w:ascii="宋体" w:hAnsi="宋体"/>
      <w:kern w:val="0"/>
    </w:rPr>
  </w:style>
  <w:style w:type="paragraph" w:customStyle="1" w:styleId="afffff8">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7"/>
    <w:qFormat/>
    <w:pPr>
      <w:jc w:val="left"/>
    </w:pPr>
  </w:style>
  <w:style w:type="paragraph" w:customStyle="1" w:styleId="afffffb">
    <w:name w:val="标准文件_参考文献标题"/>
    <w:basedOn w:val="afff7"/>
    <w:next w:val="afff7"/>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4"/>
    <w:qFormat/>
    <w:pPr>
      <w:widowControl w:val="0"/>
      <w:numPr>
        <w:ilvl w:val="3"/>
        <w:numId w:val="2"/>
      </w:numPr>
      <w:spacing w:beforeLines="50" w:afterLines="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7"/>
    <w:next w:val="afffff7"/>
    <w:qFormat/>
    <w:pPr>
      <w:spacing w:line="310" w:lineRule="exact"/>
      <w:jc w:val="right"/>
    </w:pPr>
    <w:rPr>
      <w:rFonts w:ascii="黑体" w:eastAsia="黑体"/>
      <w:kern w:val="0"/>
      <w:sz w:val="28"/>
    </w:rPr>
  </w:style>
  <w:style w:type="paragraph" w:customStyle="1" w:styleId="afffffe">
    <w:name w:val="标准文件_封面标准分类号"/>
    <w:basedOn w:val="afff7"/>
    <w:qFormat/>
    <w:rPr>
      <w:rFonts w:ascii="黑体" w:eastAsia="黑体"/>
      <w:b/>
      <w:kern w:val="0"/>
      <w:sz w:val="28"/>
    </w:rPr>
  </w:style>
  <w:style w:type="paragraph" w:customStyle="1" w:styleId="affffff">
    <w:name w:val="标准文件_封面标准名称"/>
    <w:basedOn w:val="afff7"/>
    <w:qFormat/>
    <w:pPr>
      <w:spacing w:line="240" w:lineRule="auto"/>
      <w:jc w:val="center"/>
    </w:pPr>
    <w:rPr>
      <w:rFonts w:ascii="黑体" w:eastAsia="黑体"/>
      <w:kern w:val="0"/>
      <w:sz w:val="52"/>
    </w:rPr>
  </w:style>
  <w:style w:type="paragraph" w:customStyle="1" w:styleId="affffff0">
    <w:name w:val="标准文件_封面标准英文名称"/>
    <w:basedOn w:val="afff7"/>
    <w:qFormat/>
    <w:pPr>
      <w:spacing w:line="240" w:lineRule="auto"/>
      <w:jc w:val="center"/>
    </w:pPr>
    <w:rPr>
      <w:rFonts w:ascii="黑体" w:eastAsia="黑体"/>
      <w:b/>
      <w:sz w:val="28"/>
    </w:rPr>
  </w:style>
  <w:style w:type="paragraph" w:customStyle="1" w:styleId="affffff1">
    <w:name w:val="标准文件_封面发布日期"/>
    <w:basedOn w:val="afff7"/>
    <w:qFormat/>
    <w:pPr>
      <w:spacing w:line="310" w:lineRule="exact"/>
    </w:pPr>
    <w:rPr>
      <w:rFonts w:ascii="黑体" w:eastAsia="黑体"/>
      <w:kern w:val="0"/>
      <w:sz w:val="28"/>
    </w:rPr>
  </w:style>
  <w:style w:type="paragraph" w:customStyle="1" w:styleId="affffff2">
    <w:name w:val="标准文件_封面密级"/>
    <w:basedOn w:val="afff7"/>
    <w:qFormat/>
    <w:rPr>
      <w:rFonts w:eastAsia="黑体"/>
      <w:sz w:val="32"/>
    </w:rPr>
  </w:style>
  <w:style w:type="paragraph" w:customStyle="1" w:styleId="affffff3">
    <w:name w:val="标准文件_封面实施日期"/>
    <w:basedOn w:val="afff7"/>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4"/>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4"/>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4"/>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4"/>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4"/>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4"/>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4"/>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e"/>
    <w:qFormat/>
    <w:rPr>
      <w:rFonts w:ascii="Times New Roman" w:eastAsia="宋体" w:hAnsi="Times New Roman" w:cs="Times New Roman"/>
      <w:szCs w:val="20"/>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pPr>
  </w:style>
  <w:style w:type="paragraph" w:customStyle="1" w:styleId="affffff9">
    <w:name w:val="标准文件_目录标题"/>
    <w:basedOn w:val="afff7"/>
    <w:qFormat/>
    <w:pPr>
      <w:spacing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2"/>
    <w:qFormat/>
    <w:pPr>
      <w:numPr>
        <w:numId w:val="10"/>
      </w:numPr>
      <w:ind w:left="0" w:firstLine="200"/>
    </w:pPr>
  </w:style>
  <w:style w:type="paragraph" w:customStyle="1" w:styleId="afff1">
    <w:name w:val="标准文件_三级条标题"/>
    <w:basedOn w:val="afff0"/>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4"/>
    <w:qFormat/>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2"/>
    <w:semiHidden/>
    <w:qFormat/>
    <w:rPr>
      <w:rFonts w:ascii="宋体" w:eastAsia="宋体" w:hAnsi="Times New Roman" w:cs="Times New Roman"/>
      <w:sz w:val="18"/>
      <w:szCs w:val="18"/>
    </w:rPr>
  </w:style>
  <w:style w:type="paragraph" w:customStyle="1" w:styleId="affffffb">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7"/>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4"/>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4"/>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4"/>
    <w:qFormat/>
    <w:pPr>
      <w:numPr>
        <w:ilvl w:val="2"/>
      </w:numPr>
      <w:spacing w:beforeLines="50" w:afterLines="50"/>
      <w:outlineLvl w:val="1"/>
    </w:pPr>
  </w:style>
  <w:style w:type="paragraph" w:customStyle="1" w:styleId="affffffd">
    <w:name w:val="标准文件_一致程度"/>
    <w:basedOn w:val="afff7"/>
    <w:qFormat/>
    <w:pPr>
      <w:spacing w:line="440" w:lineRule="exact"/>
      <w:jc w:val="center"/>
    </w:pPr>
    <w:rPr>
      <w:sz w:val="28"/>
    </w:rPr>
  </w:style>
  <w:style w:type="paragraph" w:customStyle="1" w:styleId="affffffe">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4"/>
    <w:qFormat/>
    <w:pPr>
      <w:numPr>
        <w:numId w:val="16"/>
      </w:numPr>
      <w:tabs>
        <w:tab w:val="left" w:pos="0"/>
      </w:tabs>
      <w:spacing w:beforeLines="50" w:afterLines="50"/>
      <w:jc w:val="center"/>
    </w:pPr>
    <w:rPr>
      <w:rFonts w:ascii="黑体" w:eastAsia="黑体"/>
      <w:sz w:val="21"/>
    </w:rPr>
  </w:style>
  <w:style w:type="paragraph" w:customStyle="1" w:styleId="afffffff0">
    <w:name w:val="标准文件_正文公式"/>
    <w:basedOn w:val="afff7"/>
    <w:next w:val="afffff3"/>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4"/>
    <w:qFormat/>
    <w:pPr>
      <w:numPr>
        <w:numId w:val="17"/>
      </w:numPr>
      <w:spacing w:beforeLines="50" w:afterLines="50"/>
      <w:jc w:val="center"/>
    </w:pPr>
    <w:rPr>
      <w:rFonts w:ascii="黑体" w:eastAsia="黑体"/>
      <w:sz w:val="21"/>
    </w:rPr>
  </w:style>
  <w:style w:type="paragraph" w:customStyle="1" w:styleId="afff5">
    <w:name w:val="标准文件_正文英文表标题"/>
    <w:next w:val="afffff4"/>
    <w:qFormat/>
    <w:pPr>
      <w:numPr>
        <w:numId w:val="18"/>
      </w:numPr>
      <w:jc w:val="center"/>
    </w:pPr>
    <w:rPr>
      <w:rFonts w:ascii="黑体" w:eastAsia="黑体"/>
      <w:sz w:val="21"/>
    </w:rPr>
  </w:style>
  <w:style w:type="paragraph" w:customStyle="1" w:styleId="afd">
    <w:name w:val="标准文件_正文英文图标题"/>
    <w:next w:val="afffff4"/>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7"/>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7"/>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7"/>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
    <w:qFormat/>
    <w:pPr>
      <w:spacing w:beforeLines="0" w:afterLines="0"/>
      <w:outlineLvl w:val="9"/>
    </w:pPr>
    <w:rPr>
      <w:rFonts w:ascii="宋体" w:eastAsia="宋体"/>
    </w:rPr>
  </w:style>
  <w:style w:type="paragraph" w:customStyle="1" w:styleId="affffffffe">
    <w:name w:val="标准文件_五级无标题"/>
    <w:basedOn w:val="afff3"/>
    <w:qFormat/>
    <w:pPr>
      <w:spacing w:beforeLines="0" w:afterLines="0"/>
      <w:outlineLvl w:val="9"/>
    </w:pPr>
    <w:rPr>
      <w:rFonts w:ascii="宋体" w:eastAsia="宋体"/>
    </w:rPr>
  </w:style>
  <w:style w:type="paragraph" w:customStyle="1" w:styleId="afffffffff">
    <w:name w:val="标准文件_三级无标题"/>
    <w:basedOn w:val="afff1"/>
    <w:qFormat/>
    <w:pPr>
      <w:spacing w:beforeLines="0" w:afterLines="0"/>
      <w:outlineLvl w:val="9"/>
    </w:pPr>
    <w:rPr>
      <w:rFonts w:ascii="宋体" w:eastAsia="宋体"/>
    </w:rPr>
  </w:style>
  <w:style w:type="paragraph" w:customStyle="1" w:styleId="afffffffff0">
    <w:name w:val="标准文件_二级无标题"/>
    <w:basedOn w:val="afff0"/>
    <w:qFormat/>
    <w:pPr>
      <w:spacing w:beforeLines="0" w:afterLines="0"/>
      <w:outlineLvl w:val="9"/>
    </w:pPr>
    <w:rPr>
      <w:rFonts w:ascii="宋体" w:eastAsia="宋体"/>
    </w:rPr>
  </w:style>
  <w:style w:type="paragraph" w:customStyle="1" w:styleId="afffffffff1">
    <w:name w:val="标准_四级无标题"/>
    <w:basedOn w:val="afff2"/>
    <w:next w:val="afffff4"/>
    <w:qFormat/>
    <w:rPr>
      <w:rFonts w:eastAsia="宋体"/>
    </w:rPr>
  </w:style>
  <w:style w:type="paragraph" w:customStyle="1" w:styleId="afffffffff2">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5"/>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4">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4"/>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4">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c">
    <w:name w:val="标准文件_示例×："/>
    <w:basedOn w:val="afff7"/>
    <w:next w:val="afffffffff9"/>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4"/>
    <w:qFormat/>
    <w:rPr>
      <w:rFonts w:ascii="宋体" w:hAnsi="Times New Roman"/>
      <w:sz w:val="21"/>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8"/>
    <w:uiPriority w:val="99"/>
    <w:semiHidden/>
    <w:qFormat/>
    <w:rPr>
      <w:color w:val="808080"/>
    </w:rPr>
  </w:style>
  <w:style w:type="paragraph" w:customStyle="1" w:styleId="2">
    <w:name w:val="标准文件_二级项2"/>
    <w:basedOn w:val="afffff4"/>
    <w:qFormat/>
    <w:pPr>
      <w:numPr>
        <w:ilvl w:val="1"/>
        <w:numId w:val="21"/>
      </w:numPr>
      <w:ind w:left="1271" w:firstLineChars="0" w:hanging="420"/>
    </w:pPr>
  </w:style>
  <w:style w:type="paragraph" w:customStyle="1" w:styleId="21">
    <w:name w:val="标准文件_三级项2"/>
    <w:basedOn w:val="afffff4"/>
    <w:qFormat/>
    <w:pPr>
      <w:numPr>
        <w:numId w:val="30"/>
      </w:numPr>
      <w:spacing w:line="300" w:lineRule="exact"/>
      <w:ind w:left="1276" w:firstLineChars="0" w:hanging="425"/>
    </w:pPr>
    <w:rPr>
      <w:rFonts w:ascii="Times New Roman"/>
    </w:rPr>
  </w:style>
  <w:style w:type="paragraph" w:customStyle="1" w:styleId="20">
    <w:name w:val="标准文件_一级项2"/>
    <w:basedOn w:val="afffff4"/>
    <w:qFormat/>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8"/>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round"/>
      <w:spacing w:before="57"/>
    </w:pPr>
    <w:rPr>
      <w:sz w:val="21"/>
    </w:rPr>
  </w:style>
  <w:style w:type="paragraph" w:customStyle="1" w:styleId="affffffffff3">
    <w:name w:val="标准文件_文件名称"/>
    <w:basedOn w:val="afffff4"/>
    <w:next w:val="afffff4"/>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6"/>
    <w:qFormat/>
    <w:pPr>
      <w:spacing w:beforeLines="0" w:afterLines="0" w:line="276" w:lineRule="auto"/>
      <w:outlineLvl w:val="9"/>
    </w:pPr>
    <w:rPr>
      <w:rFonts w:ascii="宋体" w:eastAsia="宋体"/>
    </w:rPr>
  </w:style>
  <w:style w:type="paragraph" w:customStyle="1" w:styleId="affffffffff8">
    <w:name w:val="标准文件_附录二级无标题"/>
    <w:basedOn w:val="aff7"/>
    <w:qFormat/>
    <w:pPr>
      <w:spacing w:beforeLines="0" w:afterLines="0" w:line="276" w:lineRule="auto"/>
      <w:outlineLvl w:val="9"/>
    </w:pPr>
    <w:rPr>
      <w:rFonts w:ascii="宋体" w:eastAsia="宋体"/>
    </w:rPr>
  </w:style>
  <w:style w:type="paragraph" w:customStyle="1" w:styleId="affffffffff9">
    <w:name w:val="标准文件_附录三级无标题"/>
    <w:basedOn w:val="aff8"/>
    <w:qFormat/>
    <w:pPr>
      <w:spacing w:beforeLines="0" w:afterLines="0" w:line="276" w:lineRule="auto"/>
      <w:outlineLvl w:val="9"/>
    </w:pPr>
    <w:rPr>
      <w:rFonts w:ascii="宋体" w:eastAsia="宋体"/>
    </w:rPr>
  </w:style>
  <w:style w:type="paragraph" w:customStyle="1" w:styleId="affffffffffa">
    <w:name w:val="标准文件_附录四级无标题"/>
    <w:basedOn w:val="aff9"/>
    <w:qFormat/>
    <w:pPr>
      <w:spacing w:beforeLines="0" w:afterLines="0" w:line="276" w:lineRule="auto"/>
      <w:outlineLvl w:val="9"/>
    </w:pPr>
    <w:rPr>
      <w:rFonts w:ascii="宋体" w:eastAsia="宋体"/>
    </w:rPr>
  </w:style>
  <w:style w:type="paragraph" w:customStyle="1" w:styleId="affffffffffb">
    <w:name w:val="标准文件_附录五级无标题"/>
    <w:basedOn w:val="affa"/>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pPr>
      <w:spacing w:beforeLines="0" w:afterLines="0" w:line="276" w:lineRule="auto"/>
    </w:pPr>
    <w:rPr>
      <w:rFonts w:ascii="宋体" w:eastAsia="宋体"/>
    </w:rPr>
  </w:style>
  <w:style w:type="paragraph" w:customStyle="1" w:styleId="affffffffffd">
    <w:name w:val="标准文件_引言二级无标题"/>
    <w:basedOn w:val="a8"/>
    <w:next w:val="afffff4"/>
    <w:qFormat/>
    <w:pPr>
      <w:spacing w:beforeLines="0" w:afterLines="0" w:line="276" w:lineRule="auto"/>
    </w:pPr>
    <w:rPr>
      <w:rFonts w:ascii="宋体" w:eastAsia="宋体"/>
    </w:rPr>
  </w:style>
  <w:style w:type="paragraph" w:customStyle="1" w:styleId="affffffffffe">
    <w:name w:val="标准文件_引言三级无标题"/>
    <w:basedOn w:val="a9"/>
    <w:next w:val="afffff4"/>
    <w:qFormat/>
    <w:pPr>
      <w:spacing w:beforeLines="0" w:afterLines="0" w:line="276" w:lineRule="auto"/>
    </w:pPr>
    <w:rPr>
      <w:rFonts w:ascii="宋体" w:eastAsia="宋体"/>
    </w:rPr>
  </w:style>
  <w:style w:type="paragraph" w:customStyle="1" w:styleId="afffffffffff">
    <w:name w:val="标准文件_引言四级无标题"/>
    <w:basedOn w:val="aa"/>
    <w:next w:val="afffff4"/>
    <w:qFormat/>
    <w:pPr>
      <w:spacing w:beforeLines="0" w:afterLines="0" w:line="276" w:lineRule="auto"/>
    </w:pPr>
    <w:rPr>
      <w:rFonts w:ascii="宋体" w:eastAsia="宋体"/>
    </w:rPr>
  </w:style>
  <w:style w:type="paragraph" w:customStyle="1" w:styleId="afffffffffff0">
    <w:name w:val="标准文件_引言五级无标题"/>
    <w:basedOn w:val="ab"/>
    <w:next w:val="afffff4"/>
    <w:qFormat/>
    <w:pPr>
      <w:spacing w:beforeLines="0" w:afterLines="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8"/>
    <w:qFormat/>
    <w:rPr>
      <w:rFonts w:ascii="黑体" w:eastAsia="黑体"/>
      <w:spacing w:val="85"/>
      <w:w w:val="100"/>
      <w:position w:val="3"/>
      <w:sz w:val="28"/>
      <w:szCs w:val="28"/>
    </w:rPr>
  </w:style>
  <w:style w:type="character" w:customStyle="1" w:styleId="Char">
    <w:name w:val="文档结构图 Char"/>
    <w:basedOn w:val="afff8"/>
    <w:link w:val="afffc"/>
    <w:uiPriority w:val="99"/>
    <w:semiHidden/>
    <w:qFormat/>
    <w:rPr>
      <w:rFonts w:ascii="宋体"/>
      <w:kern w:val="2"/>
      <w:sz w:val="18"/>
      <w:szCs w:val="18"/>
    </w:rPr>
  </w:style>
  <w:style w:type="character" w:customStyle="1" w:styleId="Chara">
    <w:name w:val="段 Char"/>
    <w:link w:val="afffffffffff9"/>
    <w:qFormat/>
    <w:rPr>
      <w:rFonts w:ascii="宋体"/>
      <w:sz w:val="21"/>
    </w:rPr>
  </w:style>
  <w:style w:type="paragraph" w:customStyle="1" w:styleId="afffffffffff9">
    <w:name w:val="段"/>
    <w:link w:val="Chara"/>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6">
    <w:name w:val="附录章标题"/>
    <w:next w:val="afffffffffff9"/>
    <w:qFormat/>
    <w:pPr>
      <w:numPr>
        <w:ilvl w:val="1"/>
        <w:numId w:val="3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a">
    <w:name w:val="字母编号列项（一级）"/>
    <w:qFormat/>
    <w:pPr>
      <w:tabs>
        <w:tab w:val="left" w:pos="840"/>
      </w:tabs>
      <w:ind w:left="823" w:hanging="420"/>
      <w:jc w:val="both"/>
    </w:pPr>
    <w:rPr>
      <w:rFonts w:ascii="宋体"/>
      <w:sz w:val="21"/>
    </w:rPr>
  </w:style>
  <w:style w:type="paragraph" w:customStyle="1" w:styleId="af1">
    <w:name w:val="二级无"/>
    <w:basedOn w:val="afff7"/>
    <w:qFormat/>
    <w:pPr>
      <w:widowControl/>
      <w:numPr>
        <w:ilvl w:val="2"/>
        <w:numId w:val="7"/>
      </w:numPr>
      <w:tabs>
        <w:tab w:val="left" w:pos="0"/>
      </w:tabs>
      <w:adjustRightInd/>
      <w:spacing w:line="240" w:lineRule="auto"/>
      <w:jc w:val="left"/>
      <w:outlineLvl w:val="3"/>
    </w:pPr>
    <w:rPr>
      <w:rFonts w:ascii="宋体" w:hAnsi="Times New Roman"/>
      <w:kern w:val="0"/>
    </w:rPr>
  </w:style>
  <w:style w:type="paragraph" w:customStyle="1" w:styleId="Style236">
    <w:name w:val="_Style 236"/>
    <w:basedOn w:val="afff7"/>
    <w:next w:val="afffffffffffb"/>
    <w:uiPriority w:val="34"/>
    <w:qFormat/>
    <w:pPr>
      <w:adjustRightInd/>
      <w:spacing w:line="240" w:lineRule="auto"/>
      <w:ind w:firstLineChars="200" w:firstLine="420"/>
    </w:pPr>
    <w:rPr>
      <w:szCs w:val="22"/>
    </w:rPr>
  </w:style>
  <w:style w:type="paragraph" w:styleId="afffffffffffb">
    <w:name w:val="List Paragraph"/>
    <w:basedOn w:val="afff7"/>
    <w:uiPriority w:val="34"/>
    <w:qFormat/>
    <w:pPr>
      <w:ind w:firstLineChars="200" w:firstLine="420"/>
    </w:pPr>
  </w:style>
  <w:style w:type="paragraph" w:customStyle="1" w:styleId="afffffffffffc">
    <w:name w:val="一级条标题"/>
    <w:next w:val="afffffffffff9"/>
    <w:qFormat/>
    <w:pPr>
      <w:tabs>
        <w:tab w:val="left" w:pos="1260"/>
      </w:tabs>
      <w:spacing w:beforeLines="50" w:afterLines="50"/>
      <w:outlineLvl w:val="2"/>
    </w:pPr>
    <w:rPr>
      <w:rFonts w:ascii="黑体" w:eastAsia="黑体"/>
      <w:sz w:val="21"/>
      <w:szCs w:val="21"/>
    </w:rPr>
  </w:style>
  <w:style w:type="character" w:customStyle="1" w:styleId="Char0">
    <w:name w:val="批注文字 Char"/>
    <w:basedOn w:val="afff8"/>
    <w:link w:val="afffd"/>
    <w:uiPriority w:val="99"/>
    <w:semiHidden/>
    <w:qFormat/>
    <w:rPr>
      <w:kern w:val="2"/>
      <w:sz w:val="21"/>
      <w:szCs w:val="21"/>
    </w:rPr>
  </w:style>
  <w:style w:type="character" w:customStyle="1" w:styleId="Char7">
    <w:name w:val="批注主题 Char"/>
    <w:basedOn w:val="Char0"/>
    <w:link w:val="affff5"/>
    <w:uiPriority w:val="99"/>
    <w:semiHidden/>
    <w:qFormat/>
    <w:rPr>
      <w:b/>
      <w:bCs/>
      <w:kern w:val="2"/>
      <w:sz w:val="21"/>
      <w:szCs w:val="21"/>
    </w:rPr>
  </w:style>
  <w:style w:type="paragraph" w:customStyle="1" w:styleId="afffffffffffd">
    <w:name w:val="章标题"/>
    <w:next w:val="afffffffffff9"/>
    <w:qFormat/>
    <w:pPr>
      <w:spacing w:beforeLines="100" w:afterLines="100"/>
      <w:jc w:val="both"/>
      <w:outlineLvl w:val="1"/>
    </w:pPr>
    <w:rPr>
      <w:rFonts w:ascii="黑体" w:eastAsia="黑体"/>
      <w:sz w:val="21"/>
    </w:rPr>
  </w:style>
  <w:style w:type="paragraph" w:customStyle="1" w:styleId="afffffffffffe">
    <w:name w:val="二级条标题"/>
    <w:basedOn w:val="afffffffffffc"/>
    <w:next w:val="afffffffffff9"/>
    <w:qFormat/>
    <w:pPr>
      <w:tabs>
        <w:tab w:val="clear" w:pos="1260"/>
      </w:tabs>
      <w:spacing w:before="50" w:after="50"/>
      <w:ind w:left="568"/>
      <w:outlineLvl w:val="3"/>
    </w:pPr>
  </w:style>
  <w:style w:type="paragraph" w:customStyle="1" w:styleId="affffffffffff">
    <w:name w:val="列项——（一级）"/>
    <w:qFormat/>
    <w:pPr>
      <w:widowControl w:val="0"/>
      <w:ind w:left="834" w:hanging="408"/>
      <w:jc w:val="both"/>
    </w:pPr>
    <w:rPr>
      <w:rFonts w:ascii="宋体"/>
      <w:sz w:val="21"/>
    </w:rPr>
  </w:style>
  <w:style w:type="paragraph" w:customStyle="1" w:styleId="affffffffffff0">
    <w:name w:val="列项●（二级）"/>
    <w:qFormat/>
    <w:pPr>
      <w:tabs>
        <w:tab w:val="left" w:pos="760"/>
        <w:tab w:val="left" w:pos="840"/>
      </w:tabs>
      <w:ind w:left="1264" w:hanging="413"/>
      <w:jc w:val="both"/>
    </w:pPr>
    <w:rPr>
      <w:rFonts w:ascii="宋体"/>
      <w:sz w:val="21"/>
    </w:rPr>
  </w:style>
  <w:style w:type="paragraph" w:customStyle="1" w:styleId="affffffffffff1">
    <w:name w:val="三级条标题"/>
    <w:basedOn w:val="afffffffffffe"/>
    <w:next w:val="afffffffffff9"/>
    <w:qFormat/>
    <w:pPr>
      <w:ind w:left="993"/>
      <w:outlineLvl w:val="4"/>
    </w:pPr>
  </w:style>
  <w:style w:type="paragraph" w:customStyle="1" w:styleId="affffffffffff2">
    <w:name w:val="四级条标题"/>
    <w:basedOn w:val="affffffffffff1"/>
    <w:next w:val="afffffffffff9"/>
    <w:qFormat/>
    <w:pPr>
      <w:ind w:left="0"/>
      <w:outlineLvl w:val="5"/>
    </w:pPr>
  </w:style>
  <w:style w:type="paragraph" w:customStyle="1" w:styleId="affffffffffff3">
    <w:name w:val="五级条标题"/>
    <w:basedOn w:val="affffffffffff2"/>
    <w:next w:val="afffffffffff9"/>
    <w:qFormat/>
    <w:pPr>
      <w:outlineLvl w:val="6"/>
    </w:pPr>
  </w:style>
  <w:style w:type="paragraph" w:customStyle="1" w:styleId="affffffffffff4">
    <w:name w:val="列项◆（三级）"/>
    <w:basedOn w:val="afff7"/>
    <w:qFormat/>
    <w:pPr>
      <w:tabs>
        <w:tab w:val="left" w:pos="1678"/>
      </w:tabs>
      <w:adjustRightInd/>
      <w:spacing w:line="240" w:lineRule="auto"/>
      <w:ind w:left="1678" w:hanging="414"/>
    </w:pPr>
    <w:rPr>
      <w:rFonts w:ascii="宋体"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Document Map"/>
    <w:basedOn w:val="afff7"/>
    <w:link w:val="Char"/>
    <w:uiPriority w:val="99"/>
    <w:semiHidden/>
    <w:unhideWhenUsed/>
    <w:qFormat/>
    <w:rPr>
      <w:rFonts w:ascii="宋体"/>
      <w:sz w:val="18"/>
      <w:szCs w:val="18"/>
    </w:rPr>
  </w:style>
  <w:style w:type="paragraph" w:styleId="afffd">
    <w:name w:val="annotation text"/>
    <w:basedOn w:val="afff7"/>
    <w:link w:val="Char0"/>
    <w:uiPriority w:val="99"/>
    <w:semiHidden/>
    <w:unhideWhenUsed/>
    <w:qFormat/>
    <w:pPr>
      <w:jc w:val="left"/>
    </w:pPr>
  </w:style>
  <w:style w:type="paragraph" w:styleId="afffe">
    <w:name w:val="Body Text"/>
    <w:basedOn w:val="afff7"/>
    <w:link w:val="Char1"/>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f">
    <w:name w:val="Balloon Text"/>
    <w:basedOn w:val="afff7"/>
    <w:link w:val="Char2"/>
    <w:uiPriority w:val="99"/>
    <w:semiHidden/>
    <w:unhideWhenUsed/>
    <w:qFormat/>
    <w:rPr>
      <w:sz w:val="18"/>
      <w:szCs w:val="18"/>
    </w:rPr>
  </w:style>
  <w:style w:type="paragraph" w:styleId="affff0">
    <w:name w:val="footer"/>
    <w:basedOn w:val="afff7"/>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7"/>
    <w:link w:val="Char4"/>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2">
    <w:name w:val="footnote text"/>
    <w:basedOn w:val="afff7"/>
    <w:next w:val="afff7"/>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3">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4">
    <w:name w:val="Title"/>
    <w:basedOn w:val="afff7"/>
    <w:link w:val="Char6"/>
    <w:qFormat/>
    <w:pPr>
      <w:spacing w:before="240" w:after="60"/>
      <w:jc w:val="center"/>
      <w:outlineLvl w:val="0"/>
    </w:pPr>
    <w:rPr>
      <w:rFonts w:ascii="Arial" w:hAnsi="Arial" w:cs="Arial"/>
      <w:b/>
      <w:bCs/>
      <w:sz w:val="32"/>
      <w:szCs w:val="32"/>
    </w:rPr>
  </w:style>
  <w:style w:type="paragraph" w:styleId="affff5">
    <w:name w:val="annotation subject"/>
    <w:basedOn w:val="afffd"/>
    <w:next w:val="afffd"/>
    <w:link w:val="Char7"/>
    <w:uiPriority w:val="99"/>
    <w:semiHidden/>
    <w:unhideWhenUsed/>
    <w:qFormat/>
    <w:rPr>
      <w:b/>
      <w:bCs/>
    </w:rPr>
  </w:style>
  <w:style w:type="table" w:styleId="affff6">
    <w:name w:val="Table Grid"/>
    <w:basedOn w:val="aff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annotation reference"/>
    <w:basedOn w:val="afff8"/>
    <w:uiPriority w:val="99"/>
    <w:semiHidden/>
    <w:unhideWhenUsed/>
    <w:qFormat/>
    <w:rPr>
      <w:sz w:val="21"/>
      <w:szCs w:val="21"/>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4">
    <w:name w:val="页眉 Char"/>
    <w:link w:val="affff1"/>
    <w:uiPriority w:val="99"/>
    <w:qFormat/>
    <w:rPr>
      <w:rFonts w:ascii="Times New Roman" w:eastAsia="宋体" w:hAnsi="Times New Roman" w:cs="Times New Roman"/>
      <w:sz w:val="18"/>
      <w:szCs w:val="18"/>
    </w:rPr>
  </w:style>
  <w:style w:type="character" w:customStyle="1" w:styleId="Char3">
    <w:name w:val="页脚 Char"/>
    <w:link w:val="affff0"/>
    <w:uiPriority w:val="99"/>
    <w:qFormat/>
    <w:rPr>
      <w:rFonts w:ascii="宋体" w:eastAsia="宋体" w:hAnsi="Times New Roman" w:cs="Times New Roman"/>
      <w:sz w:val="18"/>
      <w:szCs w:val="18"/>
    </w:rPr>
  </w:style>
  <w:style w:type="character" w:customStyle="1" w:styleId="Char2">
    <w:name w:val="批注框文本 Char"/>
    <w:link w:val="affff"/>
    <w:uiPriority w:val="99"/>
    <w:semiHidden/>
    <w:qFormat/>
    <w:rPr>
      <w:sz w:val="18"/>
      <w:szCs w:val="18"/>
    </w:rPr>
  </w:style>
  <w:style w:type="paragraph" w:styleId="affffd">
    <w:name w:val="Quote"/>
    <w:basedOn w:val="afff7"/>
    <w:next w:val="afff7"/>
    <w:link w:val="Char8"/>
    <w:uiPriority w:val="29"/>
    <w:qFormat/>
    <w:rPr>
      <w:i/>
      <w:iCs/>
      <w:color w:val="000000"/>
    </w:rPr>
  </w:style>
  <w:style w:type="character" w:customStyle="1" w:styleId="Char8">
    <w:name w:val="引用 Char"/>
    <w:link w:val="affffd"/>
    <w:uiPriority w:val="29"/>
    <w:qFormat/>
    <w:rPr>
      <w:i/>
      <w:iCs/>
      <w:color w:val="000000"/>
    </w:rPr>
  </w:style>
  <w:style w:type="character" w:customStyle="1" w:styleId="Char6">
    <w:name w:val="标题 Char"/>
    <w:link w:val="affff4"/>
    <w:qFormat/>
    <w:rPr>
      <w:rFonts w:ascii="Arial" w:eastAsia="宋体" w:hAnsi="Arial" w:cs="Arial"/>
      <w:b/>
      <w:bCs/>
      <w:sz w:val="32"/>
      <w:szCs w:val="32"/>
    </w:rPr>
  </w:style>
  <w:style w:type="paragraph" w:customStyle="1" w:styleId="affffe">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pPr>
      <w:ind w:left="198"/>
    </w:pPr>
    <w:rPr>
      <w:rFonts w:ascii="宋体"/>
      <w:sz w:val="18"/>
    </w:rPr>
  </w:style>
  <w:style w:type="paragraph" w:customStyle="1" w:styleId="afffff1">
    <w:name w:val="标准文件_页脚奇数页"/>
    <w:qFormat/>
    <w:pPr>
      <w:ind w:right="227"/>
      <w:jc w:val="right"/>
    </w:pPr>
    <w:rPr>
      <w:rFonts w:ascii="宋体"/>
      <w:sz w:val="18"/>
    </w:rPr>
  </w:style>
  <w:style w:type="paragraph" w:customStyle="1" w:styleId="afffff2">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3">
    <w:name w:val="标准文件_标准正文"/>
    <w:basedOn w:val="afff7"/>
    <w:next w:val="afffff4"/>
    <w:qFormat/>
    <w:pPr>
      <w:snapToGrid w:val="0"/>
      <w:ind w:firstLineChars="200" w:firstLine="200"/>
    </w:pPr>
    <w:rPr>
      <w:kern w:val="0"/>
    </w:rPr>
  </w:style>
  <w:style w:type="paragraph" w:customStyle="1" w:styleId="afffff4">
    <w:name w:val="标准文件_段"/>
    <w:link w:val="Char9"/>
    <w:qFormat/>
    <w:pPr>
      <w:autoSpaceDE w:val="0"/>
      <w:autoSpaceDN w:val="0"/>
      <w:ind w:firstLineChars="200" w:firstLine="200"/>
      <w:jc w:val="both"/>
    </w:pPr>
    <w:rPr>
      <w:rFonts w:ascii="宋体"/>
      <w:sz w:val="21"/>
    </w:rPr>
  </w:style>
  <w:style w:type="paragraph" w:customStyle="1" w:styleId="afffff5">
    <w:name w:val="标准文件_版本"/>
    <w:basedOn w:val="afffff3"/>
    <w:qFormat/>
    <w:pPr>
      <w:adjustRightInd/>
      <w:snapToGrid/>
      <w:ind w:firstLineChars="0" w:firstLine="0"/>
    </w:pPr>
    <w:rPr>
      <w:rFonts w:ascii="宋体" w:hAnsi="宋体"/>
      <w:kern w:val="2"/>
    </w:rPr>
  </w:style>
  <w:style w:type="paragraph" w:customStyle="1" w:styleId="afffff6">
    <w:name w:val="标准文件_标准部门"/>
    <w:basedOn w:val="afff7"/>
    <w:qFormat/>
    <w:pPr>
      <w:jc w:val="center"/>
    </w:pPr>
    <w:rPr>
      <w:rFonts w:ascii="黑体" w:eastAsia="黑体"/>
      <w:kern w:val="0"/>
      <w:sz w:val="44"/>
    </w:rPr>
  </w:style>
  <w:style w:type="paragraph" w:customStyle="1" w:styleId="afffff7">
    <w:name w:val="标准文件_标准代替"/>
    <w:basedOn w:val="afff7"/>
    <w:next w:val="afff7"/>
    <w:qFormat/>
    <w:pPr>
      <w:spacing w:line="310" w:lineRule="exact"/>
      <w:jc w:val="right"/>
    </w:pPr>
    <w:rPr>
      <w:rFonts w:ascii="宋体" w:hAnsi="宋体"/>
      <w:kern w:val="0"/>
    </w:rPr>
  </w:style>
  <w:style w:type="paragraph" w:customStyle="1" w:styleId="afffff8">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7"/>
    <w:qFormat/>
    <w:pPr>
      <w:jc w:val="left"/>
    </w:pPr>
  </w:style>
  <w:style w:type="paragraph" w:customStyle="1" w:styleId="afffffb">
    <w:name w:val="标准文件_参考文献标题"/>
    <w:basedOn w:val="afff7"/>
    <w:next w:val="afff7"/>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4"/>
    <w:qFormat/>
    <w:pPr>
      <w:widowControl w:val="0"/>
      <w:numPr>
        <w:ilvl w:val="3"/>
        <w:numId w:val="2"/>
      </w:numPr>
      <w:spacing w:beforeLines="50" w:afterLines="50"/>
      <w:jc w:val="both"/>
      <w:outlineLvl w:val="2"/>
    </w:pPr>
    <w:rPr>
      <w:rFonts w:ascii="黑体" w:eastAsia="黑体"/>
      <w:sz w:val="21"/>
    </w:rPr>
  </w:style>
  <w:style w:type="character" w:customStyle="1" w:styleId="afffffc">
    <w:name w:val="标准文件_发布"/>
    <w:qFormat/>
    <w:rPr>
      <w:rFonts w:ascii="黑体" w:eastAsia="黑体"/>
      <w:spacing w:val="0"/>
      <w:w w:val="100"/>
      <w:position w:val="3"/>
      <w:sz w:val="28"/>
    </w:rPr>
  </w:style>
  <w:style w:type="paragraph" w:customStyle="1" w:styleId="ad">
    <w:name w:val="标准文件_方框数字列项"/>
    <w:basedOn w:val="afffff4"/>
    <w:qFormat/>
    <w:pPr>
      <w:numPr>
        <w:numId w:val="3"/>
      </w:numPr>
      <w:ind w:firstLineChars="0" w:firstLine="0"/>
    </w:pPr>
  </w:style>
  <w:style w:type="paragraph" w:customStyle="1" w:styleId="afffffd">
    <w:name w:val="标准文件_封面标准编号"/>
    <w:basedOn w:val="afff7"/>
    <w:next w:val="afffff7"/>
    <w:qFormat/>
    <w:pPr>
      <w:spacing w:line="310" w:lineRule="exact"/>
      <w:jc w:val="right"/>
    </w:pPr>
    <w:rPr>
      <w:rFonts w:ascii="黑体" w:eastAsia="黑体"/>
      <w:kern w:val="0"/>
      <w:sz w:val="28"/>
    </w:rPr>
  </w:style>
  <w:style w:type="paragraph" w:customStyle="1" w:styleId="afffffe">
    <w:name w:val="标准文件_封面标准分类号"/>
    <w:basedOn w:val="afff7"/>
    <w:qFormat/>
    <w:rPr>
      <w:rFonts w:ascii="黑体" w:eastAsia="黑体"/>
      <w:b/>
      <w:kern w:val="0"/>
      <w:sz w:val="28"/>
    </w:rPr>
  </w:style>
  <w:style w:type="paragraph" w:customStyle="1" w:styleId="affffff">
    <w:name w:val="标准文件_封面标准名称"/>
    <w:basedOn w:val="afff7"/>
    <w:qFormat/>
    <w:pPr>
      <w:spacing w:line="240" w:lineRule="auto"/>
      <w:jc w:val="center"/>
    </w:pPr>
    <w:rPr>
      <w:rFonts w:ascii="黑体" w:eastAsia="黑体"/>
      <w:kern w:val="0"/>
      <w:sz w:val="52"/>
    </w:rPr>
  </w:style>
  <w:style w:type="paragraph" w:customStyle="1" w:styleId="affffff0">
    <w:name w:val="标准文件_封面标准英文名称"/>
    <w:basedOn w:val="afff7"/>
    <w:qFormat/>
    <w:pPr>
      <w:spacing w:line="240" w:lineRule="auto"/>
      <w:jc w:val="center"/>
    </w:pPr>
    <w:rPr>
      <w:rFonts w:ascii="黑体" w:eastAsia="黑体"/>
      <w:b/>
      <w:sz w:val="28"/>
    </w:rPr>
  </w:style>
  <w:style w:type="paragraph" w:customStyle="1" w:styleId="affffff1">
    <w:name w:val="标准文件_封面发布日期"/>
    <w:basedOn w:val="afff7"/>
    <w:qFormat/>
    <w:pPr>
      <w:spacing w:line="310" w:lineRule="exact"/>
    </w:pPr>
    <w:rPr>
      <w:rFonts w:ascii="黑体" w:eastAsia="黑体"/>
      <w:kern w:val="0"/>
      <w:sz w:val="28"/>
    </w:rPr>
  </w:style>
  <w:style w:type="paragraph" w:customStyle="1" w:styleId="affffff2">
    <w:name w:val="标准文件_封面密级"/>
    <w:basedOn w:val="afff7"/>
    <w:qFormat/>
    <w:rPr>
      <w:rFonts w:eastAsia="黑体"/>
      <w:sz w:val="32"/>
    </w:rPr>
  </w:style>
  <w:style w:type="paragraph" w:customStyle="1" w:styleId="affffff3">
    <w:name w:val="标准文件_封面实施日期"/>
    <w:basedOn w:val="afff7"/>
    <w:qFormat/>
    <w:pPr>
      <w:spacing w:line="310" w:lineRule="exact"/>
      <w:jc w:val="right"/>
    </w:pPr>
    <w:rPr>
      <w:rFonts w:ascii="黑体" w:eastAsia="黑体"/>
      <w:sz w:val="28"/>
    </w:rPr>
  </w:style>
  <w:style w:type="paragraph" w:customStyle="1" w:styleId="affffff4">
    <w:name w:val="标准文件_封面抬头"/>
    <w:basedOn w:val="afffff4"/>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4"/>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4"/>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4"/>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4"/>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4"/>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4"/>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4"/>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4"/>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e"/>
    <w:qFormat/>
    <w:rPr>
      <w:rFonts w:ascii="Times New Roman" w:eastAsia="宋体" w:hAnsi="Times New Roman" w:cs="Times New Roman"/>
      <w:szCs w:val="20"/>
    </w:rPr>
  </w:style>
  <w:style w:type="paragraph" w:customStyle="1" w:styleId="affffff6">
    <w:name w:val="标准文件_附录章标题"/>
    <w:next w:val="afffff4"/>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8">
    <w:name w:val="标准文件_目次、标准名称标题"/>
    <w:basedOn w:val="a6"/>
    <w:next w:val="afffff4"/>
    <w:qFormat/>
    <w:pPr>
      <w:spacing w:line="460" w:lineRule="exact"/>
    </w:pPr>
  </w:style>
  <w:style w:type="paragraph" w:customStyle="1" w:styleId="affffff9">
    <w:name w:val="标准文件_目录标题"/>
    <w:basedOn w:val="afff7"/>
    <w:qFormat/>
    <w:pPr>
      <w:spacing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2"/>
    <w:qFormat/>
    <w:pPr>
      <w:numPr>
        <w:numId w:val="10"/>
      </w:numPr>
      <w:ind w:left="0" w:firstLine="200"/>
    </w:pPr>
  </w:style>
  <w:style w:type="paragraph" w:customStyle="1" w:styleId="afff1">
    <w:name w:val="标准文件_三级条标题"/>
    <w:basedOn w:val="afff0"/>
    <w:next w:val="afffff4"/>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a">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4"/>
    <w:qFormat/>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2"/>
    <w:semiHidden/>
    <w:qFormat/>
    <w:rPr>
      <w:rFonts w:ascii="宋体" w:eastAsia="宋体" w:hAnsi="Times New Roman" w:cs="Times New Roman"/>
      <w:sz w:val="18"/>
      <w:szCs w:val="18"/>
    </w:rPr>
  </w:style>
  <w:style w:type="paragraph" w:customStyle="1" w:styleId="affffffb">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7"/>
    <w:next w:val="afffff4"/>
    <w:qFormat/>
    <w:pPr>
      <w:numPr>
        <w:numId w:val="12"/>
      </w:numPr>
      <w:spacing w:line="240" w:lineRule="auto"/>
      <w:jc w:val="left"/>
    </w:pPr>
    <w:rPr>
      <w:rFonts w:ascii="宋体" w:hAnsi="宋体"/>
      <w:sz w:val="18"/>
    </w:rPr>
  </w:style>
  <w:style w:type="character" w:customStyle="1" w:styleId="affffffc">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4"/>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4"/>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4"/>
    <w:qFormat/>
    <w:pPr>
      <w:numPr>
        <w:ilvl w:val="2"/>
      </w:numPr>
      <w:spacing w:beforeLines="50" w:afterLines="50"/>
      <w:outlineLvl w:val="1"/>
    </w:pPr>
  </w:style>
  <w:style w:type="paragraph" w:customStyle="1" w:styleId="affffffd">
    <w:name w:val="标准文件_一致程度"/>
    <w:basedOn w:val="afff7"/>
    <w:qFormat/>
    <w:pPr>
      <w:spacing w:line="440" w:lineRule="exact"/>
      <w:jc w:val="center"/>
    </w:pPr>
    <w:rPr>
      <w:sz w:val="28"/>
    </w:rPr>
  </w:style>
  <w:style w:type="paragraph" w:customStyle="1" w:styleId="affffffe">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4"/>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4"/>
    <w:qFormat/>
    <w:pPr>
      <w:numPr>
        <w:numId w:val="16"/>
      </w:numPr>
      <w:tabs>
        <w:tab w:val="left" w:pos="0"/>
      </w:tabs>
      <w:spacing w:beforeLines="50" w:afterLines="50"/>
      <w:jc w:val="center"/>
    </w:pPr>
    <w:rPr>
      <w:rFonts w:ascii="黑体" w:eastAsia="黑体"/>
      <w:sz w:val="21"/>
    </w:rPr>
  </w:style>
  <w:style w:type="paragraph" w:customStyle="1" w:styleId="afffffff0">
    <w:name w:val="标准文件_正文公式"/>
    <w:basedOn w:val="afff7"/>
    <w:next w:val="afffff3"/>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4"/>
    <w:qFormat/>
    <w:pPr>
      <w:numPr>
        <w:numId w:val="17"/>
      </w:numPr>
      <w:spacing w:beforeLines="50" w:afterLines="50"/>
      <w:jc w:val="center"/>
    </w:pPr>
    <w:rPr>
      <w:rFonts w:ascii="黑体" w:eastAsia="黑体"/>
      <w:sz w:val="21"/>
    </w:rPr>
  </w:style>
  <w:style w:type="paragraph" w:customStyle="1" w:styleId="afff5">
    <w:name w:val="标准文件_正文英文表标题"/>
    <w:next w:val="afffff4"/>
    <w:qFormat/>
    <w:pPr>
      <w:numPr>
        <w:numId w:val="18"/>
      </w:numPr>
      <w:jc w:val="center"/>
    </w:pPr>
    <w:rPr>
      <w:rFonts w:ascii="黑体" w:eastAsia="黑体"/>
      <w:sz w:val="21"/>
    </w:rPr>
  </w:style>
  <w:style w:type="paragraph" w:customStyle="1" w:styleId="afd">
    <w:name w:val="标准文件_正文英文图标题"/>
    <w:next w:val="afffff4"/>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1">
    <w:name w:val="发布部门"/>
    <w:next w:val="afffff4"/>
    <w:qFormat/>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pPr>
      <w:framePr w:w="4000" w:h="473" w:hRule="exact" w:hSpace="180" w:vSpace="180" w:wrap="around" w:hAnchor="margin" w:y="13511" w:anchorLock="1"/>
    </w:pPr>
    <w:rPr>
      <w:rFonts w:eastAsia="黑体"/>
      <w:sz w:val="28"/>
    </w:rPr>
  </w:style>
  <w:style w:type="paragraph" w:customStyle="1" w:styleId="afffffff3">
    <w:name w:val="封面标准代替信息"/>
    <w:basedOn w:val="afff7"/>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pPr>
      <w:spacing w:before="180" w:line="180" w:lineRule="exact"/>
      <w:jc w:val="center"/>
    </w:pPr>
    <w:rPr>
      <w:rFonts w:ascii="宋体"/>
      <w:sz w:val="21"/>
    </w:rPr>
  </w:style>
  <w:style w:type="paragraph" w:customStyle="1" w:styleId="afffffff6">
    <w:name w:val="封面标准文稿类别"/>
    <w:qFormat/>
    <w:pPr>
      <w:spacing w:before="440" w:line="400" w:lineRule="exact"/>
      <w:jc w:val="center"/>
    </w:pPr>
    <w:rPr>
      <w:rFonts w:ascii="宋体"/>
      <w:sz w:val="24"/>
    </w:rPr>
  </w:style>
  <w:style w:type="paragraph" w:customStyle="1" w:styleId="afffffff7">
    <w:name w:val="封面标准英文名称"/>
    <w:qFormat/>
    <w:pPr>
      <w:widowControl w:val="0"/>
      <w:spacing w:line="360" w:lineRule="exact"/>
      <w:jc w:val="center"/>
    </w:pPr>
    <w:rPr>
      <w:sz w:val="28"/>
    </w:rPr>
  </w:style>
  <w:style w:type="paragraph" w:customStyle="1" w:styleId="afffffff8">
    <w:name w:val="封面一致性程度标识"/>
    <w:qFormat/>
    <w:pPr>
      <w:spacing w:before="440" w:line="440" w:lineRule="exact"/>
      <w:jc w:val="center"/>
    </w:pPr>
    <w:rPr>
      <w:sz w:val="28"/>
    </w:rPr>
  </w:style>
  <w:style w:type="paragraph" w:customStyle="1" w:styleId="afffffff9">
    <w:name w:val="封面正文"/>
    <w:qFormat/>
    <w:pPr>
      <w:jc w:val="both"/>
    </w:pPr>
  </w:style>
  <w:style w:type="paragraph" w:customStyle="1" w:styleId="afffffffa">
    <w:name w:val="附录二级无标题条"/>
    <w:basedOn w:val="afff7"/>
    <w:next w:val="afffff4"/>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pPr>
      <w:outlineLvl w:val="4"/>
    </w:pPr>
  </w:style>
  <w:style w:type="paragraph" w:customStyle="1" w:styleId="afffffffc">
    <w:name w:val="附录四级无标题条"/>
    <w:basedOn w:val="afffffffb"/>
    <w:next w:val="afffff4"/>
    <w:qFormat/>
    <w:pPr>
      <w:outlineLvl w:val="5"/>
    </w:pPr>
  </w:style>
  <w:style w:type="paragraph" w:customStyle="1" w:styleId="afffffffd">
    <w:name w:val="附录图"/>
    <w:next w:val="afffff4"/>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e">
    <w:name w:val="附录五级无标题条"/>
    <w:basedOn w:val="afffffffc"/>
    <w:next w:val="afffff4"/>
    <w:qFormat/>
    <w:pPr>
      <w:outlineLvl w:val="6"/>
    </w:pPr>
  </w:style>
  <w:style w:type="paragraph" w:customStyle="1" w:styleId="affffffff">
    <w:name w:val="附录性质"/>
    <w:basedOn w:val="afff7"/>
    <w:qFormat/>
    <w:pPr>
      <w:widowControl/>
      <w:adjustRightInd/>
      <w:jc w:val="center"/>
    </w:pPr>
    <w:rPr>
      <w:rFonts w:ascii="黑体" w:eastAsia="黑体"/>
    </w:rPr>
  </w:style>
  <w:style w:type="paragraph" w:customStyle="1" w:styleId="affffffff0">
    <w:name w:val="附录一级无标题条"/>
    <w:basedOn w:val="affffff6"/>
    <w:next w:val="afffff4"/>
    <w:qFormat/>
    <w:pPr>
      <w:autoSpaceDN w:val="0"/>
      <w:outlineLvl w:val="2"/>
    </w:pPr>
    <w:rPr>
      <w:rFonts w:ascii="宋体" w:eastAsia="宋体" w:hAnsi="宋体"/>
    </w:rPr>
  </w:style>
  <w:style w:type="character" w:customStyle="1" w:styleId="affffffff1">
    <w:name w:val="个人答复风格"/>
    <w:qFormat/>
    <w:rPr>
      <w:rFonts w:ascii="Arial" w:eastAsia="宋体" w:hAnsi="Arial" w:cs="Arial"/>
      <w:color w:val="auto"/>
      <w:spacing w:val="0"/>
      <w:sz w:val="20"/>
    </w:rPr>
  </w:style>
  <w:style w:type="character" w:customStyle="1" w:styleId="affffffff2">
    <w:name w:val="个人撰写风格"/>
    <w:qFormat/>
    <w:rPr>
      <w:rFonts w:ascii="Arial" w:eastAsia="宋体" w:hAnsi="Arial" w:cs="Arial"/>
      <w:color w:val="auto"/>
      <w:spacing w:val="0"/>
      <w:sz w:val="20"/>
    </w:rPr>
  </w:style>
  <w:style w:type="paragraph" w:customStyle="1" w:styleId="affffffff3">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4">
    <w:name w:val="列项·"/>
    <w:basedOn w:val="afffff4"/>
    <w:qFormat/>
    <w:pPr>
      <w:tabs>
        <w:tab w:val="left" w:pos="840"/>
      </w:tabs>
    </w:pPr>
  </w:style>
  <w:style w:type="paragraph" w:customStyle="1" w:styleId="affffffff5">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6">
    <w:name w:val="其他标准称谓"/>
    <w:qFormat/>
    <w:pPr>
      <w:spacing w:line="0" w:lineRule="atLeast"/>
      <w:jc w:val="distribute"/>
    </w:pPr>
    <w:rPr>
      <w:rFonts w:ascii="黑体" w:eastAsia="黑体" w:hAnsi="宋体"/>
      <w:sz w:val="52"/>
    </w:rPr>
  </w:style>
  <w:style w:type="paragraph" w:customStyle="1" w:styleId="affffffff7">
    <w:name w:val="其他发布部门"/>
    <w:basedOn w:val="afffffff1"/>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8">
    <w:name w:val="实施日期"/>
    <w:basedOn w:val="afffffff2"/>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
    <w:qFormat/>
    <w:pPr>
      <w:spacing w:beforeLines="0" w:afterLines="0"/>
      <w:outlineLvl w:val="9"/>
    </w:pPr>
    <w:rPr>
      <w:rFonts w:ascii="宋体" w:eastAsia="宋体"/>
    </w:rPr>
  </w:style>
  <w:style w:type="paragraph" w:customStyle="1" w:styleId="affffffffe">
    <w:name w:val="标准文件_五级无标题"/>
    <w:basedOn w:val="afff3"/>
    <w:qFormat/>
    <w:pPr>
      <w:spacing w:beforeLines="0" w:afterLines="0"/>
      <w:outlineLvl w:val="9"/>
    </w:pPr>
    <w:rPr>
      <w:rFonts w:ascii="宋体" w:eastAsia="宋体"/>
    </w:rPr>
  </w:style>
  <w:style w:type="paragraph" w:customStyle="1" w:styleId="afffffffff">
    <w:name w:val="标准文件_三级无标题"/>
    <w:basedOn w:val="afff1"/>
    <w:qFormat/>
    <w:pPr>
      <w:spacing w:beforeLines="0" w:afterLines="0"/>
      <w:outlineLvl w:val="9"/>
    </w:pPr>
    <w:rPr>
      <w:rFonts w:ascii="宋体" w:eastAsia="宋体"/>
    </w:rPr>
  </w:style>
  <w:style w:type="paragraph" w:customStyle="1" w:styleId="afffffffff0">
    <w:name w:val="标准文件_二级无标题"/>
    <w:basedOn w:val="afff0"/>
    <w:qFormat/>
    <w:pPr>
      <w:spacing w:beforeLines="0" w:afterLines="0"/>
      <w:outlineLvl w:val="9"/>
    </w:pPr>
    <w:rPr>
      <w:rFonts w:ascii="宋体" w:eastAsia="宋体"/>
    </w:rPr>
  </w:style>
  <w:style w:type="paragraph" w:customStyle="1" w:styleId="afffffffff1">
    <w:name w:val="标准_四级无标题"/>
    <w:basedOn w:val="afff2"/>
    <w:next w:val="afffff4"/>
    <w:qFormat/>
    <w:rPr>
      <w:rFonts w:eastAsia="宋体"/>
    </w:rPr>
  </w:style>
  <w:style w:type="paragraph" w:customStyle="1" w:styleId="afffffffff2">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4"/>
    <w:qFormat/>
    <w:pPr>
      <w:numPr>
        <w:numId w:val="23"/>
      </w:numPr>
      <w:ind w:firstLineChars="0" w:firstLine="0"/>
    </w:pPr>
    <w:rPr>
      <w:rFonts w:ascii="Times New Roman" w:cs="Arial"/>
      <w:szCs w:val="28"/>
    </w:rPr>
  </w:style>
  <w:style w:type="paragraph" w:customStyle="1" w:styleId="ae">
    <w:name w:val="标准文件_小写罗马数字编号列项"/>
    <w:basedOn w:val="afffff4"/>
    <w:qFormat/>
    <w:pPr>
      <w:numPr>
        <w:numId w:val="24"/>
      </w:numPr>
      <w:ind w:firstLineChars="0" w:firstLine="0"/>
    </w:pPr>
    <w:rPr>
      <w:rFonts w:cs="Arial"/>
      <w:szCs w:val="28"/>
    </w:rPr>
  </w:style>
  <w:style w:type="paragraph" w:customStyle="1" w:styleId="afffffffff3">
    <w:name w:val="标准文件_附录标题"/>
    <w:basedOn w:val="aff5"/>
    <w:qFormat/>
    <w:pPr>
      <w:numPr>
        <w:numId w:val="0"/>
      </w:numPr>
      <w:spacing w:after="280"/>
      <w:outlineLvl w:val="9"/>
    </w:pPr>
  </w:style>
  <w:style w:type="paragraph" w:customStyle="1" w:styleId="afffffffff4">
    <w:name w:val="标准文件_二级项"/>
    <w:qFormat/>
    <w:rPr>
      <w:rFonts w:ascii="宋体"/>
      <w:sz w:val="21"/>
    </w:rPr>
  </w:style>
  <w:style w:type="paragraph" w:customStyle="1" w:styleId="af4">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4"/>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4">
    <w:name w:val="标准文件_注："/>
    <w:next w:val="afffff4"/>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pPr>
      <w:widowControl w:val="0"/>
      <w:numPr>
        <w:numId w:val="28"/>
      </w:numPr>
      <w:jc w:val="both"/>
    </w:pPr>
    <w:rPr>
      <w:rFonts w:ascii="宋体"/>
      <w:sz w:val="18"/>
      <w:szCs w:val="18"/>
    </w:rPr>
  </w:style>
  <w:style w:type="paragraph" w:customStyle="1" w:styleId="afffffffff9">
    <w:name w:val="标准文件_示例内容"/>
    <w:basedOn w:val="afffff4"/>
    <w:qFormat/>
    <w:pPr>
      <w:ind w:firstLine="420"/>
    </w:pPr>
    <w:rPr>
      <w:sz w:val="18"/>
    </w:rPr>
  </w:style>
  <w:style w:type="paragraph" w:customStyle="1" w:styleId="afc">
    <w:name w:val="标准文件_示例×："/>
    <w:basedOn w:val="afff7"/>
    <w:next w:val="afffffffff9"/>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4"/>
    <w:qFormat/>
    <w:rPr>
      <w:rFonts w:ascii="宋体" w:hAnsi="Times New Roman"/>
      <w:sz w:val="21"/>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8"/>
    <w:uiPriority w:val="99"/>
    <w:semiHidden/>
    <w:qFormat/>
    <w:rPr>
      <w:color w:val="808080"/>
    </w:rPr>
  </w:style>
  <w:style w:type="paragraph" w:customStyle="1" w:styleId="2">
    <w:name w:val="标准文件_二级项2"/>
    <w:basedOn w:val="afffff4"/>
    <w:qFormat/>
    <w:pPr>
      <w:numPr>
        <w:ilvl w:val="1"/>
        <w:numId w:val="21"/>
      </w:numPr>
      <w:ind w:left="1271" w:firstLineChars="0" w:hanging="420"/>
    </w:pPr>
  </w:style>
  <w:style w:type="paragraph" w:customStyle="1" w:styleId="21">
    <w:name w:val="标准文件_三级项2"/>
    <w:basedOn w:val="afffff4"/>
    <w:qFormat/>
    <w:pPr>
      <w:numPr>
        <w:numId w:val="30"/>
      </w:numPr>
      <w:spacing w:line="300" w:lineRule="exact"/>
      <w:ind w:left="1276" w:firstLineChars="0" w:hanging="425"/>
    </w:pPr>
    <w:rPr>
      <w:rFonts w:ascii="Times New Roman"/>
    </w:rPr>
  </w:style>
  <w:style w:type="paragraph" w:customStyle="1" w:styleId="20">
    <w:name w:val="标准文件_一级项2"/>
    <w:basedOn w:val="afffff4"/>
    <w:qFormat/>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8"/>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round"/>
      <w:spacing w:before="57"/>
    </w:pPr>
    <w:rPr>
      <w:sz w:val="21"/>
    </w:rPr>
  </w:style>
  <w:style w:type="paragraph" w:customStyle="1" w:styleId="affffffffff3">
    <w:name w:val="标准文件_文件名称"/>
    <w:basedOn w:val="afffff4"/>
    <w:next w:val="afffff4"/>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6"/>
    <w:qFormat/>
    <w:pPr>
      <w:spacing w:beforeLines="0" w:afterLines="0" w:line="276" w:lineRule="auto"/>
      <w:outlineLvl w:val="9"/>
    </w:pPr>
    <w:rPr>
      <w:rFonts w:ascii="宋体" w:eastAsia="宋体"/>
    </w:rPr>
  </w:style>
  <w:style w:type="paragraph" w:customStyle="1" w:styleId="affffffffff8">
    <w:name w:val="标准文件_附录二级无标题"/>
    <w:basedOn w:val="aff7"/>
    <w:qFormat/>
    <w:pPr>
      <w:spacing w:beforeLines="0" w:afterLines="0" w:line="276" w:lineRule="auto"/>
      <w:outlineLvl w:val="9"/>
    </w:pPr>
    <w:rPr>
      <w:rFonts w:ascii="宋体" w:eastAsia="宋体"/>
    </w:rPr>
  </w:style>
  <w:style w:type="paragraph" w:customStyle="1" w:styleId="affffffffff9">
    <w:name w:val="标准文件_附录三级无标题"/>
    <w:basedOn w:val="aff8"/>
    <w:qFormat/>
    <w:pPr>
      <w:spacing w:beforeLines="0" w:afterLines="0" w:line="276" w:lineRule="auto"/>
      <w:outlineLvl w:val="9"/>
    </w:pPr>
    <w:rPr>
      <w:rFonts w:ascii="宋体" w:eastAsia="宋体"/>
    </w:rPr>
  </w:style>
  <w:style w:type="paragraph" w:customStyle="1" w:styleId="affffffffffa">
    <w:name w:val="标准文件_附录四级无标题"/>
    <w:basedOn w:val="aff9"/>
    <w:qFormat/>
    <w:pPr>
      <w:spacing w:beforeLines="0" w:afterLines="0" w:line="276" w:lineRule="auto"/>
      <w:outlineLvl w:val="9"/>
    </w:pPr>
    <w:rPr>
      <w:rFonts w:ascii="宋体" w:eastAsia="宋体"/>
    </w:rPr>
  </w:style>
  <w:style w:type="paragraph" w:customStyle="1" w:styleId="affffffffffb">
    <w:name w:val="标准文件_附录五级无标题"/>
    <w:basedOn w:val="affa"/>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pPr>
      <w:spacing w:beforeLines="0" w:afterLines="0" w:line="276" w:lineRule="auto"/>
    </w:pPr>
    <w:rPr>
      <w:rFonts w:ascii="宋体" w:eastAsia="宋体"/>
    </w:rPr>
  </w:style>
  <w:style w:type="paragraph" w:customStyle="1" w:styleId="affffffffffd">
    <w:name w:val="标准文件_引言二级无标题"/>
    <w:basedOn w:val="a8"/>
    <w:next w:val="afffff4"/>
    <w:qFormat/>
    <w:pPr>
      <w:spacing w:beforeLines="0" w:afterLines="0" w:line="276" w:lineRule="auto"/>
    </w:pPr>
    <w:rPr>
      <w:rFonts w:ascii="宋体" w:eastAsia="宋体"/>
    </w:rPr>
  </w:style>
  <w:style w:type="paragraph" w:customStyle="1" w:styleId="affffffffffe">
    <w:name w:val="标准文件_引言三级无标题"/>
    <w:basedOn w:val="a9"/>
    <w:next w:val="afffff4"/>
    <w:qFormat/>
    <w:pPr>
      <w:spacing w:beforeLines="0" w:afterLines="0" w:line="276" w:lineRule="auto"/>
    </w:pPr>
    <w:rPr>
      <w:rFonts w:ascii="宋体" w:eastAsia="宋体"/>
    </w:rPr>
  </w:style>
  <w:style w:type="paragraph" w:customStyle="1" w:styleId="afffffffffff">
    <w:name w:val="标准文件_引言四级无标题"/>
    <w:basedOn w:val="aa"/>
    <w:next w:val="afffff4"/>
    <w:qFormat/>
    <w:pPr>
      <w:spacing w:beforeLines="0" w:afterLines="0" w:line="276" w:lineRule="auto"/>
    </w:pPr>
    <w:rPr>
      <w:rFonts w:ascii="宋体" w:eastAsia="宋体"/>
    </w:rPr>
  </w:style>
  <w:style w:type="paragraph" w:customStyle="1" w:styleId="afffffffffff0">
    <w:name w:val="标准文件_引言五级无标题"/>
    <w:basedOn w:val="ab"/>
    <w:next w:val="afffff4"/>
    <w:qFormat/>
    <w:pPr>
      <w:spacing w:beforeLines="0" w:afterLines="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8"/>
    <w:qFormat/>
    <w:rPr>
      <w:rFonts w:ascii="黑体" w:eastAsia="黑体"/>
      <w:spacing w:val="85"/>
      <w:w w:val="100"/>
      <w:position w:val="3"/>
      <w:sz w:val="28"/>
      <w:szCs w:val="28"/>
    </w:rPr>
  </w:style>
  <w:style w:type="character" w:customStyle="1" w:styleId="Char">
    <w:name w:val="文档结构图 Char"/>
    <w:basedOn w:val="afff8"/>
    <w:link w:val="afffc"/>
    <w:uiPriority w:val="99"/>
    <w:semiHidden/>
    <w:qFormat/>
    <w:rPr>
      <w:rFonts w:ascii="宋体"/>
      <w:kern w:val="2"/>
      <w:sz w:val="18"/>
      <w:szCs w:val="18"/>
    </w:rPr>
  </w:style>
  <w:style w:type="character" w:customStyle="1" w:styleId="Chara">
    <w:name w:val="段 Char"/>
    <w:link w:val="afffffffffff9"/>
    <w:qFormat/>
    <w:rPr>
      <w:rFonts w:ascii="宋体"/>
      <w:sz w:val="21"/>
    </w:rPr>
  </w:style>
  <w:style w:type="paragraph" w:customStyle="1" w:styleId="afffffffffff9">
    <w:name w:val="段"/>
    <w:link w:val="Chara"/>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6">
    <w:name w:val="附录章标题"/>
    <w:next w:val="afffffffffff9"/>
    <w:qFormat/>
    <w:pPr>
      <w:numPr>
        <w:ilvl w:val="1"/>
        <w:numId w:val="3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a">
    <w:name w:val="字母编号列项（一级）"/>
    <w:qFormat/>
    <w:pPr>
      <w:tabs>
        <w:tab w:val="left" w:pos="840"/>
      </w:tabs>
      <w:ind w:left="823" w:hanging="420"/>
      <w:jc w:val="both"/>
    </w:pPr>
    <w:rPr>
      <w:rFonts w:ascii="宋体"/>
      <w:sz w:val="21"/>
    </w:rPr>
  </w:style>
  <w:style w:type="paragraph" w:customStyle="1" w:styleId="af1">
    <w:name w:val="二级无"/>
    <w:basedOn w:val="afff7"/>
    <w:qFormat/>
    <w:pPr>
      <w:widowControl/>
      <w:numPr>
        <w:ilvl w:val="2"/>
        <w:numId w:val="7"/>
      </w:numPr>
      <w:tabs>
        <w:tab w:val="left" w:pos="0"/>
      </w:tabs>
      <w:adjustRightInd/>
      <w:spacing w:line="240" w:lineRule="auto"/>
      <w:jc w:val="left"/>
      <w:outlineLvl w:val="3"/>
    </w:pPr>
    <w:rPr>
      <w:rFonts w:ascii="宋体" w:hAnsi="Times New Roman"/>
      <w:kern w:val="0"/>
    </w:rPr>
  </w:style>
  <w:style w:type="paragraph" w:customStyle="1" w:styleId="Style236">
    <w:name w:val="_Style 236"/>
    <w:basedOn w:val="afff7"/>
    <w:next w:val="afffffffffffb"/>
    <w:uiPriority w:val="34"/>
    <w:qFormat/>
    <w:pPr>
      <w:adjustRightInd/>
      <w:spacing w:line="240" w:lineRule="auto"/>
      <w:ind w:firstLineChars="200" w:firstLine="420"/>
    </w:pPr>
    <w:rPr>
      <w:szCs w:val="22"/>
    </w:rPr>
  </w:style>
  <w:style w:type="paragraph" w:styleId="afffffffffffb">
    <w:name w:val="List Paragraph"/>
    <w:basedOn w:val="afff7"/>
    <w:uiPriority w:val="34"/>
    <w:qFormat/>
    <w:pPr>
      <w:ind w:firstLineChars="200" w:firstLine="420"/>
    </w:pPr>
  </w:style>
  <w:style w:type="paragraph" w:customStyle="1" w:styleId="afffffffffffc">
    <w:name w:val="一级条标题"/>
    <w:next w:val="afffffffffff9"/>
    <w:qFormat/>
    <w:pPr>
      <w:tabs>
        <w:tab w:val="left" w:pos="1260"/>
      </w:tabs>
      <w:spacing w:beforeLines="50" w:afterLines="50"/>
      <w:outlineLvl w:val="2"/>
    </w:pPr>
    <w:rPr>
      <w:rFonts w:ascii="黑体" w:eastAsia="黑体"/>
      <w:sz w:val="21"/>
      <w:szCs w:val="21"/>
    </w:rPr>
  </w:style>
  <w:style w:type="character" w:customStyle="1" w:styleId="Char0">
    <w:name w:val="批注文字 Char"/>
    <w:basedOn w:val="afff8"/>
    <w:link w:val="afffd"/>
    <w:uiPriority w:val="99"/>
    <w:semiHidden/>
    <w:qFormat/>
    <w:rPr>
      <w:kern w:val="2"/>
      <w:sz w:val="21"/>
      <w:szCs w:val="21"/>
    </w:rPr>
  </w:style>
  <w:style w:type="character" w:customStyle="1" w:styleId="Char7">
    <w:name w:val="批注主题 Char"/>
    <w:basedOn w:val="Char0"/>
    <w:link w:val="affff5"/>
    <w:uiPriority w:val="99"/>
    <w:semiHidden/>
    <w:qFormat/>
    <w:rPr>
      <w:b/>
      <w:bCs/>
      <w:kern w:val="2"/>
      <w:sz w:val="21"/>
      <w:szCs w:val="21"/>
    </w:rPr>
  </w:style>
  <w:style w:type="paragraph" w:customStyle="1" w:styleId="afffffffffffd">
    <w:name w:val="章标题"/>
    <w:next w:val="afffffffffff9"/>
    <w:qFormat/>
    <w:pPr>
      <w:spacing w:beforeLines="100" w:afterLines="100"/>
      <w:jc w:val="both"/>
      <w:outlineLvl w:val="1"/>
    </w:pPr>
    <w:rPr>
      <w:rFonts w:ascii="黑体" w:eastAsia="黑体"/>
      <w:sz w:val="21"/>
    </w:rPr>
  </w:style>
  <w:style w:type="paragraph" w:customStyle="1" w:styleId="afffffffffffe">
    <w:name w:val="二级条标题"/>
    <w:basedOn w:val="afffffffffffc"/>
    <w:next w:val="afffffffffff9"/>
    <w:qFormat/>
    <w:pPr>
      <w:tabs>
        <w:tab w:val="clear" w:pos="1260"/>
      </w:tabs>
      <w:spacing w:before="50" w:after="50"/>
      <w:ind w:left="568"/>
      <w:outlineLvl w:val="3"/>
    </w:pPr>
  </w:style>
  <w:style w:type="paragraph" w:customStyle="1" w:styleId="affffffffffff">
    <w:name w:val="列项——（一级）"/>
    <w:qFormat/>
    <w:pPr>
      <w:widowControl w:val="0"/>
      <w:ind w:left="834" w:hanging="408"/>
      <w:jc w:val="both"/>
    </w:pPr>
    <w:rPr>
      <w:rFonts w:ascii="宋体"/>
      <w:sz w:val="21"/>
    </w:rPr>
  </w:style>
  <w:style w:type="paragraph" w:customStyle="1" w:styleId="affffffffffff0">
    <w:name w:val="列项●（二级）"/>
    <w:qFormat/>
    <w:pPr>
      <w:tabs>
        <w:tab w:val="left" w:pos="760"/>
        <w:tab w:val="left" w:pos="840"/>
      </w:tabs>
      <w:ind w:left="1264" w:hanging="413"/>
      <w:jc w:val="both"/>
    </w:pPr>
    <w:rPr>
      <w:rFonts w:ascii="宋体"/>
      <w:sz w:val="21"/>
    </w:rPr>
  </w:style>
  <w:style w:type="paragraph" w:customStyle="1" w:styleId="affffffffffff1">
    <w:name w:val="三级条标题"/>
    <w:basedOn w:val="afffffffffffe"/>
    <w:next w:val="afffffffffff9"/>
    <w:qFormat/>
    <w:pPr>
      <w:ind w:left="993"/>
      <w:outlineLvl w:val="4"/>
    </w:pPr>
  </w:style>
  <w:style w:type="paragraph" w:customStyle="1" w:styleId="affffffffffff2">
    <w:name w:val="四级条标题"/>
    <w:basedOn w:val="affffffffffff1"/>
    <w:next w:val="afffffffffff9"/>
    <w:qFormat/>
    <w:pPr>
      <w:ind w:left="0"/>
      <w:outlineLvl w:val="5"/>
    </w:pPr>
  </w:style>
  <w:style w:type="paragraph" w:customStyle="1" w:styleId="affffffffffff3">
    <w:name w:val="五级条标题"/>
    <w:basedOn w:val="affffffffffff2"/>
    <w:next w:val="afffffffffff9"/>
    <w:qFormat/>
    <w:pPr>
      <w:outlineLvl w:val="6"/>
    </w:pPr>
  </w:style>
  <w:style w:type="paragraph" w:customStyle="1" w:styleId="affffffffffff4">
    <w:name w:val="列项◆（三级）"/>
    <w:basedOn w:val="afff7"/>
    <w:qFormat/>
    <w:pPr>
      <w:tabs>
        <w:tab w:val="left" w:pos="1678"/>
      </w:tabs>
      <w:adjustRightInd/>
      <w:spacing w:line="240" w:lineRule="auto"/>
      <w:ind w:left="1678" w:hanging="414"/>
    </w:pPr>
    <w:rPr>
      <w:rFonts w:ascii="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7455BDC3C42495C931812EA4F7965E3"/>
        <w:category>
          <w:name w:val="常规"/>
          <w:gallery w:val="placeholder"/>
        </w:category>
        <w:types>
          <w:type w:val="bbPlcHdr"/>
        </w:types>
        <w:behaviors>
          <w:behavior w:val="content"/>
        </w:behaviors>
        <w:guid w:val="{30AF273A-E6EC-4C2D-A376-F4DE18084736}"/>
      </w:docPartPr>
      <w:docPartBody>
        <w:p w:rsidR="00F15740" w:rsidRDefault="00C430FA">
          <w:pPr>
            <w:pStyle w:val="B7455BDC3C42495C931812EA4F7965E3"/>
          </w:pPr>
          <w:r>
            <w:rPr>
              <w:rStyle w:val="a3"/>
              <w:rFonts w:hint="eastAsia"/>
            </w:rPr>
            <w:t>单击或点击此处输入文字。</w:t>
          </w:r>
        </w:p>
      </w:docPartBody>
    </w:docPart>
    <w:docPart>
      <w:docPartPr>
        <w:name w:val="39FC9C26B0CD412099B3A71D6E9534D9"/>
        <w:category>
          <w:name w:val="常规"/>
          <w:gallery w:val="placeholder"/>
        </w:category>
        <w:types>
          <w:type w:val="bbPlcHdr"/>
        </w:types>
        <w:behaviors>
          <w:behavior w:val="content"/>
        </w:behaviors>
        <w:guid w:val="{0F44E1E7-8F8A-4EF3-8A15-40DC543DA0C0}"/>
      </w:docPartPr>
      <w:docPartBody>
        <w:p w:rsidR="00F15740" w:rsidRDefault="00C430FA">
          <w:pPr>
            <w:pStyle w:val="39FC9C26B0CD412099B3A71D6E9534D9"/>
          </w:pPr>
          <w:r>
            <w:rPr>
              <w:rStyle w:val="a3"/>
              <w:rFonts w:hint="eastAsia"/>
            </w:rPr>
            <w:t>选择一项。</w:t>
          </w:r>
        </w:p>
      </w:docPartBody>
    </w:docPart>
    <w:docPart>
      <w:docPartPr>
        <w:name w:val="3C60C8E44A744FE7BBA6ECC1E2C20086"/>
        <w:category>
          <w:name w:val="常规"/>
          <w:gallery w:val="placeholder"/>
        </w:category>
        <w:types>
          <w:type w:val="bbPlcHdr"/>
        </w:types>
        <w:behaviors>
          <w:behavior w:val="content"/>
        </w:behaviors>
        <w:guid w:val="{D6A44E73-C8BE-4FAE-A2BD-A985B51D4F5C}"/>
      </w:docPartPr>
      <w:docPartBody>
        <w:p w:rsidR="00F15740" w:rsidRDefault="00C430FA">
          <w:pPr>
            <w:pStyle w:val="3C60C8E44A744FE7BBA6ECC1E2C2008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15480"/>
    <w:rsid w:val="001F7361"/>
    <w:rsid w:val="003E73BC"/>
    <w:rsid w:val="006D6293"/>
    <w:rsid w:val="008402FF"/>
    <w:rsid w:val="00854F76"/>
    <w:rsid w:val="008E2E28"/>
    <w:rsid w:val="00931CE5"/>
    <w:rsid w:val="00B203CC"/>
    <w:rsid w:val="00B24587"/>
    <w:rsid w:val="00C05853"/>
    <w:rsid w:val="00C430FA"/>
    <w:rsid w:val="00DB0505"/>
    <w:rsid w:val="00E633B9"/>
    <w:rsid w:val="00F15480"/>
    <w:rsid w:val="00F15740"/>
    <w:rsid w:val="00F25C9C"/>
    <w:rsid w:val="00F62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7455BDC3C42495C931812EA4F7965E3">
    <w:name w:val="B7455BDC3C42495C931812EA4F7965E3"/>
    <w:qFormat/>
    <w:pPr>
      <w:widowControl w:val="0"/>
      <w:jc w:val="both"/>
    </w:pPr>
    <w:rPr>
      <w:kern w:val="2"/>
      <w:sz w:val="21"/>
      <w:szCs w:val="22"/>
    </w:rPr>
  </w:style>
  <w:style w:type="paragraph" w:customStyle="1" w:styleId="39FC9C26B0CD412099B3A71D6E9534D9">
    <w:name w:val="39FC9C26B0CD412099B3A71D6E9534D9"/>
    <w:qFormat/>
    <w:pPr>
      <w:widowControl w:val="0"/>
      <w:jc w:val="both"/>
    </w:pPr>
    <w:rPr>
      <w:kern w:val="2"/>
      <w:sz w:val="21"/>
      <w:szCs w:val="22"/>
    </w:rPr>
  </w:style>
  <w:style w:type="paragraph" w:customStyle="1" w:styleId="3C60C8E44A744FE7BBA6ECC1E2C20086">
    <w:name w:val="3C60C8E44A744FE7BBA6ECC1E2C2008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7455BDC3C42495C931812EA4F7965E3">
    <w:name w:val="B7455BDC3C42495C931812EA4F7965E3"/>
    <w:qFormat/>
    <w:pPr>
      <w:widowControl w:val="0"/>
      <w:jc w:val="both"/>
    </w:pPr>
    <w:rPr>
      <w:kern w:val="2"/>
      <w:sz w:val="21"/>
      <w:szCs w:val="22"/>
    </w:rPr>
  </w:style>
  <w:style w:type="paragraph" w:customStyle="1" w:styleId="39FC9C26B0CD412099B3A71D6E9534D9">
    <w:name w:val="39FC9C26B0CD412099B3A71D6E9534D9"/>
    <w:qFormat/>
    <w:pPr>
      <w:widowControl w:val="0"/>
      <w:jc w:val="both"/>
    </w:pPr>
    <w:rPr>
      <w:kern w:val="2"/>
      <w:sz w:val="21"/>
      <w:szCs w:val="22"/>
    </w:rPr>
  </w:style>
  <w:style w:type="paragraph" w:customStyle="1" w:styleId="3C60C8E44A744FE7BBA6ECC1E2C20086">
    <w:name w:val="3C60C8E44A744FE7BBA6ECC1E2C2008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042E6-EAFE-46C8-94A5-33AF574E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12</Pages>
  <Words>1124</Words>
  <Characters>6412</Characters>
  <Application>Microsoft Office Word</Application>
  <DocSecurity>0</DocSecurity>
  <Lines>53</Lines>
  <Paragraphs>15</Paragraphs>
  <ScaleCrop>false</ScaleCrop>
  <Company>PCMI</Company>
  <LinksUpToDate>false</LinksUpToDate>
  <CharactersWithSpaces>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gyb1</dc:creator>
  <dc:description>&lt;config cover="true" show_menu="true" version="1.0.0" doctype="SDKXY"&gt;_x000d_
&lt;/config&gt;</dc:description>
  <cp:lastModifiedBy>赵翠</cp:lastModifiedBy>
  <cp:revision>8</cp:revision>
  <cp:lastPrinted>2021-10-21T06:22:00Z</cp:lastPrinted>
  <dcterms:created xsi:type="dcterms:W3CDTF">2021-05-23T04:09:00Z</dcterms:created>
  <dcterms:modified xsi:type="dcterms:W3CDTF">2021-12-14T01:33:00Z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ICV">
    <vt:lpwstr>8B22D6A532BD48D48B232E15834CCD0C</vt:lpwstr>
  </property>
</Properties>
</file>