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w w:val="100"/>
          <w:kern w:val="2"/>
          <w:sz w:val="32"/>
          <w:szCs w:val="32"/>
          <w:lang w:eastAsia="zh-CN"/>
        </w:rPr>
      </w:pPr>
      <w:r>
        <w:rPr>
          <w:rFonts w:hint="eastAsia" w:ascii="黑体" w:hAnsi="黑体" w:eastAsia="黑体" w:cs="黑体"/>
          <w:w w:val="100"/>
          <w:kern w:val="2"/>
          <w:sz w:val="32"/>
          <w:szCs w:val="32"/>
        </w:rPr>
        <w:t>附件</w:t>
      </w:r>
      <w:r>
        <w:rPr>
          <w:rFonts w:hint="eastAsia" w:ascii="黑体" w:hAnsi="黑体" w:eastAsia="黑体" w:cs="黑体"/>
          <w:w w:val="100"/>
          <w:kern w:val="2"/>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hAnsi="Calibri" w:eastAsia="方正小标宋简体"/>
          <w:sz w:val="44"/>
          <w:szCs w:val="44"/>
        </w:rPr>
        <w:t>专利侵权纠纷行政裁决示范建设</w:t>
      </w:r>
      <w:r>
        <w:rPr>
          <w:rFonts w:hint="eastAsia" w:ascii="方正小标宋简体" w:eastAsia="方正小标宋简体"/>
          <w:sz w:val="44"/>
          <w:szCs w:val="44"/>
        </w:rPr>
        <w:t>试点验收自评表</w:t>
      </w:r>
    </w:p>
    <w:p>
      <w:pPr>
        <w:keepNext w:val="0"/>
        <w:keepLines w:val="0"/>
        <w:pageBreakBefore w:val="0"/>
        <w:widowControl w:val="0"/>
        <w:kinsoku/>
        <w:wordWrap/>
        <w:overflowPunct/>
        <w:topLinePunct w:val="0"/>
        <w:autoSpaceDE/>
        <w:autoSpaceDN/>
        <w:bidi w:val="0"/>
        <w:adjustRightInd/>
        <w:snapToGrid/>
        <w:spacing w:before="159" w:beforeLines="50" w:line="560" w:lineRule="exact"/>
        <w:ind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试点地方（盖章）：</w:t>
      </w:r>
      <w:r>
        <w:rPr>
          <w:rFonts w:hint="eastAsia" w:ascii="楷体" w:hAnsi="楷体" w:eastAsia="楷体" w:cs="楷体"/>
          <w:sz w:val="32"/>
          <w:szCs w:val="32"/>
          <w:u w:val="none"/>
        </w:rPr>
        <w:t xml:space="preserve">          </w:t>
      </w:r>
      <w:r>
        <w:rPr>
          <w:rFonts w:hint="eastAsia" w:ascii="楷体" w:hAnsi="楷体" w:eastAsia="楷体" w:cs="楷体"/>
          <w:sz w:val="32"/>
          <w:szCs w:val="32"/>
          <w:lang w:val="en-US" w:eastAsia="zh-CN"/>
        </w:rPr>
        <w:t>联系人及电话：</w:t>
      </w:r>
      <w:r>
        <w:rPr>
          <w:rFonts w:hint="eastAsia" w:ascii="楷体" w:hAnsi="楷体" w:eastAsia="楷体" w:cs="楷体"/>
          <w:sz w:val="32"/>
          <w:szCs w:val="32"/>
          <w:u w:val="none"/>
        </w:rPr>
        <w:t xml:space="preserve">    </w:t>
      </w:r>
      <w:r>
        <w:rPr>
          <w:rFonts w:hint="eastAsia" w:ascii="楷体" w:hAnsi="楷体" w:eastAsia="楷体" w:cs="楷体"/>
          <w:sz w:val="32"/>
          <w:szCs w:val="32"/>
          <w:u w:val="none"/>
          <w:lang w:val="en-US" w:eastAsia="zh-CN"/>
        </w:rPr>
        <w:t xml:space="preserve">       </w:t>
      </w:r>
      <w:r>
        <w:rPr>
          <w:rFonts w:hint="eastAsia" w:ascii="楷体" w:hAnsi="楷体" w:eastAsia="楷体" w:cs="楷体"/>
          <w:sz w:val="32"/>
          <w:szCs w:val="32"/>
          <w:u w:val="none"/>
        </w:rPr>
        <w:t xml:space="preserve">  </w:t>
      </w:r>
      <w:r>
        <w:rPr>
          <w:rFonts w:hint="eastAsia" w:ascii="楷体" w:hAnsi="楷体" w:eastAsia="楷体" w:cs="楷体"/>
          <w:sz w:val="32"/>
          <w:szCs w:val="32"/>
          <w:u w:val="none"/>
          <w:lang w:val="en-US" w:eastAsia="zh-CN"/>
        </w:rPr>
        <w:t xml:space="preserve"> </w:t>
      </w:r>
      <w:r>
        <w:rPr>
          <w:rFonts w:hint="eastAsia" w:ascii="楷体" w:hAnsi="楷体" w:eastAsia="楷体" w:cs="楷体"/>
          <w:sz w:val="32"/>
          <w:szCs w:val="32"/>
          <w:lang w:eastAsia="zh-CN"/>
        </w:rPr>
        <w:t>填报</w:t>
      </w:r>
      <w:r>
        <w:rPr>
          <w:rFonts w:hint="eastAsia" w:ascii="楷体" w:hAnsi="楷体" w:eastAsia="楷体" w:cs="楷体"/>
          <w:sz w:val="32"/>
          <w:szCs w:val="32"/>
        </w:rPr>
        <w:t>时间：</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rPr>
        <w:t>年</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u w:val="single"/>
        </w:rPr>
        <w:t xml:space="preserve"> </w:t>
      </w:r>
      <w:r>
        <w:rPr>
          <w:rFonts w:hint="eastAsia" w:ascii="楷体" w:hAnsi="楷体" w:eastAsia="楷体" w:cs="楷体"/>
          <w:sz w:val="32"/>
          <w:szCs w:val="32"/>
        </w:rPr>
        <w:t>月</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u w:val="single"/>
        </w:rPr>
        <w:t xml:space="preserve"> </w:t>
      </w:r>
      <w:r>
        <w:rPr>
          <w:rFonts w:hint="eastAsia" w:ascii="楷体" w:hAnsi="楷体" w:eastAsia="楷体" w:cs="楷体"/>
          <w:sz w:val="32"/>
          <w:szCs w:val="32"/>
          <w:u w:val="none"/>
          <w:lang w:eastAsia="zh-CN"/>
        </w:rPr>
        <w:t>日</w:t>
      </w:r>
    </w:p>
    <w:tbl>
      <w:tblPr>
        <w:tblStyle w:val="6"/>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1413"/>
        <w:gridCol w:w="1425"/>
        <w:gridCol w:w="5250"/>
        <w:gridCol w:w="1155"/>
        <w:gridCol w:w="1485"/>
        <w:gridCol w:w="168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tblHeader/>
          <w:jc w:val="center"/>
        </w:trPr>
        <w:tc>
          <w:tcPr>
            <w:tcW w:w="14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评价指标</w:t>
            </w:r>
          </w:p>
        </w:tc>
        <w:tc>
          <w:tcPr>
            <w:tcW w:w="66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评价要点</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自评得分</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得分说明</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黑体" w:hAnsi="黑体" w:eastAsia="黑体" w:cs="宋体"/>
                <w:color w:val="000000"/>
                <w:sz w:val="24"/>
              </w:rPr>
            </w:pPr>
            <w:r>
              <w:rPr>
                <w:rFonts w:hint="eastAsia" w:ascii="黑体" w:hAnsi="黑体" w:eastAsia="黑体" w:cs="宋体"/>
                <w:color w:val="000000"/>
                <w:sz w:val="24"/>
              </w:rPr>
              <w:t>印证材料</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ascii="黑体" w:hAnsi="黑体" w:eastAsia="黑体" w:cs="宋体"/>
                <w:color w:val="000000"/>
                <w:sz w:val="24"/>
              </w:rPr>
              <w:t>（</w:t>
            </w:r>
            <w:r>
              <w:rPr>
                <w:rFonts w:hint="eastAsia" w:ascii="黑体" w:hAnsi="黑体" w:eastAsia="黑体" w:cs="宋体"/>
                <w:color w:val="000000"/>
                <w:sz w:val="24"/>
                <w:lang w:eastAsia="zh-CN"/>
              </w:rPr>
              <w:t>按顺序编号</w:t>
            </w:r>
            <w:r>
              <w:rPr>
                <w:rFonts w:ascii="黑体" w:hAnsi="黑体" w:eastAsia="黑体" w:cs="宋体"/>
                <w:color w:val="000000"/>
                <w:sz w:val="24"/>
              </w:rPr>
              <w:t>）</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000"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基础项指标（满分100分）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pStyle w:val="12"/>
              <w:keepNext w:val="0"/>
              <w:keepLines w:val="0"/>
              <w:pageBreakBefore w:val="0"/>
              <w:widowControl w:val="0"/>
              <w:kinsoku/>
              <w:wordWrap/>
              <w:overflowPunct/>
              <w:topLinePunct w:val="0"/>
              <w:autoSpaceDE/>
              <w:autoSpaceDN/>
              <w:bidi w:val="0"/>
              <w:adjustRightInd/>
              <w:spacing w:line="300" w:lineRule="exact"/>
              <w:ind w:firstLine="0" w:firstLineChars="0"/>
              <w:jc w:val="lef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一、综合保障（20分）</w:t>
            </w: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1.组织保障</w:t>
            </w:r>
          </w:p>
          <w:p>
            <w:pPr>
              <w:keepNext w:val="0"/>
              <w:keepLines w:val="0"/>
              <w:pageBreakBefore w:val="0"/>
              <w:widowControl w:val="0"/>
              <w:kinsoku/>
              <w:wordWrap/>
              <w:overflowPunct/>
              <w:topLinePunct w:val="0"/>
              <w:autoSpaceDE/>
              <w:autoSpaceDN/>
              <w:bidi w:val="0"/>
              <w:adjustRightInd/>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（14分）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（1）建立示范建设试点工作推进机制的（3分）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需提供相关文件材料，会议需提供会议纪要或记录。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r>
              <w:rPr>
                <w:rFonts w:ascii="仿宋_GB2312" w:hAnsi="Times New Roman" w:eastAsia="仿宋_GB2312"/>
                <w:color w:val="000000"/>
                <w:sz w:val="24"/>
                <w:szCs w:val="32"/>
              </w:rPr>
              <w:t>（2）</w:t>
            </w:r>
            <w:r>
              <w:rPr>
                <w:rFonts w:hint="eastAsia" w:ascii="仿宋_GB2312" w:hAnsi="Times New Roman" w:eastAsia="仿宋_GB2312"/>
                <w:color w:val="000000"/>
                <w:sz w:val="24"/>
                <w:szCs w:val="32"/>
              </w:rPr>
              <w:t>定期研究推动解决试点</w:t>
            </w:r>
            <w:r>
              <w:rPr>
                <w:rFonts w:hint="eastAsia" w:ascii="仿宋_GB2312" w:hAnsi="Times New Roman" w:eastAsia="仿宋_GB2312"/>
                <w:color w:val="000000"/>
                <w:sz w:val="24"/>
                <w:szCs w:val="32"/>
                <w:lang w:eastAsia="zh-CN"/>
              </w:rPr>
              <w:t>工作</w:t>
            </w:r>
            <w:r>
              <w:rPr>
                <w:rFonts w:hint="eastAsia" w:ascii="仿宋_GB2312" w:hAnsi="Times New Roman" w:eastAsia="仿宋_GB2312"/>
                <w:color w:val="000000"/>
                <w:sz w:val="24"/>
                <w:szCs w:val="32"/>
              </w:rPr>
              <w:t>困难和问题的（2分）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仿宋_GB2312" w:hAnsi="Times New Roman" w:eastAsia="仿宋_GB2312"/>
                <w:color w:val="000000"/>
                <w:sz w:val="24"/>
                <w:szCs w:val="32"/>
              </w:rPr>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仿宋_GB2312" w:hAnsi="Times New Roman" w:eastAsia="仿宋_GB2312"/>
                <w:color w:val="000000"/>
                <w:sz w:val="24"/>
                <w:szCs w:val="32"/>
              </w:rPr>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3</w:t>
            </w:r>
            <w:r>
              <w:rPr>
                <w:rFonts w:hint="eastAsia" w:ascii="仿宋_GB2312" w:hAnsi="Times New Roman" w:eastAsia="仿宋_GB2312"/>
                <w:color w:val="000000"/>
                <w:sz w:val="24"/>
                <w:szCs w:val="32"/>
              </w:rPr>
              <w:t>）在年度预算中体现行政裁决工作任务需求，合理安排经费的（3分）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资金投入需提供具体金额和</w:t>
            </w:r>
            <w:r>
              <w:rPr>
                <w:rFonts w:hint="eastAsia" w:ascii="仿宋_GB2312" w:hAnsi="Times New Roman" w:eastAsia="仿宋_GB2312"/>
                <w:color w:val="000000"/>
                <w:spacing w:val="-8"/>
                <w:sz w:val="24"/>
                <w:szCs w:val="32"/>
                <w:lang w:eastAsia="zh-CN"/>
              </w:rPr>
              <w:t>相应文件材料。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4</w:t>
            </w:r>
            <w:r>
              <w:rPr>
                <w:rFonts w:hint="eastAsia" w:ascii="仿宋_GB2312" w:hAnsi="Times New Roman" w:eastAsia="仿宋_GB2312"/>
                <w:color w:val="000000"/>
                <w:sz w:val="24"/>
                <w:szCs w:val="32"/>
              </w:rPr>
              <w:t>）试点实施方案完备、工作措施有力且推进实施扎实的（3分）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需提供相关工作文件或开展相关工作的印证材料。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5</w:t>
            </w:r>
            <w:r>
              <w:rPr>
                <w:rFonts w:hint="eastAsia" w:ascii="仿宋_GB2312" w:hAnsi="Times New Roman" w:eastAsia="仿宋_GB2312"/>
                <w:color w:val="000000"/>
                <w:sz w:val="24"/>
                <w:szCs w:val="32"/>
              </w:rPr>
              <w:t>）及时向国家知识产权局报送实施方案、推进情况及工作成效的（3分）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需提供报送</w:t>
            </w:r>
            <w:r>
              <w:rPr>
                <w:rFonts w:hint="eastAsia" w:ascii="仿宋_GB2312" w:hAnsi="Times New Roman" w:eastAsia="仿宋_GB2312"/>
                <w:color w:val="000000"/>
                <w:sz w:val="24"/>
                <w:szCs w:val="32"/>
                <w:lang w:eastAsia="zh-CN"/>
              </w:rPr>
              <w:t>相</w:t>
            </w:r>
            <w:r>
              <w:rPr>
                <w:rFonts w:hint="eastAsia" w:ascii="仿宋_GB2312" w:hAnsi="Times New Roman" w:eastAsia="仿宋_GB2312"/>
                <w:color w:val="000000"/>
                <w:spacing w:val="-8"/>
                <w:sz w:val="24"/>
                <w:szCs w:val="32"/>
                <w:lang w:eastAsia="zh-CN"/>
              </w:rPr>
              <w:t>关文件及</w:t>
            </w:r>
            <w:r>
              <w:rPr>
                <w:rFonts w:hint="eastAsia" w:ascii="仿宋_GB2312" w:hAnsi="Times New Roman" w:eastAsia="仿宋_GB2312"/>
                <w:color w:val="000000"/>
                <w:spacing w:val="-8"/>
                <w:sz w:val="24"/>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2.条件保障（6分）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（1）录音录像、远程直播、证据图像采集等软硬件办案设备完善的（3分）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需提供设备采购清单或现场照片等相关印证材料。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（2）加强口头审理庭等硬件设施建设、保障行政裁决办案场所的（3分）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二、基本任务完成情况（80分）</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1.夯实制度基础（10分）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（1）地方立法部门出台的相关地方性条例加入专利侵权纠纷行政裁决的相关程序性和实体性条款的（3分）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相关地方性法规、条例需在2021年12月</w:t>
            </w:r>
            <w:r>
              <w:rPr>
                <w:rFonts w:hint="eastAsia" w:ascii="仿宋_GB2312" w:hAnsi="Times New Roman" w:eastAsia="仿宋_GB2312"/>
                <w:color w:val="000000"/>
                <w:sz w:val="24"/>
                <w:szCs w:val="32"/>
                <w:lang w:eastAsia="zh-CN"/>
              </w:rPr>
              <w:t>底</w:t>
            </w:r>
            <w:r>
              <w:rPr>
                <w:rFonts w:hint="eastAsia" w:ascii="仿宋_GB2312" w:hAnsi="Times New Roman" w:eastAsia="仿宋_GB2312"/>
                <w:color w:val="000000"/>
                <w:sz w:val="24"/>
                <w:szCs w:val="32"/>
              </w:rPr>
              <w:t>前印发实施。会议需提供会议纪要</w:t>
            </w:r>
            <w:r>
              <w:rPr>
                <w:rFonts w:hint="eastAsia" w:ascii="仿宋_GB2312" w:hAnsi="Times New Roman" w:eastAsia="仿宋_GB2312"/>
                <w:color w:val="000000"/>
                <w:sz w:val="24"/>
                <w:szCs w:val="32"/>
                <w:lang w:eastAsia="zh-CN"/>
              </w:rPr>
              <w:t>或记录</w:t>
            </w:r>
            <w:r>
              <w:rPr>
                <w:rFonts w:hint="eastAsia" w:ascii="仿宋_GB2312" w:hAnsi="Times New Roman" w:eastAsia="仿宋_GB2312"/>
                <w:color w:val="000000"/>
                <w:sz w:val="24"/>
                <w:szCs w:val="32"/>
              </w:rPr>
              <w:t>，印发的各类文件需有文号。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（2）地方性法规涉及专利侵权纠纷的，及时将“作出处理”“作出决定”等表述调整为“作出行政裁决”的（2分）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（3）细化专利侵权纠纷行政裁决程序规范和实体标准的（3分）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ascii="仿宋_GB2312" w:hAnsi="Times New Roman" w:eastAsia="仿宋_GB2312"/>
                <w:color w:val="000000"/>
                <w:sz w:val="24"/>
                <w:szCs w:val="32"/>
              </w:rPr>
              <w:t>（4）</w:t>
            </w:r>
            <w:r>
              <w:rPr>
                <w:rFonts w:hint="eastAsia" w:ascii="仿宋_GB2312" w:hAnsi="Times New Roman" w:eastAsia="仿宋_GB2312"/>
                <w:color w:val="000000"/>
                <w:sz w:val="24"/>
                <w:szCs w:val="32"/>
              </w:rPr>
              <w:t>出台配套制度的（2分）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2.畅通受理渠道（18分）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（1）主动公开开展专利侵权纠纷行政裁决工作的依据、法定职责和案件受理范围的（3分）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需提供相关公开证明材料。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ascii="仿宋_GB2312" w:hAnsi="Times New Roman" w:eastAsia="仿宋_GB2312"/>
                <w:color w:val="000000"/>
                <w:sz w:val="24"/>
                <w:szCs w:val="32"/>
              </w:rPr>
              <w:t>（2）</w:t>
            </w:r>
            <w:r>
              <w:rPr>
                <w:rFonts w:hint="eastAsia" w:ascii="仿宋_GB2312" w:hAnsi="Times New Roman" w:eastAsia="仿宋_GB2312"/>
                <w:color w:val="000000"/>
                <w:sz w:val="24"/>
                <w:szCs w:val="32"/>
              </w:rPr>
              <w:t>公开案件办理程序和流程的（3分）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3</w:t>
            </w:r>
            <w:r>
              <w:rPr>
                <w:rFonts w:hint="eastAsia" w:ascii="仿宋_GB2312" w:hAnsi="Times New Roman" w:eastAsia="仿宋_GB2312"/>
                <w:color w:val="000000"/>
                <w:sz w:val="24"/>
                <w:szCs w:val="32"/>
              </w:rPr>
              <w:t>）推动人民法院、人民调解委员会和专业调解组织建立行政裁决告知制度的（3分）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需提供有关措施文件或案件信息，会议需提供会议纪要或记录。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ascii="仿宋_GB2312" w:hAnsi="Times New Roman" w:eastAsia="仿宋_GB2312"/>
                <w:color w:val="000000"/>
                <w:sz w:val="24"/>
                <w:szCs w:val="32"/>
              </w:rPr>
              <w:t>（4）</w:t>
            </w:r>
            <w:r>
              <w:rPr>
                <w:rFonts w:hint="eastAsia" w:ascii="仿宋_GB2312" w:hAnsi="Times New Roman" w:eastAsia="仿宋_GB2312"/>
                <w:color w:val="000000"/>
                <w:sz w:val="24"/>
                <w:szCs w:val="32"/>
              </w:rPr>
              <w:t>落实行政裁决告知制度的（3分）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5</w:t>
            </w:r>
            <w:r>
              <w:rPr>
                <w:rFonts w:hint="eastAsia" w:ascii="仿宋_GB2312" w:hAnsi="Times New Roman" w:eastAsia="仿宋_GB2312"/>
                <w:color w:val="000000"/>
                <w:sz w:val="24"/>
                <w:szCs w:val="32"/>
              </w:rPr>
              <w:t>）引导律师和基层法律服务工作者积极告知行政裁决渠道的（3分）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会议需提供会议纪要或记录。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6</w:t>
            </w:r>
            <w:r>
              <w:rPr>
                <w:rFonts w:hint="eastAsia" w:ascii="仿宋_GB2312" w:hAnsi="Times New Roman" w:eastAsia="仿宋_GB2312"/>
                <w:color w:val="000000"/>
                <w:sz w:val="24"/>
                <w:szCs w:val="32"/>
              </w:rPr>
              <w:t>）落实普法责任制，运用多种方式大力宣传专利侵权纠纷行政裁决的优势特点、工作成效和典型案例的（3分）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宣传需提供宣传稿等印证材料。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3.创新工作方式（15）</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（1）推行专利侵权纠纷案件立案登记制，简化立案手续的（2分）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需提供有关文件或其他印证材料，文件需有文号，会议需提供会议纪要或记录，案件需提供可公开的案件材料。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（2）建立案件送达信息网上公告制度,方便案件送达的（2分）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（3）对立案时请求人已提交专利权评价报告的外观设计、实用新型专利侵权案件，经当事人陈述和质证后，推行专利侵权纠纷案件书面审理机制的（2分）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（4）对庭前准备充足、证据收集全面、庭审调查清晰的案件，口头审理结束后当庭作出裁决的（2分）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（5）聘请专业技术人员作为技术调查官，参与案件办理的（2分）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需提供相关聘用文件。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（6）建立专利行政裁决与专利确权程序的联动机制的（2分）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Times New Roman" w:eastAsia="仿宋_GB2312"/>
                <w:color w:val="000000"/>
                <w:sz w:val="24"/>
                <w:szCs w:val="32"/>
              </w:rPr>
            </w:pPr>
            <w:r>
              <w:rPr>
                <w:rFonts w:hint="eastAsia" w:ascii="仿宋_GB2312" w:hAnsi="Times New Roman" w:eastAsia="仿宋_GB2312"/>
                <w:color w:val="000000"/>
                <w:sz w:val="24"/>
                <w:szCs w:val="32"/>
              </w:rPr>
              <w:t>需提供相关文件材料，会议需提供会议纪要或记录，印发的各类文件需有文号。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*（7）建立健全专利侵权纠纷案源收集摸排机制的（3）</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4.做好衔接协调（10分）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（1）裁决专利侵权纠纷时先行调解，充分运用行政指导等方式，推动当事人协商解决纠纷的（2分）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（2）建立无争议事实记载制度，明确调解过程中已确认的无争议事实，在行政裁决过程中无需当事人再次举证的（2分）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*（3）建立健全专利侵权纠纷行政调解协议司法确认机制的（3分）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*（4）建立完善专利侵权纠纷行政裁决与司法衔接机制的（3分）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5.健全工作机制（14分）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（1）明确专门处室或专人承担行政裁决具体工作的（3分）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需提供相关文件材料，会议需提供会议纪要或记录，印发的各类文件需有文号。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（2）建立办案分级指导机制的（2分）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（3）督办、转办、移送等程序完备的（3分）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（4）依法推动有条件的县级知识产权局开展专利侵权纠纷行政裁决工作的（2分）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*（5）推进跨部门跨地区办案协作的（2分）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（6）</w:t>
            </w:r>
            <w:r>
              <w:rPr>
                <w:rFonts w:hint="eastAsia" w:ascii="仿宋_GB2312" w:hAnsi="Times New Roman" w:eastAsia="仿宋_GB2312"/>
                <w:color w:val="000000"/>
                <w:sz w:val="24"/>
                <w:szCs w:val="32"/>
              </w:rPr>
              <w:t>建立与市场监管综合执法部门协同联动长效机制的（2分）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6.加强能力建设（上限13分）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（1）专利侵权纠纷行政裁决队伍建设完善，配齐配强工作人员的（2分）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队伍建设需提供相关印证材</w:t>
            </w:r>
            <w:r>
              <w:rPr>
                <w:rFonts w:hint="eastAsia" w:ascii="仿宋_GB2312" w:hAnsi="Times New Roman" w:eastAsia="仿宋_GB2312"/>
                <w:color w:val="000000"/>
                <w:spacing w:val="-8"/>
                <w:sz w:val="24"/>
                <w:szCs w:val="32"/>
              </w:rPr>
              <w:t>料；专业化职业</w:t>
            </w:r>
            <w:r>
              <w:rPr>
                <w:rFonts w:hint="eastAsia" w:ascii="仿宋_GB2312" w:hAnsi="Times New Roman" w:eastAsia="仿宋_GB2312"/>
                <w:color w:val="000000"/>
                <w:sz w:val="24"/>
                <w:szCs w:val="32"/>
              </w:rPr>
              <w:t>化需提供培训</w:t>
            </w:r>
            <w:r>
              <w:rPr>
                <w:rFonts w:hint="eastAsia" w:ascii="仿宋_GB2312" w:hAnsi="Times New Roman" w:eastAsia="仿宋_GB2312"/>
                <w:color w:val="000000"/>
                <w:spacing w:val="-8"/>
                <w:sz w:val="24"/>
                <w:szCs w:val="32"/>
              </w:rPr>
              <w:t>人次以及培训班期次等情况；</w:t>
            </w:r>
          </w:p>
          <w:p>
            <w:pPr>
              <w:keepNext w:val="0"/>
              <w:keepLines w:val="0"/>
              <w:pageBreakBefore w:val="0"/>
              <w:widowControl w:val="0"/>
              <w:kinsoku/>
              <w:wordWrap/>
              <w:overflowPunct/>
              <w:topLinePunct w:val="0"/>
              <w:autoSpaceDE/>
              <w:autoSpaceDN/>
              <w:bidi w:val="0"/>
              <w:adjustRightInd/>
              <w:snapToGrid w:val="0"/>
              <w:spacing w:line="26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业务指导、案例宣讲需提供宣传稿等相关材料；开展考核需提供工作文件等相关印</w:t>
            </w:r>
            <w:r>
              <w:rPr>
                <w:rFonts w:hint="eastAsia" w:ascii="仿宋_GB2312" w:hAnsi="Times New Roman" w:eastAsia="仿宋_GB2312"/>
                <w:color w:val="000000"/>
                <w:spacing w:val="-8"/>
                <w:sz w:val="24"/>
                <w:szCs w:val="32"/>
              </w:rPr>
              <w:t>证材料。组织开展的各项活动时间需在2020年1月到2021年12月期间。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r>
              <w:rPr>
                <w:rFonts w:ascii="仿宋_GB2312" w:hAnsi="Times New Roman" w:eastAsia="仿宋_GB2312"/>
                <w:color w:val="000000"/>
                <w:sz w:val="24"/>
                <w:szCs w:val="32"/>
              </w:rPr>
              <w:t>（2）</w:t>
            </w:r>
            <w:r>
              <w:rPr>
                <w:rFonts w:hint="eastAsia" w:ascii="仿宋_GB2312" w:hAnsi="Times New Roman" w:eastAsia="仿宋_GB2312"/>
                <w:color w:val="000000"/>
                <w:sz w:val="24"/>
                <w:szCs w:val="32"/>
              </w:rPr>
              <w:t>取得国家统一法律职业资格的（2分）</w:t>
            </w:r>
          </w:p>
        </w:tc>
        <w:tc>
          <w:tcPr>
            <w:tcW w:w="11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pPr>
          </w:p>
        </w:tc>
        <w:tc>
          <w:tcPr>
            <w:tcW w:w="148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pPr>
          </w:p>
        </w:tc>
        <w:tc>
          <w:tcPr>
            <w:tcW w:w="16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r>
              <w:rPr>
                <w:rFonts w:ascii="仿宋_GB2312" w:hAnsi="Times New Roman" w:eastAsia="仿宋_GB2312"/>
                <w:color w:val="000000"/>
                <w:sz w:val="24"/>
                <w:szCs w:val="32"/>
              </w:rPr>
              <w:t>（3）</w:t>
            </w:r>
            <w:r>
              <w:rPr>
                <w:rFonts w:hint="eastAsia" w:ascii="仿宋_GB2312" w:hAnsi="Times New Roman" w:eastAsia="仿宋_GB2312"/>
                <w:color w:val="000000"/>
                <w:sz w:val="24"/>
                <w:szCs w:val="32"/>
              </w:rPr>
              <w:t>形成专业化职业化行政裁决队伍的（3分）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4</w:t>
            </w:r>
            <w:r>
              <w:rPr>
                <w:rFonts w:hint="eastAsia" w:ascii="仿宋_GB2312" w:hAnsi="Times New Roman" w:eastAsia="仿宋_GB2312"/>
                <w:color w:val="000000"/>
                <w:sz w:val="24"/>
                <w:szCs w:val="32"/>
              </w:rPr>
              <w:t>）注重提升行政裁决人员专业能力和业务水平的，如采取集中培训、业务指导、案例宣讲、考核评估或其他方式（此项每采取一种方式得1分，可另行补充，上限为3分）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5</w:t>
            </w:r>
            <w:r>
              <w:rPr>
                <w:rFonts w:hint="eastAsia" w:ascii="仿宋_GB2312" w:hAnsi="Times New Roman" w:eastAsia="仿宋_GB2312"/>
                <w:color w:val="000000"/>
                <w:sz w:val="24"/>
                <w:szCs w:val="32"/>
              </w:rPr>
              <w:t>）积极开展专利侵权纠纷检验鉴定技术支撑体系建设工作的（1分）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需提供相关文件材料，会议需提供纪要</w:t>
            </w:r>
            <w:r>
              <w:rPr>
                <w:rFonts w:hint="eastAsia" w:ascii="仿宋_GB2312" w:hAnsi="Times New Roman" w:eastAsia="仿宋_GB2312"/>
                <w:color w:val="000000"/>
                <w:sz w:val="24"/>
                <w:szCs w:val="32"/>
                <w:lang w:eastAsia="zh-CN"/>
              </w:rPr>
              <w:t>或记录</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6</w:t>
            </w:r>
            <w:r>
              <w:rPr>
                <w:rFonts w:hint="eastAsia" w:ascii="仿宋_GB2312" w:hAnsi="Times New Roman" w:eastAsia="仿宋_GB2312"/>
                <w:color w:val="000000"/>
                <w:sz w:val="24"/>
                <w:szCs w:val="32"/>
              </w:rPr>
              <w:t>）建立地方知识产权侵权判定专家库的（1分）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ascii="仿宋_GB2312" w:hAnsi="Times New Roman" w:eastAsia="仿宋_GB2312"/>
                <w:color w:val="000000"/>
                <w:sz w:val="24"/>
                <w:szCs w:val="32"/>
              </w:rPr>
              <w:t>7</w:t>
            </w:r>
            <w:r>
              <w:rPr>
                <w:rFonts w:hint="eastAsia" w:ascii="仿宋_GB2312" w:hAnsi="Times New Roman" w:eastAsia="仿宋_GB2312"/>
                <w:color w:val="000000"/>
                <w:sz w:val="24"/>
                <w:szCs w:val="32"/>
              </w:rPr>
              <w:t>）建立完善行政裁决人才使用激励机制的（1分）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已开展的表彰或奖励工作需提供相关印证材料。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000"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黑体" w:hAnsi="黑体" w:eastAsia="黑体" w:cs="宋体"/>
                <w:color w:val="000000"/>
                <w:sz w:val="24"/>
              </w:rPr>
            </w:pPr>
            <w:r>
              <w:rPr>
                <w:rFonts w:hint="eastAsia" w:ascii="黑体" w:hAnsi="黑体" w:eastAsia="黑体" w:cs="宋体"/>
                <w:color w:val="000000"/>
                <w:sz w:val="24"/>
              </w:rPr>
              <w:t>加分项指标（上限15分）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三、特色工作（15分）</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1.组织保障（3分）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（1）组织所辖市（区）开展专利侵权纠纷行政裁决示范建设试点工作的（1分）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需提供相关文件材料，会议需提供会议纪要</w:t>
            </w:r>
            <w:r>
              <w:rPr>
                <w:rFonts w:hint="eastAsia" w:ascii="仿宋_GB2312" w:hAnsi="Times New Roman" w:eastAsia="仿宋_GB2312"/>
                <w:color w:val="000000"/>
                <w:sz w:val="24"/>
                <w:szCs w:val="32"/>
                <w:lang w:eastAsia="zh-CN"/>
              </w:rPr>
              <w:t>或记录</w:t>
            </w:r>
            <w:r>
              <w:rPr>
                <w:rFonts w:hint="eastAsia" w:ascii="仿宋_GB2312" w:hAnsi="Times New Roman" w:eastAsia="仿宋_GB2312"/>
                <w:color w:val="000000"/>
                <w:sz w:val="24"/>
                <w:szCs w:val="32"/>
              </w:rPr>
              <w:t>，出台的文件需有文号。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lang w:eastAsia="zh-CN"/>
              </w:rPr>
              <w:t>（</w:t>
            </w:r>
            <w:r>
              <w:rPr>
                <w:rFonts w:hint="eastAsia" w:ascii="仿宋_GB2312" w:hAnsi="Times New Roman" w:eastAsia="仿宋_GB2312"/>
                <w:color w:val="000000"/>
                <w:sz w:val="24"/>
                <w:szCs w:val="32"/>
                <w:lang w:val="en-US" w:eastAsia="zh-CN"/>
              </w:rPr>
              <w:t>2</w:t>
            </w:r>
            <w:r>
              <w:rPr>
                <w:rFonts w:hint="eastAsia" w:ascii="仿宋_GB2312" w:hAnsi="Times New Roman" w:eastAsia="仿宋_GB2312"/>
                <w:color w:val="000000"/>
                <w:sz w:val="24"/>
                <w:szCs w:val="32"/>
                <w:lang w:eastAsia="zh-CN"/>
              </w:rPr>
              <w:t>）</w:t>
            </w:r>
            <w:r>
              <w:rPr>
                <w:rFonts w:hint="eastAsia" w:ascii="仿宋_GB2312" w:hAnsi="Times New Roman" w:eastAsia="仿宋_GB2312"/>
                <w:color w:val="000000"/>
                <w:sz w:val="24"/>
                <w:szCs w:val="32"/>
              </w:rPr>
              <w:t>试点成效显著的（1分）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Times New Roman" w:eastAsia="仿宋_GB2312"/>
                <w:color w:val="000000"/>
                <w:sz w:val="24"/>
                <w:szCs w:val="32"/>
              </w:rPr>
            </w:pP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3</w:t>
            </w:r>
            <w:r>
              <w:rPr>
                <w:rFonts w:hint="eastAsia" w:ascii="仿宋_GB2312" w:hAnsi="Times New Roman" w:eastAsia="仿宋_GB2312"/>
                <w:color w:val="000000"/>
                <w:sz w:val="24"/>
                <w:szCs w:val="32"/>
              </w:rPr>
              <w:t>）争取到司法行政部门的支持，在法治政府、依法行政等考核中，考核指标设置科学、合理的（1分）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2.条件保障（2分）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（1）积极推进专利侵权纠纷行政裁决在线立案、在线办理的（2分）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3.制度建设（4分）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（1）出台加强专利侵权纠纷行政裁决相关政策文件的（2分）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（2）推动出台专利侵权纠纷行政裁决相关地方性法规，完善制度设计的（2分）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4.形成典型经验做法（上限4分）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（1）地方经验做法入选国家知识产权局和司法部联合发布的13个典型性经验做法的（每入选一个加2分）</w:t>
            </w:r>
          </w:p>
        </w:tc>
        <w:tc>
          <w:tcPr>
            <w:tcW w:w="11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需提供入选案例材料。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14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pP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（2）在本辖区形成典型经验做法并做好宣传推广的（1分）</w:t>
            </w:r>
          </w:p>
        </w:tc>
        <w:tc>
          <w:tcPr>
            <w:tcW w:w="11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ascii="仿宋_GB2312" w:hAnsi="Times New Roman" w:eastAsia="仿宋_GB2312"/>
                <w:color w:val="000000"/>
                <w:sz w:val="24"/>
                <w:szCs w:val="32"/>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5.其他（上限2分）</w:t>
            </w:r>
          </w:p>
        </w:tc>
        <w:tc>
          <w:tcPr>
            <w:tcW w:w="5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其他在组织保障、条件保障、制度建设等方面创新方式方法且成效显著的，例如责令停止侵权行为时，采取责令产品下架等手段停止侵权产品销售的（每一项得1分，上限为2分）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_GB2312" w:hAnsi="Times New Roman" w:eastAsia="仿宋_GB2312"/>
                <w:color w:val="000000"/>
                <w:sz w:val="24"/>
                <w:szCs w:val="32"/>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需提供具体措施印证材料。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00" w:hRule="atLeast"/>
          <w:jc w:val="center"/>
        </w:trPr>
        <w:tc>
          <w:tcPr>
            <w:tcW w:w="14000"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总 分：基础项指标得分（   ）   加分项指标得分（   ）    最终得分（   ）</w:t>
            </w:r>
          </w:p>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ascii="仿宋_GB2312" w:hAnsi="Times New Roman" w:eastAsia="仿宋_GB2312"/>
                <w:color w:val="000000"/>
                <w:sz w:val="24"/>
                <w:szCs w:val="32"/>
              </w:rPr>
            </w:pPr>
            <w:r>
              <w:rPr>
                <w:rFonts w:hint="eastAsia" w:ascii="仿宋_GB2312" w:hAnsi="Times New Roman" w:eastAsia="仿宋_GB2312"/>
                <w:color w:val="000000"/>
                <w:sz w:val="24"/>
                <w:szCs w:val="32"/>
              </w:rPr>
              <w:t>结 论：不合格（   ）合格（   ） 优秀（   ）</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rPr>
      </w:pPr>
      <w:r>
        <w:rPr>
          <w:rFonts w:hint="eastAsia" w:ascii="黑体" w:hAnsi="黑体" w:eastAsia="黑体" w:cs="黑体"/>
          <w:color w:val="000000"/>
          <w:sz w:val="24"/>
          <w:szCs w:val="24"/>
        </w:rPr>
        <w:t>备注：</w:t>
      </w:r>
      <w:r>
        <w:rPr>
          <w:rFonts w:hint="eastAsia" w:ascii="楷体" w:hAnsi="楷体" w:eastAsia="楷体" w:cs="楷体"/>
          <w:color w:val="000000"/>
          <w:sz w:val="24"/>
          <w:szCs w:val="24"/>
        </w:rPr>
        <w:t>标“*”项对第一批试点地方不做硬性考核，视为得分，同时可作为特色工作在加分项指标中予以加分。</w:t>
      </w:r>
    </w:p>
    <w:p>
      <w:pPr>
        <w:keepNext w:val="0"/>
        <w:keepLines w:val="0"/>
        <w:pageBreakBefore w:val="0"/>
        <w:widowControl w:val="0"/>
        <w:kinsoku/>
        <w:topLinePunct w:val="0"/>
        <w:autoSpaceDE/>
        <w:autoSpaceDN/>
        <w:bidi w:val="0"/>
        <w:adjustRightInd/>
        <w:spacing w:line="560" w:lineRule="exact"/>
        <w:ind w:firstLine="640" w:firstLineChars="200"/>
        <w:textAlignment w:val="auto"/>
        <w:rPr>
          <w:rFonts w:ascii="仿宋_GB2312" w:hAnsi="宋体" w:eastAsia="仿宋_GB2312" w:cs="宋体"/>
          <w:sz w:val="32"/>
          <w:szCs w:val="32"/>
        </w:rPr>
      </w:pPr>
    </w:p>
    <w:p>
      <w:pPr>
        <w:keepNext w:val="0"/>
        <w:keepLines w:val="0"/>
        <w:pageBreakBefore w:val="0"/>
        <w:widowControl w:val="0"/>
        <w:kinsoku/>
        <w:topLinePunct w:val="0"/>
        <w:autoSpaceDE/>
        <w:autoSpaceDN/>
        <w:bidi w:val="0"/>
        <w:adjustRightInd/>
        <w:spacing w:line="560" w:lineRule="exact"/>
        <w:ind w:firstLine="640" w:firstLineChars="200"/>
        <w:textAlignment w:val="auto"/>
        <w:rPr>
          <w:rFonts w:ascii="仿宋_GB2312" w:hAnsi="宋体" w:eastAsia="仿宋_GB2312" w:cs="宋体"/>
          <w:sz w:val="32"/>
          <w:szCs w:val="32"/>
        </w:rPr>
      </w:pPr>
    </w:p>
    <w:p>
      <w:pPr>
        <w:keepNext w:val="0"/>
        <w:keepLines w:val="0"/>
        <w:pageBreakBefore w:val="0"/>
        <w:widowControl w:val="0"/>
        <w:kinsoku/>
        <w:topLinePunct w:val="0"/>
        <w:autoSpaceDE/>
        <w:autoSpaceDN/>
        <w:bidi w:val="0"/>
        <w:adjustRightInd/>
        <w:spacing w:line="560" w:lineRule="exact"/>
        <w:textAlignment w:val="auto"/>
        <w:rPr>
          <w:rFonts w:ascii="仿宋_GB2312" w:hAnsi="宋体" w:eastAsia="仿宋_GB2312" w:cs="宋体"/>
          <w:sz w:val="32"/>
          <w:szCs w:val="32"/>
        </w:rPr>
      </w:pPr>
      <w:bookmarkStart w:id="0" w:name="_GoBack"/>
      <w:bookmarkEnd w:id="0"/>
    </w:p>
    <w:sectPr>
      <w:footerReference r:id="rId3" w:type="default"/>
      <w:pgSz w:w="16838" w:h="11906" w:orient="landscape"/>
      <w:pgMar w:top="1588" w:right="2155" w:bottom="1474" w:left="1985"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00" w:h="544" w:hRule="exact" w:hSpace="181" w:wrap="around" w:vAnchor="text" w:hAnchor="text" w:xAlign="outside" w:y="1"/>
      <w:shd w:val="solid" w:color="FFFFFF" w:fill="FFFFFF"/>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2"/>
    <w:rsid w:val="00007715"/>
    <w:rsid w:val="000B70B9"/>
    <w:rsid w:val="000C332C"/>
    <w:rsid w:val="000D0959"/>
    <w:rsid w:val="001400CD"/>
    <w:rsid w:val="001749CB"/>
    <w:rsid w:val="00194344"/>
    <w:rsid w:val="001A1A4B"/>
    <w:rsid w:val="001B2E61"/>
    <w:rsid w:val="002242F5"/>
    <w:rsid w:val="002259AF"/>
    <w:rsid w:val="002874FB"/>
    <w:rsid w:val="002928E3"/>
    <w:rsid w:val="002B338A"/>
    <w:rsid w:val="002C5D9C"/>
    <w:rsid w:val="002C782A"/>
    <w:rsid w:val="002F2FA5"/>
    <w:rsid w:val="00322304"/>
    <w:rsid w:val="0033521A"/>
    <w:rsid w:val="003963F7"/>
    <w:rsid w:val="00447281"/>
    <w:rsid w:val="0045404D"/>
    <w:rsid w:val="004B7992"/>
    <w:rsid w:val="00546C27"/>
    <w:rsid w:val="00547DCD"/>
    <w:rsid w:val="005E2B82"/>
    <w:rsid w:val="005E3346"/>
    <w:rsid w:val="005F28A6"/>
    <w:rsid w:val="00611FB3"/>
    <w:rsid w:val="006305C5"/>
    <w:rsid w:val="006A7345"/>
    <w:rsid w:val="006C37E0"/>
    <w:rsid w:val="006E2571"/>
    <w:rsid w:val="007155FB"/>
    <w:rsid w:val="0073433C"/>
    <w:rsid w:val="00744662"/>
    <w:rsid w:val="00811EA1"/>
    <w:rsid w:val="00836DCB"/>
    <w:rsid w:val="00881F85"/>
    <w:rsid w:val="0091025C"/>
    <w:rsid w:val="00975228"/>
    <w:rsid w:val="009876B1"/>
    <w:rsid w:val="009B06DB"/>
    <w:rsid w:val="009E0602"/>
    <w:rsid w:val="00A06411"/>
    <w:rsid w:val="00AC693F"/>
    <w:rsid w:val="00AD320A"/>
    <w:rsid w:val="00AF647B"/>
    <w:rsid w:val="00B06622"/>
    <w:rsid w:val="00B512E0"/>
    <w:rsid w:val="00B6707F"/>
    <w:rsid w:val="00BE2207"/>
    <w:rsid w:val="00BE5201"/>
    <w:rsid w:val="00D96ABC"/>
    <w:rsid w:val="00DA6FB4"/>
    <w:rsid w:val="00E059EA"/>
    <w:rsid w:val="00E40FD1"/>
    <w:rsid w:val="00E81FC3"/>
    <w:rsid w:val="00E9291C"/>
    <w:rsid w:val="00E960D3"/>
    <w:rsid w:val="00F71DAA"/>
    <w:rsid w:val="06DD431F"/>
    <w:rsid w:val="1ADFA90D"/>
    <w:rsid w:val="1BB7E5D8"/>
    <w:rsid w:val="23BDCE3D"/>
    <w:rsid w:val="2FF1DEE9"/>
    <w:rsid w:val="3EFB1B53"/>
    <w:rsid w:val="3F7375EC"/>
    <w:rsid w:val="3FB161AB"/>
    <w:rsid w:val="4F52D9D7"/>
    <w:rsid w:val="53EB28AE"/>
    <w:rsid w:val="5555EDAB"/>
    <w:rsid w:val="5A9268BB"/>
    <w:rsid w:val="5ABD30D3"/>
    <w:rsid w:val="5D7D5DD1"/>
    <w:rsid w:val="5EAD4C7C"/>
    <w:rsid w:val="5FADA3BD"/>
    <w:rsid w:val="5FB78493"/>
    <w:rsid w:val="69AFD793"/>
    <w:rsid w:val="69BFE75D"/>
    <w:rsid w:val="6BBE7F99"/>
    <w:rsid w:val="6EBE0F47"/>
    <w:rsid w:val="711C19C1"/>
    <w:rsid w:val="717FC121"/>
    <w:rsid w:val="74A6FC1B"/>
    <w:rsid w:val="757D8DF7"/>
    <w:rsid w:val="757DDADD"/>
    <w:rsid w:val="758B7A47"/>
    <w:rsid w:val="75FB0E69"/>
    <w:rsid w:val="76DF2D80"/>
    <w:rsid w:val="77F992EE"/>
    <w:rsid w:val="7DFBCC16"/>
    <w:rsid w:val="7F3F608A"/>
    <w:rsid w:val="7FB9C63A"/>
    <w:rsid w:val="7FCEC7BB"/>
    <w:rsid w:val="7FF56AD9"/>
    <w:rsid w:val="9B75C074"/>
    <w:rsid w:val="9FE97B97"/>
    <w:rsid w:val="AFDF064E"/>
    <w:rsid w:val="BB7FABFD"/>
    <w:rsid w:val="BBF7BCD0"/>
    <w:rsid w:val="BDB7B915"/>
    <w:rsid w:val="BEEFDCC0"/>
    <w:rsid w:val="BEF27BDB"/>
    <w:rsid w:val="BF6E3C50"/>
    <w:rsid w:val="BF6F13B9"/>
    <w:rsid w:val="BFFD12C4"/>
    <w:rsid w:val="C9DF1105"/>
    <w:rsid w:val="D79D0A90"/>
    <w:rsid w:val="D7FC47AB"/>
    <w:rsid w:val="DCFF7B84"/>
    <w:rsid w:val="DE95301B"/>
    <w:rsid w:val="DF7F852F"/>
    <w:rsid w:val="E9C744DB"/>
    <w:rsid w:val="EAFB946C"/>
    <w:rsid w:val="EB33ADF1"/>
    <w:rsid w:val="EEF6ECD4"/>
    <w:rsid w:val="EF37CD5B"/>
    <w:rsid w:val="EF7F90C3"/>
    <w:rsid w:val="EFD5EB5D"/>
    <w:rsid w:val="F6FFD7FC"/>
    <w:rsid w:val="FBDF2AA6"/>
    <w:rsid w:val="FDBF4093"/>
    <w:rsid w:val="FDD5FEB9"/>
    <w:rsid w:val="FE5FFEEB"/>
    <w:rsid w:val="FEDBCB24"/>
    <w:rsid w:val="FFBF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Char"/>
    <w:basedOn w:val="1"/>
    <w:qFormat/>
    <w:uiPriority w:val="0"/>
    <w:rPr>
      <w:rFonts w:ascii="Tahoma" w:hAnsi="Tahoma"/>
      <w:sz w:val="24"/>
      <w:szCs w:val="20"/>
    </w:r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2854</Words>
  <Characters>2892</Characters>
  <Lines>1</Lines>
  <Paragraphs>1</Paragraphs>
  <TotalTime>10</TotalTime>
  <ScaleCrop>false</ScaleCrop>
  <LinksUpToDate>false</LinksUpToDate>
  <CharactersWithSpaces>3010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2018-05-30T09:45:00Z</dcterms:created>
  <dc:creator>打字室</dc:creator>
  <cp:lastModifiedBy>work丢丢</cp:lastModifiedBy>
  <cp:lastPrinted>2022-01-17T09:50:00Z</cp:lastPrinted>
  <dcterms:modified xsi:type="dcterms:W3CDTF">2022-01-19T06:28:25Z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2ED2C20C726F4B6C9722F59F4FB0EEE8</vt:lpwstr>
  </property>
</Properties>
</file>