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pPr>
        <w:rPr>
          <w:rFonts w:hint="eastAsia"/>
        </w:rPr>
      </w:pPr>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1411"/>
        <w:gridCol w:w="2751"/>
        <w:gridCol w:w="4854"/>
        <w:gridCol w:w="1298"/>
        <w:gridCol w:w="1298"/>
        <w:gridCol w:w="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14174" w:type="dxa"/>
            <w:gridSpan w:val="7"/>
            <w:tcBorders>
              <w:bottom w:val="single" w:color="auto" w:sz="4" w:space="0"/>
            </w:tcBorders>
            <w:vAlign w:val="center"/>
          </w:tcPr>
          <w:p>
            <w:pPr>
              <w:jc w:val="center"/>
              <w:rPr>
                <w:rFonts w:hint="eastAsia" w:ascii="仿宋_GB2312" w:eastAsia="仿宋_GB2312"/>
                <w:b/>
                <w:bCs/>
                <w:sz w:val="32"/>
                <w:szCs w:val="32"/>
              </w:rPr>
            </w:pPr>
            <w:r>
              <w:rPr>
                <w:rFonts w:hint="eastAsia" w:ascii="方正小标宋简体" w:hAnsi="方正小标宋简体" w:eastAsia="方正小标宋简体" w:cs="方正小标宋简体"/>
                <w:sz w:val="32"/>
                <w:szCs w:val="32"/>
              </w:rPr>
              <w:t>合并的监管报告事项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nil"/>
            </w:tcBorders>
            <w:vAlign w:val="center"/>
          </w:tcPr>
          <w:p>
            <w:pPr>
              <w:widowControl/>
              <w:jc w:val="center"/>
              <w:rPr>
                <w:rFonts w:hint="eastAsia" w:ascii="黑体" w:hAnsi="黑体" w:eastAsia="黑体" w:cs="黑体"/>
                <w:bCs/>
                <w:color w:val="000000"/>
                <w:kern w:val="0"/>
                <w:szCs w:val="21"/>
              </w:rPr>
            </w:pPr>
            <w:r>
              <w:rPr>
                <w:rFonts w:hint="eastAsia" w:ascii="黑体" w:hAnsi="黑体" w:eastAsia="黑体" w:cs="黑体"/>
                <w:bCs/>
                <w:color w:val="000000"/>
                <w:kern w:val="0"/>
                <w:szCs w:val="21"/>
              </w:rPr>
              <w:t>序号</w:t>
            </w:r>
          </w:p>
        </w:tc>
        <w:tc>
          <w:tcPr>
            <w:tcW w:w="1411" w:type="dxa"/>
            <w:tcBorders>
              <w:top w:val="single" w:color="auto" w:sz="4" w:space="0"/>
              <w:bottom w:val="nil"/>
            </w:tcBorders>
            <w:vAlign w:val="center"/>
          </w:tcPr>
          <w:p>
            <w:pPr>
              <w:widowControl/>
              <w:jc w:val="center"/>
              <w:rPr>
                <w:rFonts w:hint="eastAsia" w:ascii="黑体" w:hAnsi="黑体" w:eastAsia="黑体" w:cs="黑体"/>
                <w:bCs/>
                <w:color w:val="000000"/>
                <w:kern w:val="0"/>
                <w:szCs w:val="21"/>
              </w:rPr>
            </w:pPr>
            <w:r>
              <w:rPr>
                <w:rFonts w:hint="eastAsia" w:ascii="黑体" w:hAnsi="黑体" w:eastAsia="黑体" w:cs="黑体"/>
                <w:bCs/>
                <w:color w:val="000000"/>
                <w:kern w:val="0"/>
                <w:szCs w:val="21"/>
              </w:rPr>
              <w:t>原报告事项</w:t>
            </w:r>
          </w:p>
        </w:tc>
        <w:tc>
          <w:tcPr>
            <w:tcW w:w="2751" w:type="dxa"/>
            <w:tcBorders>
              <w:top w:val="single" w:color="auto" w:sz="4" w:space="0"/>
              <w:bottom w:val="nil"/>
            </w:tcBorders>
            <w:vAlign w:val="center"/>
          </w:tcPr>
          <w:p>
            <w:pPr>
              <w:widowControl/>
              <w:jc w:val="center"/>
              <w:rPr>
                <w:rFonts w:hint="eastAsia" w:ascii="黑体" w:hAnsi="黑体" w:eastAsia="黑体" w:cs="黑体"/>
                <w:bCs/>
                <w:color w:val="000000"/>
                <w:kern w:val="0"/>
                <w:szCs w:val="21"/>
              </w:rPr>
            </w:pPr>
            <w:r>
              <w:rPr>
                <w:rFonts w:hint="eastAsia" w:ascii="黑体" w:hAnsi="黑体" w:eastAsia="黑体" w:cs="黑体"/>
                <w:bCs/>
                <w:color w:val="000000"/>
                <w:kern w:val="0"/>
                <w:szCs w:val="21"/>
              </w:rPr>
              <w:t>制度依据</w:t>
            </w:r>
          </w:p>
        </w:tc>
        <w:tc>
          <w:tcPr>
            <w:tcW w:w="4854" w:type="dxa"/>
            <w:tcBorders>
              <w:top w:val="single" w:color="auto" w:sz="4" w:space="0"/>
              <w:bottom w:val="nil"/>
            </w:tcBorders>
            <w:vAlign w:val="center"/>
          </w:tcPr>
          <w:p>
            <w:pPr>
              <w:widowControl/>
              <w:jc w:val="center"/>
              <w:rPr>
                <w:rFonts w:hint="eastAsia" w:ascii="黑体" w:hAnsi="黑体" w:eastAsia="黑体" w:cs="黑体"/>
                <w:bCs/>
                <w:color w:val="000000"/>
                <w:kern w:val="0"/>
                <w:szCs w:val="21"/>
              </w:rPr>
            </w:pPr>
            <w:r>
              <w:rPr>
                <w:rFonts w:hint="eastAsia" w:ascii="黑体" w:hAnsi="黑体" w:eastAsia="黑体" w:cs="黑体"/>
                <w:bCs/>
                <w:color w:val="000000"/>
                <w:kern w:val="0"/>
                <w:szCs w:val="21"/>
              </w:rPr>
              <w:t>相关条款</w:t>
            </w:r>
          </w:p>
        </w:tc>
        <w:tc>
          <w:tcPr>
            <w:tcW w:w="1298" w:type="dxa"/>
            <w:tcBorders>
              <w:top w:val="single" w:color="auto" w:sz="4" w:space="0"/>
              <w:bottom w:val="nil"/>
            </w:tcBorders>
            <w:vAlign w:val="center"/>
          </w:tcPr>
          <w:p>
            <w:pPr>
              <w:widowControl/>
              <w:jc w:val="center"/>
              <w:rPr>
                <w:rFonts w:hint="eastAsia" w:ascii="黑体" w:hAnsi="黑体" w:eastAsia="黑体" w:cs="黑体"/>
                <w:bCs/>
                <w:color w:val="000000"/>
                <w:kern w:val="0"/>
                <w:szCs w:val="21"/>
              </w:rPr>
            </w:pPr>
            <w:r>
              <w:rPr>
                <w:rFonts w:hint="eastAsia" w:ascii="黑体" w:hAnsi="黑体" w:eastAsia="黑体" w:cs="黑体"/>
                <w:bCs/>
                <w:color w:val="000000"/>
                <w:kern w:val="0"/>
                <w:szCs w:val="21"/>
              </w:rPr>
              <w:t>合并后报告名称</w:t>
            </w:r>
          </w:p>
        </w:tc>
        <w:tc>
          <w:tcPr>
            <w:tcW w:w="1298" w:type="dxa"/>
            <w:tcBorders>
              <w:top w:val="single" w:color="auto" w:sz="4" w:space="0"/>
              <w:bottom w:val="nil"/>
            </w:tcBorders>
            <w:vAlign w:val="center"/>
          </w:tcPr>
          <w:p>
            <w:pPr>
              <w:widowControl/>
              <w:jc w:val="center"/>
              <w:rPr>
                <w:rFonts w:hint="eastAsia" w:ascii="黑体" w:hAnsi="黑体" w:eastAsia="黑体" w:cs="黑体"/>
                <w:bCs/>
                <w:color w:val="000000"/>
                <w:kern w:val="0"/>
                <w:szCs w:val="21"/>
              </w:rPr>
            </w:pPr>
            <w:r>
              <w:rPr>
                <w:rFonts w:hint="eastAsia" w:ascii="黑体" w:hAnsi="黑体" w:eastAsia="黑体" w:cs="黑体"/>
                <w:bCs/>
                <w:color w:val="000000"/>
                <w:kern w:val="0"/>
                <w:szCs w:val="21"/>
              </w:rPr>
              <w:t>合并后报告频率</w:t>
            </w:r>
          </w:p>
        </w:tc>
        <w:tc>
          <w:tcPr>
            <w:tcW w:w="1482" w:type="dxa"/>
            <w:tcBorders>
              <w:top w:val="single" w:color="auto" w:sz="4" w:space="0"/>
              <w:bottom w:val="nil"/>
              <w:right w:val="single" w:color="auto" w:sz="4" w:space="0"/>
            </w:tcBorders>
            <w:vAlign w:val="center"/>
          </w:tcPr>
          <w:p>
            <w:pPr>
              <w:widowControl/>
              <w:jc w:val="center"/>
              <w:rPr>
                <w:rFonts w:hint="eastAsia" w:ascii="黑体" w:hAnsi="黑体" w:eastAsia="黑体" w:cs="黑体"/>
                <w:bCs/>
                <w:color w:val="000000"/>
                <w:kern w:val="0"/>
                <w:szCs w:val="21"/>
              </w:rPr>
            </w:pPr>
            <w:r>
              <w:rPr>
                <w:rFonts w:hint="eastAsia" w:ascii="黑体" w:hAnsi="黑体" w:eastAsia="黑体" w:cs="黑体"/>
                <w:bCs/>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4" w:hRule="atLeast"/>
        </w:trPr>
        <w:tc>
          <w:tcPr>
            <w:tcW w:w="1080" w:type="dxa"/>
            <w:tcBorders>
              <w:top w:val="single" w:color="auto" w:sz="4" w:space="0"/>
              <w:left w:val="single" w:color="auto" w:sz="4" w:space="0"/>
              <w:bottom w:val="single" w:color="auto" w:sz="4" w:space="0"/>
            </w:tcBorders>
            <w:vAlign w:val="center"/>
          </w:tcPr>
          <w:p>
            <w:pPr>
              <w:jc w:val="center"/>
              <w:rPr>
                <w:rFonts w:hint="eastAsia" w:ascii="仿宋_GB2312" w:eastAsia="仿宋_GB2312"/>
                <w:sz w:val="20"/>
                <w:szCs w:val="20"/>
              </w:rPr>
            </w:pPr>
            <w:r>
              <w:rPr>
                <w:rFonts w:hint="eastAsia" w:ascii="仿宋_GB2312" w:eastAsia="仿宋_GB2312"/>
                <w:sz w:val="20"/>
                <w:szCs w:val="20"/>
              </w:rPr>
              <w:t>1</w:t>
            </w:r>
          </w:p>
        </w:tc>
        <w:tc>
          <w:tcPr>
            <w:tcW w:w="1411" w:type="dxa"/>
            <w:tcBorders>
              <w:top w:val="single" w:color="auto" w:sz="4" w:space="0"/>
              <w:bottom w:val="single" w:color="auto" w:sz="4" w:space="0"/>
            </w:tcBorders>
            <w:vAlign w:val="center"/>
          </w:tcPr>
          <w:p>
            <w:pPr>
              <w:jc w:val="center"/>
              <w:rPr>
                <w:rFonts w:hint="eastAsia" w:ascii="仿宋_GB2312" w:eastAsia="仿宋_GB2312"/>
                <w:sz w:val="20"/>
                <w:szCs w:val="20"/>
              </w:rPr>
            </w:pPr>
            <w:r>
              <w:rPr>
                <w:rFonts w:hint="eastAsia" w:ascii="仿宋_GB2312" w:eastAsia="仿宋_GB2312"/>
                <w:sz w:val="20"/>
                <w:szCs w:val="20"/>
              </w:rPr>
              <w:t>股权投资情况报告</w:t>
            </w:r>
          </w:p>
        </w:tc>
        <w:tc>
          <w:tcPr>
            <w:tcW w:w="2751" w:type="dxa"/>
            <w:vMerge w:val="restart"/>
            <w:tcBorders>
              <w:top w:val="single" w:color="auto" w:sz="4" w:space="0"/>
              <w:bottom w:val="single" w:color="auto" w:sz="4" w:space="0"/>
            </w:tcBorders>
          </w:tcPr>
          <w:p>
            <w:pPr>
              <w:rPr>
                <w:rFonts w:hint="eastAsia" w:ascii="仿宋_GB2312" w:eastAsia="仿宋_GB2312"/>
                <w:sz w:val="20"/>
                <w:szCs w:val="20"/>
              </w:rPr>
            </w:pPr>
          </w:p>
          <w:p>
            <w:pPr>
              <w:rPr>
                <w:rFonts w:hint="eastAsia" w:ascii="仿宋_GB2312" w:eastAsia="仿宋_GB2312"/>
                <w:sz w:val="20"/>
                <w:szCs w:val="20"/>
              </w:rPr>
            </w:pPr>
          </w:p>
          <w:p>
            <w:pPr>
              <w:rPr>
                <w:rFonts w:hint="eastAsia" w:ascii="仿宋_GB2312" w:eastAsia="仿宋_GB2312"/>
                <w:sz w:val="20"/>
                <w:szCs w:val="20"/>
              </w:rPr>
            </w:pPr>
            <w:r>
              <w:rPr>
                <w:rFonts w:hint="eastAsia" w:ascii="仿宋_GB2312" w:eastAsia="仿宋_GB2312"/>
                <w:sz w:val="20"/>
                <w:szCs w:val="20"/>
              </w:rPr>
              <w:t>《关于保险资金投资股权和不动产有关问题的通知》（保监发〔2012〕59号）</w:t>
            </w:r>
          </w:p>
        </w:tc>
        <w:tc>
          <w:tcPr>
            <w:tcW w:w="4854" w:type="dxa"/>
            <w:vMerge w:val="restart"/>
            <w:tcBorders>
              <w:top w:val="single" w:color="auto" w:sz="4" w:space="0"/>
              <w:bottom w:val="single" w:color="auto" w:sz="4" w:space="0"/>
            </w:tcBorders>
          </w:tcPr>
          <w:p>
            <w:pPr>
              <w:rPr>
                <w:rFonts w:hint="eastAsia" w:ascii="仿宋_GB2312" w:eastAsia="仿宋_GB2312"/>
                <w:sz w:val="20"/>
                <w:szCs w:val="20"/>
              </w:rPr>
            </w:pPr>
            <w:r>
              <w:rPr>
                <w:rFonts w:hint="eastAsia" w:ascii="仿宋_GB2312" w:eastAsia="仿宋_GB2312"/>
                <w:sz w:val="20"/>
                <w:szCs w:val="20"/>
              </w:rPr>
              <w:t>一、调整事项</w:t>
            </w:r>
          </w:p>
          <w:p>
            <w:pPr>
              <w:rPr>
                <w:rFonts w:hint="eastAsia" w:ascii="仿宋_GB2312" w:eastAsia="仿宋_GB2312"/>
                <w:sz w:val="20"/>
                <w:szCs w:val="20"/>
              </w:rPr>
            </w:pPr>
            <w:r>
              <w:rPr>
                <w:rFonts w:hint="eastAsia" w:ascii="仿宋_GB2312" w:eastAsia="仿宋_GB2312"/>
                <w:sz w:val="20"/>
                <w:szCs w:val="20"/>
              </w:rPr>
              <w:t>10.保险公司和托管机构向中国保监会提交投资股权和不动产季度报告的时间，调整为每季度结束后30个工作日内；保险公司、投资机构和托管机构向中国保监会提交投资股权和不动产年度报告的时间，调整为每年4月30日前。</w:t>
            </w:r>
          </w:p>
        </w:tc>
        <w:tc>
          <w:tcPr>
            <w:tcW w:w="1298" w:type="dxa"/>
            <w:vMerge w:val="restart"/>
            <w:tcBorders>
              <w:top w:val="single" w:color="auto" w:sz="4" w:space="0"/>
            </w:tcBorders>
            <w:vAlign w:val="center"/>
          </w:tcPr>
          <w:p>
            <w:pPr>
              <w:rPr>
                <w:rFonts w:hint="eastAsia" w:ascii="仿宋_GB2312" w:eastAsia="仿宋_GB2312"/>
                <w:sz w:val="20"/>
                <w:szCs w:val="20"/>
              </w:rPr>
            </w:pPr>
            <w:r>
              <w:rPr>
                <w:rFonts w:hint="eastAsia" w:ascii="仿宋_GB2312" w:eastAsia="仿宋_GB2312"/>
                <w:sz w:val="20"/>
                <w:szCs w:val="20"/>
              </w:rPr>
              <w:t>xx公司xx</w:t>
            </w:r>
            <w:r>
              <w:rPr>
                <w:rFonts w:ascii="仿宋_GB2312" w:eastAsia="仿宋_GB2312"/>
                <w:sz w:val="20"/>
                <w:szCs w:val="20"/>
              </w:rPr>
              <w:t>年x</w:t>
            </w:r>
            <w:r>
              <w:rPr>
                <w:rFonts w:hint="eastAsia" w:ascii="仿宋_GB2312" w:eastAsia="仿宋_GB2312"/>
                <w:sz w:val="20"/>
                <w:szCs w:val="20"/>
              </w:rPr>
              <w:t>季度/xx年度资金运用情况报告</w:t>
            </w:r>
          </w:p>
        </w:tc>
        <w:tc>
          <w:tcPr>
            <w:tcW w:w="1298" w:type="dxa"/>
            <w:vMerge w:val="restart"/>
            <w:tcBorders>
              <w:top w:val="single" w:color="auto" w:sz="4" w:space="0"/>
            </w:tcBorders>
            <w:vAlign w:val="center"/>
          </w:tcPr>
          <w:p>
            <w:pPr>
              <w:rPr>
                <w:rFonts w:hint="eastAsia" w:ascii="仿宋_GB2312" w:eastAsia="仿宋_GB2312"/>
                <w:sz w:val="20"/>
                <w:szCs w:val="20"/>
              </w:rPr>
            </w:pPr>
            <w:r>
              <w:rPr>
                <w:rFonts w:hint="eastAsia" w:ascii="仿宋_GB2312" w:eastAsia="仿宋_GB2312"/>
                <w:sz w:val="20"/>
                <w:szCs w:val="20"/>
              </w:rPr>
              <w:t>每季度结束后30个工作日内</w:t>
            </w:r>
            <w:r>
              <w:rPr>
                <w:rFonts w:ascii="仿宋_GB2312" w:eastAsia="仿宋_GB2312"/>
                <w:sz w:val="20"/>
                <w:szCs w:val="20"/>
              </w:rPr>
              <w:t>和</w:t>
            </w:r>
            <w:r>
              <w:rPr>
                <w:rFonts w:hint="eastAsia" w:ascii="仿宋_GB2312" w:eastAsia="仿宋_GB2312"/>
                <w:sz w:val="20"/>
                <w:szCs w:val="20"/>
              </w:rPr>
              <w:t>每年4月30日前</w:t>
            </w:r>
            <w:r>
              <w:rPr>
                <w:rFonts w:ascii="仿宋_GB2312" w:eastAsia="仿宋_GB2312"/>
                <w:sz w:val="20"/>
                <w:szCs w:val="20"/>
              </w:rPr>
              <w:t>，分别提交季度报告和年度报告。</w:t>
            </w:r>
          </w:p>
        </w:tc>
        <w:tc>
          <w:tcPr>
            <w:tcW w:w="1482" w:type="dxa"/>
            <w:vMerge w:val="restart"/>
            <w:tcBorders>
              <w:top w:val="single" w:color="auto" w:sz="4" w:space="0"/>
              <w:bottom w:val="single" w:color="auto" w:sz="4" w:space="0"/>
              <w:right w:val="single" w:color="auto" w:sz="4" w:space="0"/>
            </w:tcBorders>
            <w:vAlign w:val="center"/>
          </w:tcPr>
          <w:p>
            <w:pPr>
              <w:rPr>
                <w:rFonts w:hint="eastAsia" w:ascii="仿宋_GB2312" w:eastAsia="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80" w:type="dxa"/>
            <w:tcBorders>
              <w:top w:val="single" w:color="auto" w:sz="4" w:space="0"/>
            </w:tcBorders>
            <w:vAlign w:val="center"/>
          </w:tcPr>
          <w:p>
            <w:pPr>
              <w:jc w:val="center"/>
              <w:rPr>
                <w:rFonts w:ascii="仿宋_GB2312" w:eastAsia="仿宋_GB2312"/>
                <w:sz w:val="20"/>
                <w:szCs w:val="20"/>
              </w:rPr>
            </w:pPr>
            <w:r>
              <w:rPr>
                <w:rFonts w:hint="eastAsia" w:ascii="仿宋_GB2312" w:eastAsia="仿宋_GB2312"/>
                <w:sz w:val="20"/>
                <w:szCs w:val="20"/>
              </w:rPr>
              <w:t>2</w:t>
            </w:r>
          </w:p>
        </w:tc>
        <w:tc>
          <w:tcPr>
            <w:tcW w:w="1411" w:type="dxa"/>
            <w:tcBorders>
              <w:top w:val="single" w:color="auto" w:sz="4" w:space="0"/>
            </w:tcBorders>
            <w:vAlign w:val="center"/>
          </w:tcPr>
          <w:p>
            <w:pPr>
              <w:jc w:val="center"/>
              <w:rPr>
                <w:rFonts w:hint="eastAsia" w:ascii="仿宋_GB2312" w:eastAsia="仿宋_GB2312"/>
                <w:sz w:val="20"/>
                <w:szCs w:val="20"/>
              </w:rPr>
            </w:pPr>
            <w:r>
              <w:rPr>
                <w:rFonts w:hint="eastAsia" w:ascii="仿宋_GB2312" w:eastAsia="仿宋_GB2312"/>
                <w:sz w:val="20"/>
                <w:szCs w:val="20"/>
              </w:rPr>
              <w:t>不动产投资情况报告</w:t>
            </w:r>
          </w:p>
        </w:tc>
        <w:tc>
          <w:tcPr>
            <w:tcW w:w="2751" w:type="dxa"/>
            <w:vMerge w:val="continue"/>
            <w:tcBorders>
              <w:top w:val="single" w:color="auto" w:sz="4" w:space="0"/>
            </w:tcBorders>
            <w:vAlign w:val="center"/>
          </w:tcPr>
          <w:p>
            <w:pPr>
              <w:rPr>
                <w:rFonts w:hint="eastAsia" w:ascii="仿宋_GB2312" w:eastAsia="仿宋_GB2312"/>
                <w:sz w:val="20"/>
                <w:szCs w:val="20"/>
              </w:rPr>
            </w:pPr>
          </w:p>
        </w:tc>
        <w:tc>
          <w:tcPr>
            <w:tcW w:w="4854" w:type="dxa"/>
            <w:vMerge w:val="continue"/>
            <w:tcBorders>
              <w:top w:val="single" w:color="auto" w:sz="4" w:space="0"/>
            </w:tcBorders>
            <w:vAlign w:val="center"/>
          </w:tcPr>
          <w:p>
            <w:pPr>
              <w:rPr>
                <w:rFonts w:hint="eastAsia" w:ascii="仿宋_GB2312" w:eastAsia="仿宋_GB2312"/>
                <w:sz w:val="20"/>
                <w:szCs w:val="20"/>
              </w:rPr>
            </w:pPr>
          </w:p>
        </w:tc>
        <w:tc>
          <w:tcPr>
            <w:tcW w:w="1298" w:type="dxa"/>
            <w:vMerge w:val="continue"/>
          </w:tcPr>
          <w:p>
            <w:pPr>
              <w:rPr>
                <w:rFonts w:hint="eastAsia" w:ascii="仿宋_GB2312" w:eastAsia="仿宋_GB2312"/>
                <w:sz w:val="20"/>
                <w:szCs w:val="20"/>
              </w:rPr>
            </w:pPr>
          </w:p>
        </w:tc>
        <w:tc>
          <w:tcPr>
            <w:tcW w:w="1298" w:type="dxa"/>
            <w:vMerge w:val="continue"/>
          </w:tcPr>
          <w:p>
            <w:pPr>
              <w:rPr>
                <w:rFonts w:hint="eastAsia" w:ascii="仿宋_GB2312" w:eastAsia="仿宋_GB2312"/>
                <w:sz w:val="20"/>
                <w:szCs w:val="20"/>
              </w:rPr>
            </w:pPr>
          </w:p>
        </w:tc>
        <w:tc>
          <w:tcPr>
            <w:tcW w:w="1482" w:type="dxa"/>
            <w:vMerge w:val="continue"/>
            <w:tcBorders>
              <w:top w:val="single" w:color="auto" w:sz="4" w:space="0"/>
              <w:right w:val="single" w:color="auto" w:sz="4" w:space="0"/>
            </w:tcBorders>
          </w:tcPr>
          <w:p>
            <w:pPr>
              <w:rPr>
                <w:rFonts w:hint="eastAsia" w:ascii="仿宋_GB2312" w:eastAsia="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2" w:hRule="atLeast"/>
        </w:trPr>
        <w:tc>
          <w:tcPr>
            <w:tcW w:w="1080" w:type="dxa"/>
            <w:vAlign w:val="center"/>
          </w:tcPr>
          <w:p>
            <w:pPr>
              <w:jc w:val="center"/>
              <w:rPr>
                <w:rFonts w:ascii="仿宋_GB2312" w:eastAsia="仿宋_GB2312"/>
                <w:sz w:val="20"/>
                <w:szCs w:val="20"/>
              </w:rPr>
            </w:pPr>
            <w:r>
              <w:rPr>
                <w:rFonts w:hint="eastAsia" w:ascii="仿宋_GB2312" w:eastAsia="仿宋_GB2312"/>
                <w:sz w:val="20"/>
                <w:szCs w:val="20"/>
              </w:rPr>
              <w:t>3</w:t>
            </w:r>
          </w:p>
        </w:tc>
        <w:tc>
          <w:tcPr>
            <w:tcW w:w="1411" w:type="dxa"/>
            <w:vAlign w:val="center"/>
          </w:tcPr>
          <w:p>
            <w:pPr>
              <w:jc w:val="center"/>
              <w:rPr>
                <w:rFonts w:hint="eastAsia" w:ascii="仿宋_GB2312" w:eastAsia="仿宋_GB2312"/>
                <w:sz w:val="20"/>
                <w:szCs w:val="20"/>
              </w:rPr>
            </w:pPr>
            <w:r>
              <w:rPr>
                <w:rFonts w:hint="eastAsia" w:ascii="仿宋_GB2312" w:eastAsia="仿宋_GB2312"/>
                <w:sz w:val="20"/>
                <w:szCs w:val="20"/>
              </w:rPr>
              <w:t>金融产品投资情况报告</w:t>
            </w:r>
          </w:p>
        </w:tc>
        <w:tc>
          <w:tcPr>
            <w:tcW w:w="2751" w:type="dxa"/>
            <w:vAlign w:val="center"/>
          </w:tcPr>
          <w:p>
            <w:pPr>
              <w:rPr>
                <w:rFonts w:hint="eastAsia" w:ascii="仿宋_GB2312" w:eastAsia="仿宋_GB2312"/>
                <w:sz w:val="20"/>
                <w:szCs w:val="20"/>
              </w:rPr>
            </w:pPr>
            <w:r>
              <w:rPr>
                <w:rFonts w:hint="eastAsia" w:ascii="仿宋_GB2312" w:eastAsia="仿宋_GB2312"/>
                <w:sz w:val="20"/>
                <w:szCs w:val="20"/>
              </w:rPr>
              <w:t>《关于保险资金投资有关金融产品的通知》（保监发〔2012〕91号）</w:t>
            </w:r>
          </w:p>
        </w:tc>
        <w:tc>
          <w:tcPr>
            <w:tcW w:w="4854" w:type="dxa"/>
            <w:vAlign w:val="center"/>
          </w:tcPr>
          <w:p>
            <w:pPr>
              <w:rPr>
                <w:rFonts w:hint="eastAsia" w:ascii="仿宋_GB2312" w:eastAsia="仿宋_GB2312"/>
                <w:sz w:val="20"/>
                <w:szCs w:val="20"/>
              </w:rPr>
            </w:pPr>
            <w:r>
              <w:rPr>
                <w:rFonts w:hint="eastAsia" w:ascii="仿宋_GB2312" w:eastAsia="仿宋_GB2312"/>
                <w:sz w:val="20"/>
                <w:szCs w:val="20"/>
              </w:rPr>
              <w:t>十七、保险公司投资有关金融产品，应当于每季度结束后30个工作日内和每年4月30日前，分别向中国保监会提交季度报告和年度报告，并附以下书面材料：</w:t>
            </w:r>
            <w:r>
              <w:rPr>
                <w:rFonts w:hint="eastAsia" w:ascii="仿宋_GB2312" w:eastAsia="仿宋_GB2312"/>
                <w:sz w:val="20"/>
                <w:szCs w:val="20"/>
              </w:rPr>
              <w:br w:type="textWrapping"/>
            </w:r>
            <w:r>
              <w:rPr>
                <w:rFonts w:hint="eastAsia" w:ascii="仿宋_GB2312" w:eastAsia="仿宋_GB2312"/>
                <w:sz w:val="20"/>
                <w:szCs w:val="20"/>
              </w:rPr>
              <w:t>（一）投资及合规情况 ；</w:t>
            </w:r>
            <w:r>
              <w:rPr>
                <w:rFonts w:hint="eastAsia" w:ascii="仿宋_GB2312" w:eastAsia="仿宋_GB2312"/>
                <w:sz w:val="20"/>
                <w:szCs w:val="20"/>
              </w:rPr>
              <w:br w:type="textWrapping"/>
            </w:r>
            <w:r>
              <w:rPr>
                <w:rFonts w:hint="eastAsia" w:ascii="仿宋_GB2312" w:eastAsia="仿宋_GB2312"/>
                <w:sz w:val="20"/>
                <w:szCs w:val="20"/>
              </w:rPr>
              <w:t>（二）风险管理状况；</w:t>
            </w:r>
            <w:r>
              <w:rPr>
                <w:rFonts w:hint="eastAsia" w:ascii="仿宋_GB2312" w:eastAsia="仿宋_GB2312"/>
                <w:sz w:val="20"/>
                <w:szCs w:val="20"/>
              </w:rPr>
              <w:br w:type="textWrapping"/>
            </w:r>
            <w:r>
              <w:rPr>
                <w:rFonts w:hint="eastAsia" w:ascii="仿宋_GB2312" w:eastAsia="仿宋_GB2312"/>
                <w:sz w:val="20"/>
                <w:szCs w:val="20"/>
              </w:rPr>
              <w:t>（三）涉及的关联交易情况；</w:t>
            </w:r>
            <w:r>
              <w:rPr>
                <w:rFonts w:hint="eastAsia" w:ascii="仿宋_GB2312" w:eastAsia="仿宋_GB2312"/>
                <w:sz w:val="20"/>
                <w:szCs w:val="20"/>
              </w:rPr>
              <w:br w:type="textWrapping"/>
            </w:r>
            <w:r>
              <w:rPr>
                <w:rFonts w:hint="eastAsia" w:ascii="仿宋_GB2312" w:eastAsia="仿宋_GB2312"/>
                <w:sz w:val="20"/>
                <w:szCs w:val="20"/>
              </w:rPr>
              <w:t>（四）中国保监会规定的其他审慎性内容。</w:t>
            </w:r>
          </w:p>
        </w:tc>
        <w:tc>
          <w:tcPr>
            <w:tcW w:w="1298" w:type="dxa"/>
            <w:vMerge w:val="continue"/>
          </w:tcPr>
          <w:p>
            <w:pPr>
              <w:rPr>
                <w:rFonts w:hint="eastAsia" w:ascii="仿宋_GB2312" w:eastAsia="仿宋_GB2312"/>
                <w:sz w:val="20"/>
                <w:szCs w:val="20"/>
              </w:rPr>
            </w:pPr>
          </w:p>
        </w:tc>
        <w:tc>
          <w:tcPr>
            <w:tcW w:w="1298" w:type="dxa"/>
            <w:vMerge w:val="continue"/>
          </w:tcPr>
          <w:p>
            <w:pPr>
              <w:rPr>
                <w:rFonts w:hint="eastAsia" w:ascii="仿宋_GB2312" w:eastAsia="仿宋_GB2312"/>
                <w:sz w:val="20"/>
                <w:szCs w:val="20"/>
              </w:rPr>
            </w:pPr>
          </w:p>
        </w:tc>
        <w:tc>
          <w:tcPr>
            <w:tcW w:w="1482" w:type="dxa"/>
            <w:vMerge w:val="continue"/>
            <w:tcBorders>
              <w:right w:val="single" w:color="auto" w:sz="4" w:space="0"/>
            </w:tcBorders>
          </w:tcPr>
          <w:p>
            <w:pPr>
              <w:rPr>
                <w:rFonts w:hint="eastAsia" w:ascii="仿宋_GB2312" w:eastAsia="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080" w:type="dxa"/>
            <w:vAlign w:val="center"/>
          </w:tcPr>
          <w:p>
            <w:pPr>
              <w:jc w:val="center"/>
              <w:rPr>
                <w:rFonts w:ascii="仿宋_GB2312" w:eastAsia="仿宋_GB2312"/>
                <w:sz w:val="20"/>
                <w:szCs w:val="20"/>
              </w:rPr>
            </w:pPr>
            <w:r>
              <w:rPr>
                <w:rFonts w:hint="eastAsia" w:ascii="仿宋_GB2312" w:eastAsia="仿宋_GB2312"/>
                <w:sz w:val="20"/>
                <w:szCs w:val="20"/>
              </w:rPr>
              <w:t>4</w:t>
            </w:r>
          </w:p>
        </w:tc>
        <w:tc>
          <w:tcPr>
            <w:tcW w:w="1411" w:type="dxa"/>
            <w:vAlign w:val="center"/>
          </w:tcPr>
          <w:p>
            <w:pPr>
              <w:jc w:val="center"/>
              <w:rPr>
                <w:rFonts w:hint="eastAsia" w:ascii="仿宋_GB2312" w:eastAsia="仿宋_GB2312"/>
                <w:sz w:val="20"/>
                <w:szCs w:val="20"/>
              </w:rPr>
            </w:pPr>
            <w:r>
              <w:rPr>
                <w:rFonts w:hint="eastAsia" w:ascii="仿宋_GB2312" w:eastAsia="仿宋_GB2312"/>
                <w:sz w:val="20"/>
                <w:szCs w:val="20"/>
              </w:rPr>
              <w:t>境外投资情况报告</w:t>
            </w:r>
          </w:p>
        </w:tc>
        <w:tc>
          <w:tcPr>
            <w:tcW w:w="2751" w:type="dxa"/>
            <w:vAlign w:val="center"/>
          </w:tcPr>
          <w:p>
            <w:pPr>
              <w:rPr>
                <w:rFonts w:hint="eastAsia" w:ascii="仿宋_GB2312" w:eastAsia="仿宋_GB2312"/>
                <w:sz w:val="20"/>
                <w:szCs w:val="20"/>
              </w:rPr>
            </w:pPr>
            <w:r>
              <w:rPr>
                <w:rFonts w:hint="eastAsia" w:ascii="仿宋_GB2312" w:hAnsi="宋体" w:eastAsia="仿宋_GB2312" w:cs="宋体"/>
                <w:color w:val="000000"/>
                <w:kern w:val="0"/>
                <w:sz w:val="20"/>
                <w:szCs w:val="20"/>
              </w:rPr>
              <w:t>《关于印发&lt;保险资金境外投资管理暂行办法实施细则&gt;的通知》（保监发〔2012〕93号）</w:t>
            </w:r>
          </w:p>
        </w:tc>
        <w:tc>
          <w:tcPr>
            <w:tcW w:w="4854" w:type="dxa"/>
            <w:vAlign w:val="center"/>
          </w:tcPr>
          <w:p>
            <w:pPr>
              <w:rPr>
                <w:rFonts w:hint="eastAsia" w:ascii="仿宋_GB2312" w:eastAsia="仿宋_GB2312"/>
                <w:sz w:val="20"/>
                <w:szCs w:val="20"/>
              </w:rPr>
            </w:pPr>
            <w:r>
              <w:rPr>
                <w:rFonts w:hint="eastAsia" w:ascii="仿宋_GB2312" w:eastAsia="仿宋_GB2312"/>
                <w:sz w:val="20"/>
                <w:szCs w:val="20"/>
              </w:rPr>
              <w:t>第三十条 委托人应当按照规定，向中国保监会报告下列事项：</w:t>
            </w:r>
            <w:r>
              <w:rPr>
                <w:rFonts w:hint="eastAsia" w:ascii="仿宋_GB2312" w:eastAsia="仿宋_GB2312"/>
                <w:sz w:val="20"/>
                <w:szCs w:val="20"/>
              </w:rPr>
              <w:br w:type="textWrapping"/>
            </w:r>
            <w:r>
              <w:rPr>
                <w:rFonts w:hint="eastAsia" w:ascii="仿宋_GB2312" w:eastAsia="仿宋_GB2312"/>
                <w:sz w:val="20"/>
                <w:szCs w:val="20"/>
              </w:rPr>
              <w:t>（二）季度报告。每季度结束后30个工作日内，报告境外投资情况、风险评估报告、境外投资结算账户余额和收支情况及关联交易；</w:t>
            </w:r>
            <w:r>
              <w:rPr>
                <w:rFonts w:hint="eastAsia" w:ascii="仿宋_GB2312" w:eastAsia="仿宋_GB2312"/>
                <w:sz w:val="20"/>
                <w:szCs w:val="20"/>
              </w:rPr>
              <w:br w:type="textWrapping"/>
            </w:r>
            <w:r>
              <w:rPr>
                <w:rFonts w:hint="eastAsia" w:ascii="仿宋_GB2312" w:eastAsia="仿宋_GB2312"/>
                <w:sz w:val="20"/>
                <w:szCs w:val="20"/>
              </w:rPr>
              <w:t>（三）年度报告。每年4月30日前，报告上一年度受托人和托管人管理保险资金的评估报告;</w:t>
            </w:r>
          </w:p>
        </w:tc>
        <w:tc>
          <w:tcPr>
            <w:tcW w:w="1298" w:type="dxa"/>
            <w:vMerge w:val="continue"/>
            <w:vAlign w:val="center"/>
          </w:tcPr>
          <w:p>
            <w:pPr>
              <w:jc w:val="center"/>
              <w:rPr>
                <w:rFonts w:hint="eastAsia" w:ascii="仿宋_GB2312" w:eastAsia="仿宋_GB2312"/>
                <w:sz w:val="20"/>
                <w:szCs w:val="20"/>
              </w:rPr>
            </w:pPr>
          </w:p>
        </w:tc>
        <w:tc>
          <w:tcPr>
            <w:tcW w:w="1298" w:type="dxa"/>
            <w:vMerge w:val="continue"/>
            <w:vAlign w:val="center"/>
          </w:tcPr>
          <w:p>
            <w:pPr>
              <w:jc w:val="center"/>
              <w:rPr>
                <w:rFonts w:hint="eastAsia" w:ascii="仿宋_GB2312" w:eastAsia="仿宋_GB2312"/>
                <w:sz w:val="20"/>
                <w:szCs w:val="20"/>
              </w:rPr>
            </w:pPr>
          </w:p>
        </w:tc>
        <w:tc>
          <w:tcPr>
            <w:tcW w:w="1482" w:type="dxa"/>
            <w:vMerge w:val="continue"/>
            <w:tcBorders>
              <w:right w:val="single" w:color="auto" w:sz="4" w:space="0"/>
            </w:tcBorders>
          </w:tcPr>
          <w:p>
            <w:pPr>
              <w:rPr>
                <w:rFonts w:hint="eastAsia" w:ascii="仿宋_GB2312" w:eastAsia="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4" w:hRule="atLeast"/>
        </w:trPr>
        <w:tc>
          <w:tcPr>
            <w:tcW w:w="1080" w:type="dxa"/>
            <w:vAlign w:val="center"/>
          </w:tcPr>
          <w:p>
            <w:pPr>
              <w:jc w:val="center"/>
              <w:rPr>
                <w:rFonts w:ascii="仿宋_GB2312" w:eastAsia="仿宋_GB2312"/>
                <w:sz w:val="20"/>
                <w:szCs w:val="20"/>
              </w:rPr>
            </w:pPr>
            <w:r>
              <w:rPr>
                <w:rFonts w:hint="eastAsia" w:ascii="仿宋_GB2312" w:eastAsia="仿宋_GB2312"/>
                <w:sz w:val="20"/>
                <w:szCs w:val="20"/>
              </w:rPr>
              <w:t>5</w:t>
            </w:r>
          </w:p>
        </w:tc>
        <w:tc>
          <w:tcPr>
            <w:tcW w:w="1411" w:type="dxa"/>
            <w:vAlign w:val="center"/>
          </w:tcPr>
          <w:p>
            <w:pPr>
              <w:jc w:val="center"/>
              <w:rPr>
                <w:rFonts w:hint="eastAsia" w:ascii="仿宋_GB2312" w:eastAsia="仿宋_GB2312"/>
                <w:sz w:val="20"/>
                <w:szCs w:val="20"/>
              </w:rPr>
            </w:pPr>
            <w:r>
              <w:rPr>
                <w:rFonts w:hint="eastAsia" w:ascii="仿宋_GB2312" w:eastAsia="仿宋_GB2312"/>
                <w:sz w:val="20"/>
                <w:szCs w:val="20"/>
              </w:rPr>
              <w:t>税延养老保险资金运用情况报告</w:t>
            </w:r>
          </w:p>
        </w:tc>
        <w:tc>
          <w:tcPr>
            <w:tcW w:w="2751" w:type="dxa"/>
            <w:vAlign w:val="center"/>
          </w:tcPr>
          <w:p>
            <w:pPr>
              <w:rPr>
                <w:rFonts w:hint="eastAsia" w:ascii="仿宋_GB2312" w:eastAsia="仿宋_GB2312"/>
                <w:sz w:val="20"/>
                <w:szCs w:val="20"/>
              </w:rPr>
            </w:pPr>
            <w:r>
              <w:rPr>
                <w:rFonts w:hint="eastAsia" w:ascii="仿宋_GB2312" w:eastAsia="仿宋_GB2312"/>
                <w:sz w:val="20"/>
                <w:szCs w:val="20"/>
              </w:rPr>
              <w:t>《中国银保监会关于印发&lt;个人税收递延型商业养老保险资金运用管理暂行办法&gt;的通知》（银保监发〔2018〕32号）</w:t>
            </w:r>
          </w:p>
        </w:tc>
        <w:tc>
          <w:tcPr>
            <w:tcW w:w="4854" w:type="dxa"/>
            <w:vAlign w:val="center"/>
          </w:tcPr>
          <w:p>
            <w:pPr>
              <w:rPr>
                <w:rFonts w:hint="eastAsia" w:ascii="仿宋_GB2312" w:eastAsia="仿宋_GB2312"/>
                <w:sz w:val="20"/>
                <w:szCs w:val="20"/>
              </w:rPr>
            </w:pPr>
            <w:r>
              <w:rPr>
                <w:rFonts w:hint="eastAsia" w:ascii="仿宋_GB2312" w:eastAsia="仿宋_GB2312"/>
                <w:sz w:val="20"/>
                <w:szCs w:val="20"/>
              </w:rPr>
              <w:t>第三十一条 保险公司应当于每季度末结束后30个工作日内和每年4月30日前，向中国银行保险监督管理委员会提交分投资账户的税延养老保险资金运用季度报告和年度报告。</w:t>
            </w:r>
          </w:p>
        </w:tc>
        <w:tc>
          <w:tcPr>
            <w:tcW w:w="1298" w:type="dxa"/>
            <w:vMerge w:val="continue"/>
          </w:tcPr>
          <w:p>
            <w:pPr>
              <w:rPr>
                <w:rFonts w:hint="eastAsia" w:ascii="仿宋_GB2312" w:eastAsia="仿宋_GB2312"/>
                <w:sz w:val="20"/>
                <w:szCs w:val="20"/>
              </w:rPr>
            </w:pPr>
          </w:p>
        </w:tc>
        <w:tc>
          <w:tcPr>
            <w:tcW w:w="1298" w:type="dxa"/>
            <w:vMerge w:val="continue"/>
          </w:tcPr>
          <w:p>
            <w:pPr>
              <w:rPr>
                <w:rFonts w:hint="eastAsia" w:ascii="仿宋_GB2312" w:eastAsia="仿宋_GB2312"/>
                <w:sz w:val="20"/>
                <w:szCs w:val="20"/>
              </w:rPr>
            </w:pPr>
          </w:p>
        </w:tc>
        <w:tc>
          <w:tcPr>
            <w:tcW w:w="1482" w:type="dxa"/>
            <w:vMerge w:val="continue"/>
            <w:tcBorders>
              <w:right w:val="single" w:color="auto" w:sz="4" w:space="0"/>
            </w:tcBorders>
          </w:tcPr>
          <w:p>
            <w:pPr>
              <w:rPr>
                <w:rFonts w:hint="eastAsia" w:ascii="仿宋_GB2312" w:eastAsia="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8" w:hRule="atLeast"/>
        </w:trPr>
        <w:tc>
          <w:tcPr>
            <w:tcW w:w="1080" w:type="dxa"/>
            <w:vAlign w:val="center"/>
          </w:tcPr>
          <w:p>
            <w:pPr>
              <w:jc w:val="center"/>
              <w:rPr>
                <w:rFonts w:hint="eastAsia" w:ascii="仿宋_GB2312" w:eastAsia="仿宋_GB2312"/>
                <w:sz w:val="20"/>
                <w:szCs w:val="20"/>
              </w:rPr>
            </w:pPr>
            <w:r>
              <w:rPr>
                <w:rFonts w:hint="eastAsia" w:ascii="仿宋_GB2312" w:eastAsia="仿宋_GB2312"/>
                <w:sz w:val="20"/>
                <w:szCs w:val="20"/>
              </w:rPr>
              <w:t>6</w:t>
            </w:r>
          </w:p>
        </w:tc>
        <w:tc>
          <w:tcPr>
            <w:tcW w:w="1411" w:type="dxa"/>
            <w:vAlign w:val="center"/>
          </w:tcPr>
          <w:p>
            <w:pPr>
              <w:jc w:val="center"/>
              <w:rPr>
                <w:rFonts w:hint="eastAsia" w:ascii="仿宋_GB2312" w:eastAsia="仿宋_GB2312"/>
                <w:sz w:val="20"/>
                <w:szCs w:val="20"/>
              </w:rPr>
            </w:pPr>
            <w:r>
              <w:rPr>
                <w:rFonts w:hint="eastAsia" w:ascii="仿宋_GB2312" w:eastAsia="仿宋_GB2312"/>
                <w:sz w:val="20"/>
                <w:szCs w:val="20"/>
              </w:rPr>
              <w:t>金融衍生品投资情况报告</w:t>
            </w:r>
          </w:p>
        </w:tc>
        <w:tc>
          <w:tcPr>
            <w:tcW w:w="2751" w:type="dxa"/>
            <w:vAlign w:val="center"/>
          </w:tcPr>
          <w:p>
            <w:pPr>
              <w:rPr>
                <w:rFonts w:ascii="仿宋_GB2312" w:eastAsia="仿宋_GB2312"/>
                <w:sz w:val="20"/>
                <w:szCs w:val="20"/>
              </w:rPr>
            </w:pPr>
            <w:r>
              <w:rPr>
                <w:rFonts w:hint="eastAsia" w:ascii="仿宋_GB2312" w:eastAsia="仿宋_GB2312"/>
                <w:sz w:val="20"/>
                <w:szCs w:val="20"/>
              </w:rPr>
              <w:t>《中国银保监会办公厅关于印发保险资金参与金融衍生产品交易办法等三个文件的通知》（银保监办发〔2020〕59号）附件1：保险资金参与金融衍生产品交易办法</w:t>
            </w:r>
          </w:p>
        </w:tc>
        <w:tc>
          <w:tcPr>
            <w:tcW w:w="4854" w:type="dxa"/>
            <w:vAlign w:val="center"/>
          </w:tcPr>
          <w:p>
            <w:pPr>
              <w:rPr>
                <w:rFonts w:hint="eastAsia" w:ascii="仿宋_GB2312" w:eastAsia="仿宋_GB2312"/>
                <w:sz w:val="20"/>
                <w:szCs w:val="20"/>
              </w:rPr>
            </w:pPr>
            <w:r>
              <w:rPr>
                <w:rFonts w:hint="eastAsia" w:ascii="仿宋_GB2312" w:eastAsia="仿宋_GB2312"/>
                <w:sz w:val="20"/>
                <w:szCs w:val="20"/>
              </w:rPr>
              <w:t>第三条 ……本办法所称金融衍生产品交易（以下简称衍生品交易），是指境内衍生品交易，不包括境外衍生品交易。</w:t>
            </w:r>
          </w:p>
          <w:p>
            <w:pPr>
              <w:rPr>
                <w:rFonts w:hint="eastAsia" w:ascii="仿宋_GB2312" w:eastAsia="仿宋_GB2312"/>
                <w:sz w:val="20"/>
                <w:szCs w:val="20"/>
              </w:rPr>
            </w:pPr>
            <w:r>
              <w:rPr>
                <w:rFonts w:hint="eastAsia" w:ascii="仿宋_GB2312" w:eastAsia="仿宋_GB2312"/>
                <w:sz w:val="20"/>
                <w:szCs w:val="20"/>
              </w:rPr>
              <w:t>第三十一条 保险集团（控股）公司、保险公司应当按照规定向银保监会报送以下报告：</w:t>
            </w:r>
          </w:p>
          <w:p>
            <w:pPr>
              <w:rPr>
                <w:rFonts w:hint="eastAsia" w:ascii="仿宋_GB2312" w:eastAsia="仿宋_GB2312"/>
                <w:sz w:val="20"/>
                <w:szCs w:val="20"/>
              </w:rPr>
            </w:pPr>
            <w:r>
              <w:rPr>
                <w:rFonts w:hint="eastAsia" w:ascii="仿宋_GB2312" w:eastAsia="仿宋_GB2312"/>
                <w:sz w:val="20"/>
                <w:szCs w:val="20"/>
              </w:rPr>
              <w:t>（一）每个季度结束后的10个工作日内，报送衍生品交易的期末风险敞口总额、各类衍生品风险敞口金额，以及该季度的风险对冲情况和合规情况；</w:t>
            </w:r>
          </w:p>
          <w:p>
            <w:pPr>
              <w:rPr>
                <w:rFonts w:hint="eastAsia" w:ascii="仿宋_GB2312" w:eastAsia="仿宋_GB2312"/>
                <w:sz w:val="20"/>
                <w:szCs w:val="20"/>
              </w:rPr>
            </w:pPr>
            <w:r>
              <w:rPr>
                <w:rFonts w:hint="eastAsia" w:ascii="仿宋_GB2312" w:eastAsia="仿宋_GB2312"/>
                <w:sz w:val="20"/>
                <w:szCs w:val="20"/>
              </w:rPr>
              <w:t>（二）每半年度和年度结束后的30个工作日内，报送衍生品交易的稽核审计报告;</w:t>
            </w:r>
          </w:p>
        </w:tc>
        <w:tc>
          <w:tcPr>
            <w:tcW w:w="1298" w:type="dxa"/>
            <w:vMerge w:val="continue"/>
          </w:tcPr>
          <w:p>
            <w:pPr>
              <w:rPr>
                <w:rFonts w:hint="eastAsia" w:ascii="仿宋_GB2312" w:eastAsia="仿宋_GB2312"/>
                <w:sz w:val="20"/>
                <w:szCs w:val="20"/>
              </w:rPr>
            </w:pPr>
          </w:p>
        </w:tc>
        <w:tc>
          <w:tcPr>
            <w:tcW w:w="1298" w:type="dxa"/>
            <w:vMerge w:val="continue"/>
          </w:tcPr>
          <w:p>
            <w:pPr>
              <w:rPr>
                <w:rFonts w:hint="eastAsia" w:ascii="仿宋_GB2312" w:eastAsia="仿宋_GB2312"/>
                <w:sz w:val="20"/>
                <w:szCs w:val="20"/>
              </w:rPr>
            </w:pPr>
          </w:p>
        </w:tc>
        <w:tc>
          <w:tcPr>
            <w:tcW w:w="1482" w:type="dxa"/>
            <w:vMerge w:val="continue"/>
            <w:tcBorders>
              <w:right w:val="single" w:color="auto" w:sz="4" w:space="0"/>
            </w:tcBorders>
          </w:tcPr>
          <w:p>
            <w:pPr>
              <w:rPr>
                <w:rFonts w:hint="eastAsia" w:ascii="仿宋_GB2312" w:eastAsia="仿宋_GB2312"/>
                <w:sz w:val="20"/>
                <w:szCs w:val="20"/>
              </w:rPr>
            </w:pPr>
          </w:p>
        </w:tc>
      </w:tr>
    </w:tbl>
    <w:p>
      <w:bookmarkStart w:id="0" w:name="_GoBack"/>
      <w:bookmarkEnd w:id="0"/>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F1FAD"/>
    <w:rsid w:val="005F1FAD"/>
    <w:rsid w:val="00AB2D85"/>
    <w:rsid w:val="24B0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Words>
  <Characters>955</Characters>
  <Lines>7</Lines>
  <Paragraphs>2</Paragraphs>
  <TotalTime>0</TotalTime>
  <ScaleCrop>false</ScaleCrop>
  <LinksUpToDate>false</LinksUpToDate>
  <CharactersWithSpaces>1120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2022-01-19T07:47:00Z</dcterms:created>
  <dc:creator>张晓远</dc:creator>
  <cp:lastModifiedBy>Administrator</cp:lastModifiedBy>
  <dcterms:modified xsi:type="dcterms:W3CDTF">2022-01-19T07:58:43Z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