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10" w:lineRule="exact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  <w:t>附件1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610" w:lineRule="exact"/>
        <w:jc w:val="center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小标宋_GBK"/>
          <w:snapToGrid w:val="0"/>
          <w:color w:val="000000"/>
          <w:kern w:val="0"/>
          <w:sz w:val="44"/>
          <w:szCs w:val="44"/>
        </w:rPr>
        <w:t>推荐名额分配表</w:t>
      </w:r>
    </w:p>
    <w:tbl>
      <w:tblPr>
        <w:tblStyle w:val="3"/>
        <w:tblW w:w="905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4111"/>
        <w:gridCol w:w="34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</w:rPr>
              <w:t>部门</w:t>
            </w:r>
          </w:p>
        </w:tc>
        <w:tc>
          <w:tcPr>
            <w:tcW w:w="4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</w:rPr>
              <w:t>中国留学人员回国创业启动支持计划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</w:rPr>
              <w:t>高层次留学人才回国资助工作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无锡市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徐州市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常州市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苏州市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南通市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连云港市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淮安市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扬州市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镇江市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hint="default"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泰州市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宿迁市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省教育厅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省科技厅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省卫健委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省农科院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40" w:lineRule="exact"/>
        <w:jc w:val="left"/>
        <w:textAlignment w:val="baseline"/>
        <w:rPr>
          <w:rFonts w:hint="eastAsia"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BC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2022-02-15T06:11:47Z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