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附件1：2021年第四季度青年就业见习人员生活补贴发放名单</w:t>
      </w:r>
    </w:p>
    <w:tbl>
      <w:tblPr>
        <w:tblW w:w="918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05"/>
        <w:gridCol w:w="2190"/>
        <w:gridCol w:w="3975"/>
        <w:gridCol w:w="2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75"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ascii="微软雅黑" w:hAnsi="微软雅黑" w:eastAsia="微软雅黑" w:cs="微软雅黑"/>
                <w:i w:val="0"/>
                <w:iCs w:val="0"/>
                <w:caps w:val="0"/>
                <w:color w:val="333333"/>
                <w:spacing w:val="0"/>
                <w:sz w:val="21"/>
                <w:szCs w:val="21"/>
                <w:bdr w:val="none" w:color="auto" w:sz="0" w:space="0"/>
              </w:rPr>
              <w:t>序号</w:t>
            </w:r>
          </w:p>
        </w:tc>
        <w:tc>
          <w:tcPr>
            <w:tcW w:w="2160" w:type="dxa"/>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姓名</w:t>
            </w:r>
          </w:p>
        </w:tc>
        <w:tc>
          <w:tcPr>
            <w:tcW w:w="3945"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单位名称</w:t>
            </w:r>
          </w:p>
        </w:tc>
        <w:tc>
          <w:tcPr>
            <w:tcW w:w="2400" w:type="dxa"/>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补贴金额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韩炜</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刘仲堂</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3</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浦梦霞</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4</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蒋川宁</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西热扎提·夏木西丁</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6</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吴磊</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7</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李晓阳</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8</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艾力·阿布来提</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9</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王令帅</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10</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钟笑哲</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11</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夏雨亭</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12</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魏辰阳</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13</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刘青</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14</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熊文辉</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15</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周振宇</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无锡锡能锅炉有限公司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16</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徐少军</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无锡锡能锅炉有限公司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17</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韩淑婷</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无锡锡能锅炉有限公司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18</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那秋霞</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无锡锡能锅炉有限公司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19</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刘晓霖</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无锡锐科光纤激光技术有限责任公司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戚小玲</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无锡锐科光纤激光技术有限责任公司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21</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陶瑞</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无锡锐科光纤激光技术有限责任公司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22</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尤梦娇</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无锡荣能半导体材料有限公司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23</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崔怡</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无锡荣能半导体材料有限公司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24</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王飞龙</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无锡荣能半导体材料有限公司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5472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25</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任艳</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无锡荣能半导体材料有限公司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1824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　</w:t>
      </w:r>
    </w:p>
    <w:p>
      <w:pPr>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bookmarkStart w:id="0" w:name="_GoBack"/>
      <w:bookmarkEnd w:id="0"/>
      <w:r>
        <w:rPr>
          <w:rFonts w:hint="eastAsia" w:ascii="宋体" w:hAnsi="宋体" w:eastAsia="宋体" w:cs="宋体"/>
          <w:i w:val="0"/>
          <w:iCs w:val="0"/>
          <w:caps w:val="0"/>
          <w:color w:val="333333"/>
          <w:spacing w:val="0"/>
          <w:sz w:val="21"/>
          <w:szCs w:val="21"/>
          <w:bdr w:val="none" w:color="auto" w:sz="0" w:space="0"/>
          <w:shd w:val="clear" w:fill="FFFFFF"/>
        </w:rPr>
        <w:t>　附件2：2021年第四季度青年就业见习基地工作补贴和人身意外伤害保险补贴发放名单</w:t>
      </w:r>
    </w:p>
    <w:tbl>
      <w:tblPr>
        <w:tblW w:w="100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40"/>
        <w:gridCol w:w="2310"/>
        <w:gridCol w:w="4200"/>
        <w:gridCol w:w="2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10"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序号</w:t>
            </w:r>
          </w:p>
        </w:tc>
        <w:tc>
          <w:tcPr>
            <w:tcW w:w="2280"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单位识别码</w:t>
            </w:r>
          </w:p>
        </w:tc>
        <w:tc>
          <w:tcPr>
            <w:tcW w:w="4170"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单位全称</w:t>
            </w:r>
          </w:p>
        </w:tc>
        <w:tc>
          <w:tcPr>
            <w:tcW w:w="2490"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补贴金额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18773929</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无锡锡能锅炉有限公司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14742736</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无锡锐科光纤激光技术有限责任公司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1350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3</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18139075</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无锡荣能半导体材料有限公司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4</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17311394</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凯龙高科技股份有限公司</w:t>
            </w:r>
          </w:p>
        </w:tc>
        <w:tc>
          <w:tcPr>
            <w:tcW w:w="0" w:type="auto"/>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6300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762EE"/>
    <w:rsid w:val="5207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2022-02-22T09:02:00Z</dcterms:created>
  <dc:creator>Whale Fall</dc:creator>
  <cp:lastModifiedBy>Whale Fall</cp:lastModifiedBy>
  <dcterms:modified xsi:type="dcterms:W3CDTF">2022-02-22T09:02:59Z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9C348E17920D41C097843F83B543B072</vt:lpwstr>
  </property>
</Properties>
</file>