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FB5" w:rsidRPr="00090FB5" w:rsidRDefault="006B7787" w:rsidP="006B7787">
      <w:pPr>
        <w:jc w:val="left"/>
        <w:rPr>
          <w:b/>
          <w:sz w:val="32"/>
          <w:szCs w:val="32"/>
        </w:rPr>
      </w:pPr>
      <w:r w:rsidRPr="006B7787">
        <w:rPr>
          <w:rFonts w:ascii="华文仿宋" w:eastAsia="华文仿宋" w:hAnsi="华文仿宋" w:hint="eastAsia"/>
          <w:sz w:val="32"/>
          <w:szCs w:val="32"/>
        </w:rPr>
        <w:t>附件</w:t>
      </w:r>
      <w:r w:rsidR="00352AF6">
        <w:rPr>
          <w:rFonts w:ascii="华文仿宋" w:eastAsia="华文仿宋" w:hAnsi="华文仿宋"/>
          <w:sz w:val="32"/>
          <w:szCs w:val="32"/>
        </w:rPr>
        <w:t>3</w:t>
      </w:r>
      <w:bookmarkStart w:id="0" w:name="_GoBack"/>
      <w:bookmarkEnd w:id="0"/>
      <w:r>
        <w:rPr>
          <w:rFonts w:hint="eastAsia"/>
          <w:b/>
          <w:sz w:val="32"/>
          <w:szCs w:val="32"/>
        </w:rPr>
        <w:t xml:space="preserve">             </w:t>
      </w:r>
      <w:r>
        <w:rPr>
          <w:b/>
          <w:sz w:val="32"/>
          <w:szCs w:val="32"/>
        </w:rPr>
        <w:t xml:space="preserve"> </w:t>
      </w:r>
      <w:r>
        <w:rPr>
          <w:rFonts w:hint="eastAsia"/>
          <w:b/>
          <w:sz w:val="32"/>
          <w:szCs w:val="32"/>
        </w:rPr>
        <w:t xml:space="preserve">  </w:t>
      </w:r>
      <w:r w:rsidR="00090FB5" w:rsidRPr="00090FB5">
        <w:rPr>
          <w:rFonts w:hint="eastAsia"/>
          <w:b/>
          <w:sz w:val="32"/>
          <w:szCs w:val="32"/>
        </w:rPr>
        <w:t>江苏省</w:t>
      </w:r>
      <w:r w:rsidR="00090FB5" w:rsidRPr="00090FB5">
        <w:rPr>
          <w:b/>
          <w:sz w:val="32"/>
          <w:szCs w:val="32"/>
        </w:rPr>
        <w:t>企业类工程技术研究中心绩效评估标准及说明</w:t>
      </w:r>
    </w:p>
    <w:tbl>
      <w:tblPr>
        <w:tblpPr w:leftFromText="180" w:rightFromText="180" w:vertAnchor="page" w:horzAnchor="margin" w:tblpY="155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850"/>
        <w:gridCol w:w="709"/>
        <w:gridCol w:w="426"/>
        <w:gridCol w:w="2125"/>
        <w:gridCol w:w="9356"/>
        <w:gridCol w:w="850"/>
      </w:tblGrid>
      <w:tr w:rsidR="00090FB5" w:rsidRPr="006B41ED" w:rsidTr="00090FB5">
        <w:trPr>
          <w:trHeight w:val="557"/>
        </w:trPr>
        <w:tc>
          <w:tcPr>
            <w:tcW w:w="1384" w:type="dxa"/>
            <w:gridSpan w:val="2"/>
            <w:shd w:val="clear" w:color="auto" w:fill="auto"/>
            <w:vAlign w:val="center"/>
          </w:tcPr>
          <w:p w:rsidR="00090FB5" w:rsidRPr="006B41ED" w:rsidRDefault="00090FB5" w:rsidP="00090FB5">
            <w:pPr>
              <w:widowControl/>
              <w:jc w:val="center"/>
              <w:rPr>
                <w:rFonts w:ascii="Times New Roman" w:eastAsia="宋体" w:hAnsi="Times New Roman" w:cs="Times New Roman"/>
                <w:b/>
                <w:bCs/>
                <w:kern w:val="0"/>
                <w:sz w:val="24"/>
                <w:szCs w:val="24"/>
              </w:rPr>
            </w:pPr>
            <w:r w:rsidRPr="006B41ED">
              <w:rPr>
                <w:rFonts w:ascii="Times New Roman" w:eastAsia="宋体" w:hAnsi="宋体" w:cs="Times New Roman"/>
                <w:b/>
                <w:bCs/>
                <w:kern w:val="0"/>
                <w:sz w:val="24"/>
                <w:szCs w:val="24"/>
              </w:rPr>
              <w:t>一级指标</w:t>
            </w:r>
          </w:p>
        </w:tc>
        <w:tc>
          <w:tcPr>
            <w:tcW w:w="709" w:type="dxa"/>
            <w:shd w:val="clear" w:color="auto" w:fill="auto"/>
            <w:vAlign w:val="center"/>
          </w:tcPr>
          <w:p w:rsidR="00090FB5" w:rsidRPr="006B41ED" w:rsidRDefault="00090FB5" w:rsidP="00090FB5">
            <w:pPr>
              <w:widowControl/>
              <w:jc w:val="center"/>
              <w:rPr>
                <w:rFonts w:ascii="Times New Roman" w:eastAsia="宋体" w:hAnsi="Times New Roman" w:cs="Times New Roman"/>
                <w:b/>
                <w:bCs/>
                <w:kern w:val="0"/>
                <w:sz w:val="24"/>
                <w:szCs w:val="24"/>
              </w:rPr>
            </w:pPr>
            <w:r w:rsidRPr="006B41ED">
              <w:rPr>
                <w:rFonts w:ascii="Times New Roman" w:eastAsia="宋体" w:hAnsi="宋体" w:cs="Times New Roman"/>
                <w:b/>
                <w:bCs/>
                <w:kern w:val="0"/>
                <w:sz w:val="24"/>
                <w:szCs w:val="24"/>
              </w:rPr>
              <w:t>权重</w:t>
            </w:r>
          </w:p>
        </w:tc>
        <w:tc>
          <w:tcPr>
            <w:tcW w:w="2551" w:type="dxa"/>
            <w:gridSpan w:val="2"/>
            <w:shd w:val="clear" w:color="auto" w:fill="auto"/>
            <w:vAlign w:val="center"/>
          </w:tcPr>
          <w:p w:rsidR="00090FB5" w:rsidRPr="006B41ED" w:rsidRDefault="00090FB5" w:rsidP="00090FB5">
            <w:pPr>
              <w:widowControl/>
              <w:jc w:val="center"/>
              <w:rPr>
                <w:rFonts w:ascii="Times New Roman" w:eastAsia="宋体" w:hAnsi="Times New Roman" w:cs="Times New Roman"/>
                <w:b/>
                <w:bCs/>
                <w:kern w:val="0"/>
                <w:sz w:val="24"/>
                <w:szCs w:val="24"/>
              </w:rPr>
            </w:pPr>
            <w:r w:rsidRPr="006B41ED">
              <w:rPr>
                <w:rFonts w:ascii="Times New Roman" w:eastAsia="宋体" w:hAnsi="宋体" w:cs="Times New Roman"/>
                <w:b/>
                <w:bCs/>
                <w:kern w:val="0"/>
                <w:sz w:val="24"/>
                <w:szCs w:val="24"/>
              </w:rPr>
              <w:t>二级指标</w:t>
            </w:r>
          </w:p>
        </w:tc>
        <w:tc>
          <w:tcPr>
            <w:tcW w:w="9356" w:type="dxa"/>
            <w:vAlign w:val="center"/>
          </w:tcPr>
          <w:p w:rsidR="00090FB5" w:rsidRPr="006B41ED" w:rsidRDefault="00090FB5" w:rsidP="00090FB5">
            <w:pPr>
              <w:widowControl/>
              <w:jc w:val="center"/>
              <w:rPr>
                <w:rFonts w:ascii="Times New Roman" w:eastAsia="宋体" w:hAnsi="宋体" w:cs="Times New Roman"/>
                <w:b/>
                <w:bCs/>
                <w:kern w:val="0"/>
                <w:sz w:val="24"/>
                <w:szCs w:val="24"/>
              </w:rPr>
            </w:pPr>
            <w:r w:rsidRPr="006B41ED">
              <w:rPr>
                <w:rFonts w:ascii="Times New Roman" w:eastAsia="宋体" w:hAnsi="宋体" w:cs="Times New Roman" w:hint="eastAsia"/>
                <w:b/>
                <w:bCs/>
                <w:kern w:val="0"/>
                <w:sz w:val="24"/>
                <w:szCs w:val="24"/>
              </w:rPr>
              <w:t>指标说明</w:t>
            </w:r>
          </w:p>
        </w:tc>
        <w:tc>
          <w:tcPr>
            <w:tcW w:w="850" w:type="dxa"/>
            <w:shd w:val="clear" w:color="auto" w:fill="auto"/>
            <w:vAlign w:val="center"/>
          </w:tcPr>
          <w:p w:rsidR="00090FB5" w:rsidRPr="006B41ED" w:rsidRDefault="00090FB5" w:rsidP="00090FB5">
            <w:pPr>
              <w:widowControl/>
              <w:jc w:val="center"/>
              <w:rPr>
                <w:rFonts w:ascii="Times New Roman" w:eastAsia="宋体" w:hAnsi="Times New Roman" w:cs="Times New Roman"/>
                <w:b/>
                <w:bCs/>
                <w:kern w:val="0"/>
                <w:sz w:val="24"/>
                <w:szCs w:val="24"/>
              </w:rPr>
            </w:pPr>
            <w:r w:rsidRPr="006B41ED">
              <w:rPr>
                <w:rFonts w:ascii="Times New Roman" w:eastAsia="宋体" w:hAnsi="宋体" w:cs="Times New Roman"/>
                <w:b/>
                <w:bCs/>
                <w:kern w:val="0"/>
                <w:sz w:val="24"/>
                <w:szCs w:val="24"/>
              </w:rPr>
              <w:t>权重</w:t>
            </w:r>
          </w:p>
        </w:tc>
      </w:tr>
      <w:tr w:rsidR="00090FB5" w:rsidRPr="006B41ED" w:rsidTr="00090FB5">
        <w:trPr>
          <w:trHeight w:val="390"/>
        </w:trPr>
        <w:tc>
          <w:tcPr>
            <w:tcW w:w="534" w:type="dxa"/>
            <w:vMerge w:val="restart"/>
            <w:shd w:val="clear" w:color="auto" w:fill="auto"/>
            <w:vAlign w:val="center"/>
          </w:tcPr>
          <w:p w:rsidR="00090FB5" w:rsidRPr="006B41ED" w:rsidRDefault="00090FB5" w:rsidP="00090FB5">
            <w:pPr>
              <w:widowControl/>
              <w:jc w:val="center"/>
              <w:rPr>
                <w:rFonts w:ascii="宋体" w:eastAsia="宋体" w:hAnsi="宋体" w:cs="Times New Roman"/>
                <w:kern w:val="0"/>
                <w:szCs w:val="21"/>
              </w:rPr>
            </w:pPr>
            <w:r w:rsidRPr="006B41ED">
              <w:rPr>
                <w:rFonts w:ascii="宋体" w:eastAsia="宋体" w:hAnsi="宋体" w:cs="Times New Roman"/>
                <w:kern w:val="0"/>
                <w:szCs w:val="21"/>
              </w:rPr>
              <w:t>一</w:t>
            </w:r>
          </w:p>
        </w:tc>
        <w:tc>
          <w:tcPr>
            <w:tcW w:w="850" w:type="dxa"/>
            <w:vMerge w:val="restart"/>
            <w:shd w:val="clear" w:color="auto" w:fill="auto"/>
            <w:vAlign w:val="center"/>
          </w:tcPr>
          <w:p w:rsidR="00090FB5" w:rsidRPr="006B41ED" w:rsidRDefault="00090FB5" w:rsidP="00090FB5">
            <w:pPr>
              <w:widowControl/>
              <w:jc w:val="center"/>
              <w:rPr>
                <w:rFonts w:ascii="宋体" w:eastAsia="宋体" w:hAnsi="宋体" w:cs="Times New Roman"/>
                <w:kern w:val="0"/>
                <w:szCs w:val="21"/>
              </w:rPr>
            </w:pPr>
            <w:r w:rsidRPr="006B41ED">
              <w:rPr>
                <w:rFonts w:ascii="宋体" w:eastAsia="宋体" w:hAnsi="宋体" w:cs="Times New Roman"/>
                <w:kern w:val="0"/>
                <w:szCs w:val="21"/>
              </w:rPr>
              <w:t>研发条件与能力</w:t>
            </w:r>
          </w:p>
        </w:tc>
        <w:tc>
          <w:tcPr>
            <w:tcW w:w="709" w:type="dxa"/>
            <w:vMerge w:val="restart"/>
            <w:shd w:val="clear" w:color="auto" w:fill="auto"/>
            <w:vAlign w:val="center"/>
          </w:tcPr>
          <w:p w:rsidR="00090FB5" w:rsidRPr="006B41ED" w:rsidRDefault="00090FB5" w:rsidP="00090FB5">
            <w:pPr>
              <w:widowControl/>
              <w:jc w:val="center"/>
              <w:rPr>
                <w:rFonts w:ascii="宋体" w:eastAsia="宋体" w:hAnsi="宋体" w:cs="Times New Roman"/>
                <w:kern w:val="0"/>
                <w:szCs w:val="21"/>
              </w:rPr>
            </w:pPr>
            <w:r w:rsidRPr="006B41ED">
              <w:rPr>
                <w:rFonts w:ascii="宋体" w:eastAsia="宋体" w:hAnsi="宋体" w:cs="Times New Roman"/>
                <w:kern w:val="0"/>
                <w:szCs w:val="21"/>
              </w:rPr>
              <w:t>20%</w:t>
            </w:r>
          </w:p>
        </w:tc>
        <w:tc>
          <w:tcPr>
            <w:tcW w:w="426" w:type="dxa"/>
            <w:shd w:val="clear" w:color="auto" w:fill="auto"/>
            <w:vAlign w:val="center"/>
          </w:tcPr>
          <w:p w:rsidR="00090FB5" w:rsidRPr="006B41ED" w:rsidRDefault="00090FB5" w:rsidP="00090FB5">
            <w:pPr>
              <w:widowControl/>
              <w:jc w:val="center"/>
              <w:rPr>
                <w:rFonts w:ascii="宋体" w:eastAsia="宋体" w:hAnsi="宋体" w:cs="Times New Roman"/>
                <w:kern w:val="0"/>
                <w:szCs w:val="21"/>
              </w:rPr>
            </w:pPr>
            <w:r w:rsidRPr="006B41ED">
              <w:rPr>
                <w:rFonts w:ascii="宋体" w:eastAsia="宋体" w:hAnsi="宋体" w:cs="Times New Roman"/>
                <w:kern w:val="0"/>
                <w:szCs w:val="21"/>
              </w:rPr>
              <w:t>1</w:t>
            </w:r>
          </w:p>
        </w:tc>
        <w:tc>
          <w:tcPr>
            <w:tcW w:w="2125" w:type="dxa"/>
            <w:shd w:val="clear" w:color="auto" w:fill="auto"/>
            <w:vAlign w:val="center"/>
          </w:tcPr>
          <w:p w:rsidR="00090FB5" w:rsidRPr="006B41ED" w:rsidRDefault="00090FB5" w:rsidP="00090FB5">
            <w:pPr>
              <w:widowControl/>
              <w:rPr>
                <w:rFonts w:ascii="宋体" w:eastAsia="宋体" w:hAnsi="宋体" w:cs="Times New Roman"/>
                <w:kern w:val="0"/>
                <w:szCs w:val="21"/>
              </w:rPr>
            </w:pPr>
            <w:r w:rsidRPr="006B41ED">
              <w:rPr>
                <w:rFonts w:ascii="宋体" w:eastAsia="宋体" w:hAnsi="宋体" w:cs="Times New Roman"/>
                <w:kern w:val="0"/>
                <w:szCs w:val="21"/>
              </w:rPr>
              <w:t>工程中心定位</w:t>
            </w:r>
          </w:p>
        </w:tc>
        <w:tc>
          <w:tcPr>
            <w:tcW w:w="9356" w:type="dxa"/>
            <w:vAlign w:val="center"/>
          </w:tcPr>
          <w:p w:rsidR="00090FB5" w:rsidRPr="006B41ED" w:rsidRDefault="00090FB5" w:rsidP="00090FB5">
            <w:pPr>
              <w:snapToGrid w:val="0"/>
              <w:rPr>
                <w:rFonts w:ascii="宋体" w:eastAsia="宋体" w:hAnsi="宋体" w:cs="Calibri"/>
                <w:spacing w:val="-20"/>
                <w:szCs w:val="21"/>
              </w:rPr>
            </w:pPr>
            <w:r w:rsidRPr="006B41ED">
              <w:rPr>
                <w:rFonts w:ascii="宋体" w:eastAsia="宋体" w:hAnsi="宋体" w:cs="Calibri" w:hint="eastAsia"/>
                <w:szCs w:val="21"/>
              </w:rPr>
              <w:t>符合国家产业政策，引领产业高端发展，符合工程中心的功能定位</w:t>
            </w:r>
          </w:p>
        </w:tc>
        <w:tc>
          <w:tcPr>
            <w:tcW w:w="850" w:type="dxa"/>
            <w:shd w:val="clear" w:color="auto" w:fill="auto"/>
            <w:vAlign w:val="center"/>
          </w:tcPr>
          <w:p w:rsidR="00090FB5" w:rsidRPr="006B41ED" w:rsidRDefault="00090FB5" w:rsidP="00090FB5">
            <w:pPr>
              <w:widowControl/>
              <w:jc w:val="center"/>
              <w:rPr>
                <w:rFonts w:ascii="Times New Roman" w:eastAsia="宋体" w:hAnsi="Times New Roman" w:cs="Times New Roman"/>
                <w:kern w:val="0"/>
                <w:sz w:val="24"/>
                <w:szCs w:val="21"/>
              </w:rPr>
            </w:pPr>
            <w:r w:rsidRPr="006B41ED">
              <w:rPr>
                <w:rFonts w:ascii="Times New Roman" w:eastAsia="宋体" w:hAnsi="Times New Roman" w:cs="Times New Roman"/>
                <w:kern w:val="0"/>
                <w:sz w:val="24"/>
                <w:szCs w:val="21"/>
              </w:rPr>
              <w:t>5%</w:t>
            </w:r>
          </w:p>
        </w:tc>
      </w:tr>
      <w:tr w:rsidR="00090FB5" w:rsidRPr="006B41ED" w:rsidTr="00090FB5">
        <w:trPr>
          <w:trHeight w:val="979"/>
        </w:trPr>
        <w:tc>
          <w:tcPr>
            <w:tcW w:w="534" w:type="dxa"/>
            <w:vMerge/>
            <w:shd w:val="clear" w:color="auto" w:fill="auto"/>
            <w:vAlign w:val="center"/>
          </w:tcPr>
          <w:p w:rsidR="00090FB5" w:rsidRPr="006B41ED" w:rsidRDefault="00090FB5" w:rsidP="00090FB5">
            <w:pPr>
              <w:widowControl/>
              <w:jc w:val="center"/>
              <w:rPr>
                <w:rFonts w:ascii="宋体" w:eastAsia="宋体" w:hAnsi="宋体" w:cs="Times New Roman"/>
                <w:kern w:val="0"/>
                <w:szCs w:val="21"/>
              </w:rPr>
            </w:pPr>
          </w:p>
        </w:tc>
        <w:tc>
          <w:tcPr>
            <w:tcW w:w="850" w:type="dxa"/>
            <w:vMerge/>
            <w:shd w:val="clear" w:color="auto" w:fill="auto"/>
            <w:vAlign w:val="center"/>
          </w:tcPr>
          <w:p w:rsidR="00090FB5" w:rsidRPr="006B41ED" w:rsidRDefault="00090FB5" w:rsidP="00090FB5">
            <w:pPr>
              <w:widowControl/>
              <w:jc w:val="center"/>
              <w:rPr>
                <w:rFonts w:ascii="宋体" w:eastAsia="宋体" w:hAnsi="宋体" w:cs="Times New Roman"/>
                <w:kern w:val="0"/>
                <w:szCs w:val="21"/>
              </w:rPr>
            </w:pPr>
          </w:p>
        </w:tc>
        <w:tc>
          <w:tcPr>
            <w:tcW w:w="709" w:type="dxa"/>
            <w:vMerge/>
            <w:shd w:val="clear" w:color="auto" w:fill="auto"/>
            <w:vAlign w:val="center"/>
          </w:tcPr>
          <w:p w:rsidR="00090FB5" w:rsidRPr="006B41ED" w:rsidRDefault="00090FB5" w:rsidP="00090FB5">
            <w:pPr>
              <w:widowControl/>
              <w:jc w:val="center"/>
              <w:rPr>
                <w:rFonts w:ascii="宋体" w:eastAsia="宋体" w:hAnsi="宋体" w:cs="Times New Roman"/>
                <w:kern w:val="0"/>
                <w:szCs w:val="21"/>
              </w:rPr>
            </w:pPr>
          </w:p>
        </w:tc>
        <w:tc>
          <w:tcPr>
            <w:tcW w:w="426" w:type="dxa"/>
            <w:shd w:val="clear" w:color="auto" w:fill="auto"/>
            <w:vAlign w:val="center"/>
          </w:tcPr>
          <w:p w:rsidR="00090FB5" w:rsidRPr="006B41ED" w:rsidRDefault="00090FB5" w:rsidP="00090FB5">
            <w:pPr>
              <w:widowControl/>
              <w:jc w:val="center"/>
              <w:rPr>
                <w:rFonts w:ascii="宋体" w:eastAsia="宋体" w:hAnsi="宋体" w:cs="Times New Roman"/>
                <w:kern w:val="0"/>
                <w:szCs w:val="21"/>
              </w:rPr>
            </w:pPr>
            <w:r w:rsidRPr="006B41ED">
              <w:rPr>
                <w:rFonts w:ascii="宋体" w:eastAsia="宋体" w:hAnsi="宋体" w:cs="Times New Roman"/>
                <w:kern w:val="0"/>
                <w:szCs w:val="21"/>
              </w:rPr>
              <w:t>2</w:t>
            </w:r>
          </w:p>
        </w:tc>
        <w:tc>
          <w:tcPr>
            <w:tcW w:w="2125" w:type="dxa"/>
            <w:shd w:val="clear" w:color="auto" w:fill="auto"/>
            <w:vAlign w:val="center"/>
          </w:tcPr>
          <w:p w:rsidR="00090FB5" w:rsidRPr="006B41ED" w:rsidRDefault="00090FB5" w:rsidP="00090FB5">
            <w:pPr>
              <w:widowControl/>
              <w:rPr>
                <w:rFonts w:ascii="宋体" w:eastAsia="宋体" w:hAnsi="宋体" w:cs="Times New Roman"/>
                <w:kern w:val="0"/>
                <w:szCs w:val="21"/>
              </w:rPr>
            </w:pPr>
            <w:r w:rsidRPr="006B41ED">
              <w:rPr>
                <w:rFonts w:ascii="宋体" w:eastAsia="宋体" w:hAnsi="宋体" w:cs="Times New Roman"/>
                <w:kern w:val="0"/>
                <w:szCs w:val="21"/>
              </w:rPr>
              <w:t>依托单位研发投入、仪器设备与场地</w:t>
            </w:r>
          </w:p>
        </w:tc>
        <w:tc>
          <w:tcPr>
            <w:tcW w:w="9356" w:type="dxa"/>
            <w:vAlign w:val="center"/>
          </w:tcPr>
          <w:p w:rsidR="00090FB5" w:rsidRPr="006B41ED" w:rsidRDefault="00090FB5" w:rsidP="00090FB5">
            <w:pPr>
              <w:snapToGrid w:val="0"/>
              <w:rPr>
                <w:rFonts w:ascii="宋体" w:eastAsia="宋体" w:hAnsi="宋体" w:cs="Calibri"/>
                <w:szCs w:val="21"/>
              </w:rPr>
            </w:pPr>
            <w:r w:rsidRPr="006B41ED">
              <w:rPr>
                <w:rFonts w:ascii="宋体" w:eastAsia="宋体" w:hAnsi="宋体" w:cs="Calibri" w:hint="eastAsia"/>
                <w:szCs w:val="21"/>
              </w:rPr>
              <w:t>依托单位研发投入保障工程中心正常运行。重点考核依托单位对工程中心研发经费（包括科研工作经费、人才培养与引进经费、仪器设备等科研资源更新经费等）投入额，经费比重情况，经费投入机制是否顺畅有效；仪器设备的先进性及近年更新情况，</w:t>
            </w:r>
            <w:r w:rsidRPr="006B41ED">
              <w:rPr>
                <w:rFonts w:ascii="宋体" w:eastAsia="宋体" w:hAnsi="宋体" w:cs="Calibri"/>
                <w:szCs w:val="21"/>
              </w:rPr>
              <w:t>中试生产线</w:t>
            </w:r>
            <w:r w:rsidRPr="006B41ED">
              <w:rPr>
                <w:rFonts w:ascii="宋体" w:eastAsia="宋体" w:hAnsi="宋体" w:cs="Calibri" w:hint="eastAsia"/>
                <w:szCs w:val="21"/>
              </w:rPr>
              <w:t>、场地及其他</w:t>
            </w:r>
            <w:r w:rsidRPr="006B41ED">
              <w:rPr>
                <w:rFonts w:ascii="宋体" w:eastAsia="宋体" w:hAnsi="宋体" w:cs="Calibri"/>
                <w:szCs w:val="21"/>
              </w:rPr>
              <w:t>配套设施</w:t>
            </w:r>
            <w:r w:rsidRPr="006B41ED">
              <w:rPr>
                <w:rFonts w:ascii="宋体" w:eastAsia="宋体" w:hAnsi="宋体" w:cs="Calibri" w:hint="eastAsia"/>
                <w:szCs w:val="21"/>
              </w:rPr>
              <w:t>情况</w:t>
            </w:r>
            <w:r w:rsidRPr="006B41ED">
              <w:rPr>
                <w:rFonts w:ascii="宋体" w:eastAsia="宋体" w:hAnsi="宋体" w:cs="Calibri"/>
                <w:szCs w:val="21"/>
              </w:rPr>
              <w:t>。</w:t>
            </w:r>
          </w:p>
        </w:tc>
        <w:tc>
          <w:tcPr>
            <w:tcW w:w="850" w:type="dxa"/>
            <w:shd w:val="clear" w:color="auto" w:fill="auto"/>
            <w:vAlign w:val="center"/>
          </w:tcPr>
          <w:p w:rsidR="00090FB5" w:rsidRPr="006B41ED" w:rsidRDefault="00090FB5" w:rsidP="00090FB5">
            <w:pPr>
              <w:widowControl/>
              <w:jc w:val="center"/>
              <w:rPr>
                <w:rFonts w:ascii="Times New Roman" w:eastAsia="宋体" w:hAnsi="Times New Roman" w:cs="Times New Roman"/>
                <w:kern w:val="0"/>
                <w:sz w:val="24"/>
                <w:szCs w:val="21"/>
              </w:rPr>
            </w:pPr>
            <w:r w:rsidRPr="006B41ED">
              <w:rPr>
                <w:rFonts w:ascii="Times New Roman" w:eastAsia="宋体" w:hAnsi="Times New Roman" w:cs="Times New Roman"/>
                <w:kern w:val="0"/>
                <w:sz w:val="24"/>
                <w:szCs w:val="21"/>
              </w:rPr>
              <w:t>10%</w:t>
            </w:r>
          </w:p>
        </w:tc>
      </w:tr>
      <w:tr w:rsidR="00090FB5" w:rsidRPr="006B41ED" w:rsidTr="00090FB5">
        <w:trPr>
          <w:trHeight w:val="694"/>
        </w:trPr>
        <w:tc>
          <w:tcPr>
            <w:tcW w:w="534" w:type="dxa"/>
            <w:vMerge/>
            <w:vAlign w:val="center"/>
          </w:tcPr>
          <w:p w:rsidR="00090FB5" w:rsidRPr="006B41ED" w:rsidRDefault="00090FB5" w:rsidP="00090FB5">
            <w:pPr>
              <w:widowControl/>
              <w:jc w:val="left"/>
              <w:rPr>
                <w:rFonts w:ascii="宋体" w:eastAsia="宋体" w:hAnsi="宋体" w:cs="Times New Roman"/>
                <w:kern w:val="0"/>
                <w:szCs w:val="21"/>
              </w:rPr>
            </w:pPr>
          </w:p>
        </w:tc>
        <w:tc>
          <w:tcPr>
            <w:tcW w:w="850" w:type="dxa"/>
            <w:vMerge/>
            <w:vAlign w:val="center"/>
          </w:tcPr>
          <w:p w:rsidR="00090FB5" w:rsidRPr="006B41ED" w:rsidRDefault="00090FB5" w:rsidP="00090FB5">
            <w:pPr>
              <w:widowControl/>
              <w:jc w:val="center"/>
              <w:rPr>
                <w:rFonts w:ascii="宋体" w:eastAsia="宋体" w:hAnsi="宋体" w:cs="Times New Roman"/>
                <w:kern w:val="0"/>
                <w:szCs w:val="21"/>
              </w:rPr>
            </w:pPr>
          </w:p>
        </w:tc>
        <w:tc>
          <w:tcPr>
            <w:tcW w:w="709" w:type="dxa"/>
            <w:vMerge/>
            <w:vAlign w:val="center"/>
          </w:tcPr>
          <w:p w:rsidR="00090FB5" w:rsidRPr="006B41ED" w:rsidRDefault="00090FB5" w:rsidP="00090FB5">
            <w:pPr>
              <w:widowControl/>
              <w:jc w:val="left"/>
              <w:rPr>
                <w:rFonts w:ascii="宋体" w:eastAsia="宋体" w:hAnsi="宋体" w:cs="Times New Roman"/>
                <w:kern w:val="0"/>
                <w:szCs w:val="21"/>
              </w:rPr>
            </w:pPr>
          </w:p>
        </w:tc>
        <w:tc>
          <w:tcPr>
            <w:tcW w:w="426" w:type="dxa"/>
            <w:shd w:val="clear" w:color="auto" w:fill="auto"/>
            <w:vAlign w:val="center"/>
          </w:tcPr>
          <w:p w:rsidR="00090FB5" w:rsidRPr="006B41ED" w:rsidRDefault="00090FB5" w:rsidP="00090FB5">
            <w:pPr>
              <w:widowControl/>
              <w:jc w:val="center"/>
              <w:rPr>
                <w:rFonts w:ascii="宋体" w:eastAsia="宋体" w:hAnsi="宋体" w:cs="Times New Roman"/>
                <w:kern w:val="0"/>
                <w:szCs w:val="21"/>
              </w:rPr>
            </w:pPr>
            <w:r w:rsidRPr="006B41ED">
              <w:rPr>
                <w:rFonts w:ascii="宋体" w:eastAsia="宋体" w:hAnsi="宋体" w:cs="Times New Roman"/>
                <w:kern w:val="0"/>
                <w:szCs w:val="21"/>
              </w:rPr>
              <w:t>3</w:t>
            </w:r>
          </w:p>
        </w:tc>
        <w:tc>
          <w:tcPr>
            <w:tcW w:w="2125" w:type="dxa"/>
            <w:shd w:val="clear" w:color="auto" w:fill="auto"/>
            <w:vAlign w:val="center"/>
          </w:tcPr>
          <w:p w:rsidR="00090FB5" w:rsidRPr="006B41ED" w:rsidRDefault="00090FB5" w:rsidP="00090FB5">
            <w:pPr>
              <w:widowControl/>
              <w:rPr>
                <w:rFonts w:ascii="宋体" w:eastAsia="宋体" w:hAnsi="宋体" w:cs="Times New Roman"/>
                <w:color w:val="FF0000"/>
                <w:kern w:val="0"/>
                <w:szCs w:val="21"/>
              </w:rPr>
            </w:pPr>
            <w:r w:rsidRPr="006B41ED">
              <w:rPr>
                <w:rFonts w:ascii="宋体" w:eastAsia="宋体" w:hAnsi="宋体" w:cs="Times New Roman"/>
                <w:kern w:val="0"/>
                <w:szCs w:val="21"/>
              </w:rPr>
              <w:t>承担市级以上科研项目</w:t>
            </w:r>
          </w:p>
        </w:tc>
        <w:tc>
          <w:tcPr>
            <w:tcW w:w="9356" w:type="dxa"/>
            <w:vAlign w:val="center"/>
          </w:tcPr>
          <w:p w:rsidR="00090FB5" w:rsidRPr="006B41ED" w:rsidRDefault="00090FB5" w:rsidP="00090FB5">
            <w:pPr>
              <w:snapToGrid w:val="0"/>
              <w:rPr>
                <w:rFonts w:ascii="宋体" w:eastAsia="宋体" w:hAnsi="宋体" w:cs="Calibri"/>
                <w:szCs w:val="21"/>
              </w:rPr>
            </w:pPr>
            <w:r w:rsidRPr="006B41ED">
              <w:rPr>
                <w:rFonts w:ascii="宋体" w:eastAsia="宋体" w:hAnsi="宋体" w:cs="Calibri" w:hint="eastAsia"/>
                <w:szCs w:val="21"/>
              </w:rPr>
              <w:t>重点考核工程中心承担市级以上科技计划项目数量、级别、经费额、项目与研发方向的一致性，项目完成情况等。</w:t>
            </w:r>
          </w:p>
        </w:tc>
        <w:tc>
          <w:tcPr>
            <w:tcW w:w="850" w:type="dxa"/>
            <w:shd w:val="clear" w:color="auto" w:fill="auto"/>
            <w:vAlign w:val="center"/>
          </w:tcPr>
          <w:p w:rsidR="00090FB5" w:rsidRPr="006B41ED" w:rsidRDefault="00090FB5" w:rsidP="00090FB5">
            <w:pPr>
              <w:jc w:val="center"/>
              <w:rPr>
                <w:rFonts w:ascii="Times New Roman" w:eastAsia="宋体" w:hAnsi="Times New Roman" w:cs="Times New Roman"/>
                <w:kern w:val="0"/>
                <w:sz w:val="24"/>
                <w:szCs w:val="21"/>
              </w:rPr>
            </w:pPr>
            <w:r w:rsidRPr="006B41ED">
              <w:rPr>
                <w:rFonts w:ascii="Times New Roman" w:eastAsia="宋体" w:hAnsi="Times New Roman" w:cs="Times New Roman"/>
                <w:kern w:val="0"/>
                <w:sz w:val="24"/>
                <w:szCs w:val="21"/>
              </w:rPr>
              <w:t>5%</w:t>
            </w:r>
          </w:p>
        </w:tc>
      </w:tr>
      <w:tr w:rsidR="00090FB5" w:rsidRPr="006B41ED" w:rsidTr="00090FB5">
        <w:trPr>
          <w:trHeight w:val="778"/>
        </w:trPr>
        <w:tc>
          <w:tcPr>
            <w:tcW w:w="534" w:type="dxa"/>
            <w:vMerge w:val="restart"/>
            <w:vAlign w:val="center"/>
          </w:tcPr>
          <w:p w:rsidR="00090FB5" w:rsidRPr="006B41ED" w:rsidRDefault="00090FB5" w:rsidP="00090FB5">
            <w:pPr>
              <w:widowControl/>
              <w:jc w:val="left"/>
              <w:rPr>
                <w:rFonts w:ascii="宋体" w:eastAsia="宋体" w:hAnsi="宋体" w:cs="Times New Roman"/>
                <w:kern w:val="0"/>
                <w:szCs w:val="21"/>
              </w:rPr>
            </w:pPr>
            <w:r w:rsidRPr="006B41ED">
              <w:rPr>
                <w:rFonts w:ascii="宋体" w:eastAsia="宋体" w:hAnsi="宋体" w:cs="Times New Roman"/>
                <w:kern w:val="0"/>
                <w:szCs w:val="21"/>
              </w:rPr>
              <w:t>二</w:t>
            </w:r>
          </w:p>
        </w:tc>
        <w:tc>
          <w:tcPr>
            <w:tcW w:w="850" w:type="dxa"/>
            <w:vMerge w:val="restart"/>
            <w:vAlign w:val="center"/>
          </w:tcPr>
          <w:p w:rsidR="00090FB5" w:rsidRPr="006B41ED" w:rsidRDefault="00090FB5" w:rsidP="00090FB5">
            <w:pPr>
              <w:widowControl/>
              <w:jc w:val="center"/>
              <w:rPr>
                <w:rFonts w:ascii="宋体" w:eastAsia="宋体" w:hAnsi="宋体" w:cs="Times New Roman"/>
                <w:kern w:val="0"/>
                <w:szCs w:val="21"/>
              </w:rPr>
            </w:pPr>
            <w:r w:rsidRPr="006B41ED">
              <w:rPr>
                <w:rFonts w:ascii="宋体" w:eastAsia="宋体" w:hAnsi="宋体" w:cs="Times New Roman"/>
                <w:kern w:val="0"/>
                <w:szCs w:val="21"/>
              </w:rPr>
              <w:t>团队建设与人才培养</w:t>
            </w:r>
          </w:p>
        </w:tc>
        <w:tc>
          <w:tcPr>
            <w:tcW w:w="709" w:type="dxa"/>
            <w:vMerge w:val="restart"/>
            <w:vAlign w:val="center"/>
          </w:tcPr>
          <w:p w:rsidR="00090FB5" w:rsidRPr="006B41ED" w:rsidRDefault="00090FB5" w:rsidP="00090FB5">
            <w:pPr>
              <w:widowControl/>
              <w:jc w:val="center"/>
              <w:rPr>
                <w:rFonts w:ascii="宋体" w:eastAsia="宋体" w:hAnsi="宋体" w:cs="Times New Roman"/>
                <w:kern w:val="0"/>
                <w:szCs w:val="21"/>
              </w:rPr>
            </w:pPr>
            <w:r w:rsidRPr="006B41ED">
              <w:rPr>
                <w:rFonts w:ascii="宋体" w:eastAsia="宋体" w:hAnsi="宋体" w:cs="Times New Roman"/>
                <w:kern w:val="0"/>
                <w:szCs w:val="21"/>
              </w:rPr>
              <w:t>15%</w:t>
            </w:r>
          </w:p>
        </w:tc>
        <w:tc>
          <w:tcPr>
            <w:tcW w:w="426" w:type="dxa"/>
            <w:shd w:val="clear" w:color="auto" w:fill="auto"/>
            <w:vAlign w:val="center"/>
          </w:tcPr>
          <w:p w:rsidR="00090FB5" w:rsidRPr="006B41ED" w:rsidRDefault="00090FB5" w:rsidP="00090FB5">
            <w:pPr>
              <w:widowControl/>
              <w:jc w:val="center"/>
              <w:rPr>
                <w:rFonts w:ascii="宋体" w:eastAsia="宋体" w:hAnsi="宋体" w:cs="Times New Roman"/>
                <w:kern w:val="0"/>
                <w:szCs w:val="21"/>
              </w:rPr>
            </w:pPr>
            <w:r w:rsidRPr="006B41ED">
              <w:rPr>
                <w:rFonts w:ascii="宋体" w:eastAsia="宋体" w:hAnsi="宋体" w:cs="Times New Roman"/>
                <w:kern w:val="0"/>
                <w:szCs w:val="21"/>
              </w:rPr>
              <w:t>4</w:t>
            </w:r>
          </w:p>
        </w:tc>
        <w:tc>
          <w:tcPr>
            <w:tcW w:w="2125" w:type="dxa"/>
            <w:shd w:val="clear" w:color="auto" w:fill="auto"/>
            <w:vAlign w:val="center"/>
          </w:tcPr>
          <w:p w:rsidR="00090FB5" w:rsidRPr="006B41ED" w:rsidRDefault="00090FB5" w:rsidP="00090FB5">
            <w:pPr>
              <w:widowControl/>
              <w:rPr>
                <w:rFonts w:ascii="宋体" w:eastAsia="宋体" w:hAnsi="宋体" w:cs="Times New Roman"/>
                <w:kern w:val="0"/>
                <w:szCs w:val="21"/>
              </w:rPr>
            </w:pPr>
            <w:r w:rsidRPr="006B41ED">
              <w:rPr>
                <w:rFonts w:ascii="宋体" w:eastAsia="宋体" w:hAnsi="宋体" w:cs="Times New Roman"/>
                <w:kern w:val="0"/>
                <w:szCs w:val="21"/>
              </w:rPr>
              <w:t>团队规模，设有人才站点类项目工程中心可适当加分</w:t>
            </w:r>
          </w:p>
        </w:tc>
        <w:tc>
          <w:tcPr>
            <w:tcW w:w="9356" w:type="dxa"/>
            <w:vAlign w:val="center"/>
          </w:tcPr>
          <w:p w:rsidR="00090FB5" w:rsidRPr="006B41ED" w:rsidRDefault="00090FB5" w:rsidP="00090FB5">
            <w:pPr>
              <w:snapToGrid w:val="0"/>
              <w:rPr>
                <w:rFonts w:ascii="宋体" w:eastAsia="宋体" w:hAnsi="宋体" w:cs="Calibri"/>
                <w:szCs w:val="21"/>
              </w:rPr>
            </w:pPr>
            <w:r w:rsidRPr="006B41ED">
              <w:rPr>
                <w:rFonts w:ascii="宋体" w:eastAsia="宋体" w:hAnsi="宋体" w:cs="Calibri" w:hint="eastAsia"/>
                <w:szCs w:val="21"/>
              </w:rPr>
              <w:t>人才团队规模能满足工程中心发展需求。重点考核工程中心专职研发团队（不少于20人）、工程化团队规模，人才引进与培养情况，</w:t>
            </w:r>
            <w:r w:rsidRPr="006B41ED">
              <w:rPr>
                <w:rFonts w:ascii="宋体" w:eastAsia="宋体" w:hAnsi="宋体" w:cs="宋体" w:hint="eastAsia"/>
                <w:kern w:val="0"/>
                <w:szCs w:val="21"/>
              </w:rPr>
              <w:t>设有人才站点类项目工程中心可适当加分。</w:t>
            </w:r>
          </w:p>
        </w:tc>
        <w:tc>
          <w:tcPr>
            <w:tcW w:w="850" w:type="dxa"/>
            <w:shd w:val="clear" w:color="auto" w:fill="auto"/>
            <w:vAlign w:val="center"/>
          </w:tcPr>
          <w:p w:rsidR="00090FB5" w:rsidRPr="006B41ED" w:rsidRDefault="00090FB5" w:rsidP="00090FB5">
            <w:pPr>
              <w:jc w:val="center"/>
              <w:rPr>
                <w:rFonts w:ascii="Times New Roman" w:eastAsia="宋体" w:hAnsi="Times New Roman" w:cs="Times New Roman"/>
                <w:kern w:val="0"/>
                <w:sz w:val="24"/>
                <w:szCs w:val="21"/>
              </w:rPr>
            </w:pPr>
            <w:r w:rsidRPr="006B41ED">
              <w:rPr>
                <w:rFonts w:ascii="Times New Roman" w:eastAsia="宋体" w:hAnsi="Times New Roman" w:cs="Times New Roman"/>
                <w:kern w:val="0"/>
                <w:sz w:val="24"/>
                <w:szCs w:val="21"/>
              </w:rPr>
              <w:t>10%</w:t>
            </w:r>
          </w:p>
        </w:tc>
      </w:tr>
      <w:tr w:rsidR="00090FB5" w:rsidRPr="006B41ED" w:rsidTr="00090FB5">
        <w:trPr>
          <w:trHeight w:val="731"/>
        </w:trPr>
        <w:tc>
          <w:tcPr>
            <w:tcW w:w="534" w:type="dxa"/>
            <w:vMerge/>
            <w:vAlign w:val="center"/>
          </w:tcPr>
          <w:p w:rsidR="00090FB5" w:rsidRPr="006B41ED" w:rsidRDefault="00090FB5" w:rsidP="00090FB5">
            <w:pPr>
              <w:widowControl/>
              <w:jc w:val="left"/>
              <w:rPr>
                <w:rFonts w:ascii="宋体" w:eastAsia="宋体" w:hAnsi="宋体" w:cs="Times New Roman"/>
                <w:kern w:val="0"/>
                <w:szCs w:val="21"/>
              </w:rPr>
            </w:pPr>
          </w:p>
        </w:tc>
        <w:tc>
          <w:tcPr>
            <w:tcW w:w="850" w:type="dxa"/>
            <w:vMerge/>
            <w:vAlign w:val="center"/>
          </w:tcPr>
          <w:p w:rsidR="00090FB5" w:rsidRPr="006B41ED" w:rsidRDefault="00090FB5" w:rsidP="00090FB5">
            <w:pPr>
              <w:widowControl/>
              <w:jc w:val="center"/>
              <w:rPr>
                <w:rFonts w:ascii="宋体" w:eastAsia="宋体" w:hAnsi="宋体" w:cs="Times New Roman"/>
                <w:kern w:val="0"/>
                <w:szCs w:val="21"/>
              </w:rPr>
            </w:pPr>
          </w:p>
        </w:tc>
        <w:tc>
          <w:tcPr>
            <w:tcW w:w="709" w:type="dxa"/>
            <w:vMerge/>
            <w:vAlign w:val="center"/>
          </w:tcPr>
          <w:p w:rsidR="00090FB5" w:rsidRPr="006B41ED" w:rsidRDefault="00090FB5" w:rsidP="00090FB5">
            <w:pPr>
              <w:widowControl/>
              <w:jc w:val="left"/>
              <w:rPr>
                <w:rFonts w:ascii="宋体" w:eastAsia="宋体" w:hAnsi="宋体" w:cs="Times New Roman"/>
                <w:kern w:val="0"/>
                <w:szCs w:val="21"/>
              </w:rPr>
            </w:pPr>
          </w:p>
        </w:tc>
        <w:tc>
          <w:tcPr>
            <w:tcW w:w="426" w:type="dxa"/>
            <w:shd w:val="clear" w:color="auto" w:fill="auto"/>
            <w:vAlign w:val="center"/>
          </w:tcPr>
          <w:p w:rsidR="00090FB5" w:rsidRPr="006B41ED" w:rsidRDefault="00090FB5" w:rsidP="00090FB5">
            <w:pPr>
              <w:widowControl/>
              <w:jc w:val="center"/>
              <w:rPr>
                <w:rFonts w:ascii="宋体" w:eastAsia="宋体" w:hAnsi="宋体" w:cs="Times New Roman"/>
                <w:kern w:val="0"/>
                <w:szCs w:val="21"/>
              </w:rPr>
            </w:pPr>
            <w:r w:rsidRPr="006B41ED">
              <w:rPr>
                <w:rFonts w:ascii="宋体" w:eastAsia="宋体" w:hAnsi="宋体" w:cs="Times New Roman"/>
                <w:kern w:val="0"/>
                <w:szCs w:val="21"/>
              </w:rPr>
              <w:t>5</w:t>
            </w:r>
          </w:p>
        </w:tc>
        <w:tc>
          <w:tcPr>
            <w:tcW w:w="2125" w:type="dxa"/>
            <w:shd w:val="clear" w:color="auto" w:fill="auto"/>
            <w:vAlign w:val="center"/>
          </w:tcPr>
          <w:p w:rsidR="00090FB5" w:rsidRPr="006B41ED" w:rsidRDefault="00090FB5" w:rsidP="00090FB5">
            <w:pPr>
              <w:widowControl/>
              <w:rPr>
                <w:rFonts w:ascii="宋体" w:eastAsia="宋体" w:hAnsi="宋体" w:cs="Times New Roman"/>
                <w:kern w:val="0"/>
                <w:szCs w:val="21"/>
              </w:rPr>
            </w:pPr>
            <w:r w:rsidRPr="006B41ED">
              <w:rPr>
                <w:rFonts w:ascii="宋体" w:eastAsia="宋体" w:hAnsi="宋体" w:cs="Times New Roman"/>
                <w:kern w:val="0"/>
                <w:szCs w:val="21"/>
              </w:rPr>
              <w:t>结构层次</w:t>
            </w:r>
          </w:p>
        </w:tc>
        <w:tc>
          <w:tcPr>
            <w:tcW w:w="9356" w:type="dxa"/>
            <w:vAlign w:val="center"/>
          </w:tcPr>
          <w:p w:rsidR="00090FB5" w:rsidRPr="006B41ED" w:rsidRDefault="00090FB5" w:rsidP="00090FB5">
            <w:pPr>
              <w:snapToGrid w:val="0"/>
              <w:rPr>
                <w:rFonts w:ascii="宋体" w:eastAsia="宋体" w:hAnsi="宋体" w:cs="Calibri"/>
                <w:szCs w:val="21"/>
              </w:rPr>
            </w:pPr>
            <w:r w:rsidRPr="006B41ED">
              <w:rPr>
                <w:rFonts w:ascii="宋体" w:eastAsia="宋体" w:hAnsi="宋体" w:cs="Calibri" w:hint="eastAsia"/>
                <w:szCs w:val="21"/>
              </w:rPr>
              <w:t>人才团队的结构与水平能够支持工程中心发展。重点考核工程中心人才队伍年龄结构、岗位结构、学历结构、技术职称结构等合理性，技术带头人组织能力及研发水平，团队素质与层次等。</w:t>
            </w:r>
          </w:p>
        </w:tc>
        <w:tc>
          <w:tcPr>
            <w:tcW w:w="850" w:type="dxa"/>
            <w:shd w:val="clear" w:color="auto" w:fill="auto"/>
            <w:vAlign w:val="center"/>
          </w:tcPr>
          <w:p w:rsidR="00090FB5" w:rsidRPr="006B41ED" w:rsidRDefault="00090FB5" w:rsidP="00090FB5">
            <w:pPr>
              <w:jc w:val="center"/>
              <w:rPr>
                <w:rFonts w:ascii="Times New Roman" w:eastAsia="宋体" w:hAnsi="Times New Roman" w:cs="Times New Roman"/>
                <w:kern w:val="0"/>
                <w:sz w:val="24"/>
                <w:szCs w:val="21"/>
              </w:rPr>
            </w:pPr>
            <w:r w:rsidRPr="006B41ED">
              <w:rPr>
                <w:rFonts w:ascii="Times New Roman" w:eastAsia="宋体" w:hAnsi="Times New Roman" w:cs="Times New Roman"/>
                <w:kern w:val="0"/>
                <w:sz w:val="24"/>
                <w:szCs w:val="21"/>
              </w:rPr>
              <w:t>5%</w:t>
            </w:r>
          </w:p>
        </w:tc>
      </w:tr>
      <w:tr w:rsidR="00090FB5" w:rsidRPr="006B41ED" w:rsidTr="00090FB5">
        <w:trPr>
          <w:trHeight w:val="684"/>
        </w:trPr>
        <w:tc>
          <w:tcPr>
            <w:tcW w:w="534" w:type="dxa"/>
            <w:vMerge w:val="restart"/>
            <w:vAlign w:val="center"/>
          </w:tcPr>
          <w:p w:rsidR="00090FB5" w:rsidRPr="006B41ED" w:rsidRDefault="00090FB5" w:rsidP="00090FB5">
            <w:pPr>
              <w:rPr>
                <w:rFonts w:ascii="宋体" w:eastAsia="宋体" w:hAnsi="宋体" w:cs="Times New Roman"/>
                <w:kern w:val="0"/>
                <w:szCs w:val="21"/>
              </w:rPr>
            </w:pPr>
            <w:r w:rsidRPr="006B41ED">
              <w:rPr>
                <w:rFonts w:ascii="宋体" w:eastAsia="宋体" w:hAnsi="宋体" w:cs="Times New Roman"/>
                <w:kern w:val="0"/>
                <w:szCs w:val="21"/>
              </w:rPr>
              <w:t>三</w:t>
            </w:r>
          </w:p>
        </w:tc>
        <w:tc>
          <w:tcPr>
            <w:tcW w:w="850" w:type="dxa"/>
            <w:vMerge w:val="restart"/>
            <w:vAlign w:val="center"/>
          </w:tcPr>
          <w:p w:rsidR="00090FB5" w:rsidRPr="006B41ED" w:rsidRDefault="00090FB5" w:rsidP="00090FB5">
            <w:pPr>
              <w:jc w:val="center"/>
              <w:rPr>
                <w:rFonts w:ascii="宋体" w:eastAsia="宋体" w:hAnsi="宋体" w:cs="Times New Roman"/>
                <w:kern w:val="0"/>
                <w:szCs w:val="21"/>
              </w:rPr>
            </w:pPr>
            <w:r w:rsidRPr="006B41ED">
              <w:rPr>
                <w:rFonts w:ascii="宋体" w:eastAsia="宋体" w:hAnsi="宋体" w:cs="Times New Roman"/>
                <w:kern w:val="0"/>
                <w:szCs w:val="21"/>
              </w:rPr>
              <w:t>研发产出与运行成效</w:t>
            </w:r>
          </w:p>
        </w:tc>
        <w:tc>
          <w:tcPr>
            <w:tcW w:w="709" w:type="dxa"/>
            <w:vMerge w:val="restart"/>
            <w:vAlign w:val="center"/>
          </w:tcPr>
          <w:p w:rsidR="00090FB5" w:rsidRPr="006B41ED" w:rsidRDefault="00090FB5" w:rsidP="00090FB5">
            <w:pPr>
              <w:widowControl/>
              <w:jc w:val="center"/>
              <w:rPr>
                <w:rFonts w:ascii="宋体" w:eastAsia="宋体" w:hAnsi="宋体" w:cs="Times New Roman"/>
                <w:kern w:val="0"/>
                <w:szCs w:val="21"/>
              </w:rPr>
            </w:pPr>
            <w:r w:rsidRPr="006B41ED">
              <w:rPr>
                <w:rFonts w:ascii="宋体" w:eastAsia="宋体" w:hAnsi="宋体" w:cs="Times New Roman"/>
                <w:kern w:val="0"/>
                <w:szCs w:val="21"/>
              </w:rPr>
              <w:t>50%</w:t>
            </w:r>
          </w:p>
        </w:tc>
        <w:tc>
          <w:tcPr>
            <w:tcW w:w="426" w:type="dxa"/>
            <w:shd w:val="clear" w:color="auto" w:fill="auto"/>
            <w:vAlign w:val="center"/>
          </w:tcPr>
          <w:p w:rsidR="00090FB5" w:rsidRPr="006B41ED" w:rsidRDefault="00090FB5" w:rsidP="00090FB5">
            <w:pPr>
              <w:widowControl/>
              <w:jc w:val="center"/>
              <w:rPr>
                <w:rFonts w:ascii="宋体" w:eastAsia="宋体" w:hAnsi="宋体" w:cs="Times New Roman"/>
                <w:kern w:val="0"/>
                <w:szCs w:val="21"/>
              </w:rPr>
            </w:pPr>
            <w:r w:rsidRPr="006B41ED">
              <w:rPr>
                <w:rFonts w:ascii="宋体" w:eastAsia="宋体" w:hAnsi="宋体" w:cs="Times New Roman"/>
                <w:kern w:val="0"/>
                <w:szCs w:val="21"/>
              </w:rPr>
              <w:t>6</w:t>
            </w:r>
          </w:p>
        </w:tc>
        <w:tc>
          <w:tcPr>
            <w:tcW w:w="2125" w:type="dxa"/>
            <w:shd w:val="clear" w:color="auto" w:fill="auto"/>
            <w:vAlign w:val="center"/>
          </w:tcPr>
          <w:p w:rsidR="00090FB5" w:rsidRPr="006B41ED" w:rsidRDefault="00090FB5" w:rsidP="00090FB5">
            <w:pPr>
              <w:widowControl/>
              <w:rPr>
                <w:rFonts w:ascii="宋体" w:eastAsia="宋体" w:hAnsi="宋体" w:cs="Times New Roman"/>
                <w:kern w:val="0"/>
                <w:szCs w:val="21"/>
              </w:rPr>
            </w:pPr>
            <w:r w:rsidRPr="006B41ED">
              <w:rPr>
                <w:rFonts w:ascii="宋体" w:eastAsia="宋体" w:hAnsi="宋体" w:cs="Times New Roman"/>
                <w:kern w:val="0"/>
                <w:szCs w:val="21"/>
              </w:rPr>
              <w:t>新产品、新工艺、新技术开发</w:t>
            </w:r>
          </w:p>
        </w:tc>
        <w:tc>
          <w:tcPr>
            <w:tcW w:w="9356" w:type="dxa"/>
            <w:vAlign w:val="center"/>
          </w:tcPr>
          <w:p w:rsidR="00090FB5" w:rsidRPr="006B41ED" w:rsidRDefault="00090FB5" w:rsidP="00090FB5">
            <w:pPr>
              <w:snapToGrid w:val="0"/>
              <w:rPr>
                <w:rFonts w:ascii="宋体" w:eastAsia="宋体" w:hAnsi="宋体" w:cs="Calibri"/>
                <w:szCs w:val="21"/>
              </w:rPr>
            </w:pPr>
            <w:r w:rsidRPr="006B41ED">
              <w:rPr>
                <w:rFonts w:ascii="宋体" w:eastAsia="宋体" w:hAnsi="宋体" w:cs="Calibri" w:hint="eastAsia"/>
                <w:szCs w:val="21"/>
              </w:rPr>
              <w:t>重点考核工程中心研发的新产品、新工艺、新技术的数量与水平，包括国家相关部门或行业（组织）认定的专有技术、新产品及其他代表性“三新”成果。</w:t>
            </w:r>
          </w:p>
        </w:tc>
        <w:tc>
          <w:tcPr>
            <w:tcW w:w="850" w:type="dxa"/>
            <w:shd w:val="clear" w:color="auto" w:fill="auto"/>
            <w:vAlign w:val="center"/>
          </w:tcPr>
          <w:p w:rsidR="00090FB5" w:rsidRPr="006B41ED" w:rsidRDefault="00090FB5" w:rsidP="00090FB5">
            <w:pPr>
              <w:widowControl/>
              <w:jc w:val="center"/>
              <w:rPr>
                <w:rFonts w:ascii="Times New Roman" w:eastAsia="宋体" w:hAnsi="Times New Roman" w:cs="Times New Roman"/>
                <w:kern w:val="0"/>
                <w:sz w:val="24"/>
                <w:szCs w:val="21"/>
              </w:rPr>
            </w:pPr>
            <w:r w:rsidRPr="006B41ED">
              <w:rPr>
                <w:rFonts w:ascii="Times New Roman" w:eastAsia="宋体" w:hAnsi="Times New Roman" w:cs="Times New Roman"/>
                <w:kern w:val="0"/>
                <w:sz w:val="24"/>
                <w:szCs w:val="21"/>
              </w:rPr>
              <w:t>15%</w:t>
            </w:r>
          </w:p>
        </w:tc>
      </w:tr>
      <w:tr w:rsidR="00090FB5" w:rsidRPr="006B41ED" w:rsidTr="00090FB5">
        <w:trPr>
          <w:trHeight w:val="992"/>
        </w:trPr>
        <w:tc>
          <w:tcPr>
            <w:tcW w:w="534" w:type="dxa"/>
            <w:vMerge/>
            <w:vAlign w:val="center"/>
          </w:tcPr>
          <w:p w:rsidR="00090FB5" w:rsidRPr="006B41ED" w:rsidRDefault="00090FB5" w:rsidP="00090FB5">
            <w:pPr>
              <w:rPr>
                <w:rFonts w:ascii="宋体" w:eastAsia="宋体" w:hAnsi="宋体" w:cs="Times New Roman"/>
                <w:kern w:val="0"/>
                <w:szCs w:val="21"/>
              </w:rPr>
            </w:pPr>
          </w:p>
        </w:tc>
        <w:tc>
          <w:tcPr>
            <w:tcW w:w="850" w:type="dxa"/>
            <w:vMerge/>
            <w:vAlign w:val="center"/>
          </w:tcPr>
          <w:p w:rsidR="00090FB5" w:rsidRPr="006B41ED" w:rsidRDefault="00090FB5" w:rsidP="00090FB5">
            <w:pPr>
              <w:jc w:val="center"/>
              <w:rPr>
                <w:rFonts w:ascii="宋体" w:eastAsia="宋体" w:hAnsi="宋体" w:cs="Times New Roman"/>
                <w:kern w:val="0"/>
                <w:szCs w:val="21"/>
              </w:rPr>
            </w:pPr>
          </w:p>
        </w:tc>
        <w:tc>
          <w:tcPr>
            <w:tcW w:w="709" w:type="dxa"/>
            <w:vMerge/>
            <w:vAlign w:val="center"/>
          </w:tcPr>
          <w:p w:rsidR="00090FB5" w:rsidRPr="006B41ED" w:rsidRDefault="00090FB5" w:rsidP="00090FB5">
            <w:pPr>
              <w:widowControl/>
              <w:jc w:val="center"/>
              <w:rPr>
                <w:rFonts w:ascii="宋体" w:eastAsia="宋体" w:hAnsi="宋体" w:cs="Times New Roman"/>
                <w:kern w:val="0"/>
                <w:szCs w:val="21"/>
              </w:rPr>
            </w:pPr>
          </w:p>
        </w:tc>
        <w:tc>
          <w:tcPr>
            <w:tcW w:w="426" w:type="dxa"/>
            <w:shd w:val="clear" w:color="auto" w:fill="auto"/>
            <w:vAlign w:val="center"/>
          </w:tcPr>
          <w:p w:rsidR="00090FB5" w:rsidRPr="006B41ED" w:rsidRDefault="00090FB5" w:rsidP="00090FB5">
            <w:pPr>
              <w:widowControl/>
              <w:jc w:val="center"/>
              <w:rPr>
                <w:rFonts w:ascii="宋体" w:eastAsia="宋体" w:hAnsi="宋体" w:cs="Times New Roman"/>
                <w:kern w:val="0"/>
                <w:szCs w:val="21"/>
              </w:rPr>
            </w:pPr>
            <w:r w:rsidRPr="006B41ED">
              <w:rPr>
                <w:rFonts w:ascii="宋体" w:eastAsia="宋体" w:hAnsi="宋体" w:cs="Times New Roman"/>
                <w:kern w:val="0"/>
                <w:szCs w:val="21"/>
              </w:rPr>
              <w:t>7</w:t>
            </w:r>
          </w:p>
        </w:tc>
        <w:tc>
          <w:tcPr>
            <w:tcW w:w="2125" w:type="dxa"/>
            <w:shd w:val="clear" w:color="auto" w:fill="auto"/>
            <w:vAlign w:val="center"/>
          </w:tcPr>
          <w:p w:rsidR="00090FB5" w:rsidRPr="006B41ED" w:rsidRDefault="00090FB5" w:rsidP="00090FB5">
            <w:pPr>
              <w:rPr>
                <w:rFonts w:ascii="宋体" w:eastAsia="宋体" w:hAnsi="宋体" w:cs="Times New Roman"/>
                <w:kern w:val="0"/>
                <w:szCs w:val="21"/>
              </w:rPr>
            </w:pPr>
            <w:r w:rsidRPr="006B41ED">
              <w:rPr>
                <w:rFonts w:ascii="宋体" w:eastAsia="宋体" w:hAnsi="宋体" w:cs="Times New Roman"/>
                <w:kern w:val="0"/>
                <w:szCs w:val="21"/>
              </w:rPr>
              <w:t>新产品销售额及占比</w:t>
            </w:r>
          </w:p>
        </w:tc>
        <w:tc>
          <w:tcPr>
            <w:tcW w:w="9356" w:type="dxa"/>
            <w:vAlign w:val="center"/>
          </w:tcPr>
          <w:p w:rsidR="00090FB5" w:rsidRPr="006B41ED" w:rsidRDefault="00090FB5" w:rsidP="00090FB5">
            <w:pPr>
              <w:snapToGrid w:val="0"/>
              <w:rPr>
                <w:rFonts w:ascii="宋体" w:eastAsia="宋体" w:hAnsi="宋体" w:cs="Calibri"/>
                <w:szCs w:val="21"/>
              </w:rPr>
            </w:pPr>
            <w:r w:rsidRPr="006B41ED">
              <w:rPr>
                <w:rFonts w:ascii="宋体" w:eastAsia="宋体" w:hAnsi="宋体" w:cs="Calibri" w:hint="eastAsia"/>
                <w:szCs w:val="21"/>
              </w:rPr>
              <w:t>重点考核工程中心开发的新产品在评估期内实现的销售额及在依托单位总销售额中所占的比例。（新产品既包括经政府有关部门认定并在有效期内的新产品，也包括企业自行研制开发，未经政府部门认定，从投产之日起一年之内的新产品。）</w:t>
            </w:r>
          </w:p>
        </w:tc>
        <w:tc>
          <w:tcPr>
            <w:tcW w:w="850" w:type="dxa"/>
            <w:shd w:val="clear" w:color="auto" w:fill="auto"/>
            <w:vAlign w:val="center"/>
          </w:tcPr>
          <w:p w:rsidR="00090FB5" w:rsidRPr="006B41ED" w:rsidRDefault="00090FB5" w:rsidP="00090FB5">
            <w:pPr>
              <w:widowControl/>
              <w:jc w:val="center"/>
              <w:rPr>
                <w:rFonts w:ascii="Times New Roman" w:eastAsia="宋体" w:hAnsi="Times New Roman" w:cs="Times New Roman"/>
                <w:kern w:val="0"/>
                <w:sz w:val="24"/>
                <w:szCs w:val="21"/>
              </w:rPr>
            </w:pPr>
            <w:r w:rsidRPr="006B41ED">
              <w:rPr>
                <w:rFonts w:ascii="Times New Roman" w:eastAsia="宋体" w:hAnsi="Times New Roman" w:cs="Times New Roman"/>
                <w:kern w:val="0"/>
                <w:sz w:val="24"/>
                <w:szCs w:val="21"/>
              </w:rPr>
              <w:t>25%</w:t>
            </w:r>
          </w:p>
        </w:tc>
      </w:tr>
      <w:tr w:rsidR="00090FB5" w:rsidRPr="006B41ED" w:rsidTr="00090FB5">
        <w:trPr>
          <w:trHeight w:val="695"/>
        </w:trPr>
        <w:tc>
          <w:tcPr>
            <w:tcW w:w="534" w:type="dxa"/>
            <w:vMerge/>
            <w:shd w:val="clear" w:color="auto" w:fill="auto"/>
            <w:vAlign w:val="center"/>
          </w:tcPr>
          <w:p w:rsidR="00090FB5" w:rsidRPr="006B41ED" w:rsidRDefault="00090FB5" w:rsidP="00090FB5">
            <w:pPr>
              <w:jc w:val="center"/>
              <w:rPr>
                <w:rFonts w:ascii="宋体" w:eastAsia="宋体" w:hAnsi="宋体" w:cs="Times New Roman"/>
                <w:kern w:val="0"/>
                <w:szCs w:val="21"/>
              </w:rPr>
            </w:pPr>
          </w:p>
        </w:tc>
        <w:tc>
          <w:tcPr>
            <w:tcW w:w="850" w:type="dxa"/>
            <w:vMerge/>
            <w:shd w:val="clear" w:color="auto" w:fill="auto"/>
            <w:vAlign w:val="center"/>
          </w:tcPr>
          <w:p w:rsidR="00090FB5" w:rsidRPr="006B41ED" w:rsidRDefault="00090FB5" w:rsidP="00090FB5">
            <w:pPr>
              <w:jc w:val="center"/>
              <w:rPr>
                <w:rFonts w:ascii="宋体" w:eastAsia="宋体" w:hAnsi="宋体" w:cs="Times New Roman"/>
                <w:kern w:val="0"/>
                <w:szCs w:val="21"/>
              </w:rPr>
            </w:pPr>
          </w:p>
        </w:tc>
        <w:tc>
          <w:tcPr>
            <w:tcW w:w="709" w:type="dxa"/>
            <w:vMerge/>
            <w:shd w:val="clear" w:color="auto" w:fill="auto"/>
            <w:vAlign w:val="center"/>
          </w:tcPr>
          <w:p w:rsidR="00090FB5" w:rsidRPr="006B41ED" w:rsidRDefault="00090FB5" w:rsidP="00090FB5">
            <w:pPr>
              <w:jc w:val="center"/>
              <w:rPr>
                <w:rFonts w:ascii="宋体" w:eastAsia="宋体" w:hAnsi="宋体" w:cs="Times New Roman"/>
                <w:kern w:val="0"/>
                <w:szCs w:val="21"/>
              </w:rPr>
            </w:pPr>
          </w:p>
        </w:tc>
        <w:tc>
          <w:tcPr>
            <w:tcW w:w="426" w:type="dxa"/>
            <w:shd w:val="clear" w:color="auto" w:fill="auto"/>
            <w:vAlign w:val="center"/>
          </w:tcPr>
          <w:p w:rsidR="00090FB5" w:rsidRPr="006B41ED" w:rsidRDefault="00090FB5" w:rsidP="00090FB5">
            <w:pPr>
              <w:widowControl/>
              <w:jc w:val="center"/>
              <w:rPr>
                <w:rFonts w:ascii="宋体" w:eastAsia="宋体" w:hAnsi="宋体" w:cs="Times New Roman"/>
                <w:kern w:val="0"/>
                <w:szCs w:val="21"/>
              </w:rPr>
            </w:pPr>
            <w:r w:rsidRPr="006B41ED">
              <w:rPr>
                <w:rFonts w:ascii="宋体" w:eastAsia="宋体" w:hAnsi="宋体" w:cs="Times New Roman"/>
                <w:kern w:val="0"/>
                <w:szCs w:val="21"/>
              </w:rPr>
              <w:t>8</w:t>
            </w:r>
          </w:p>
        </w:tc>
        <w:tc>
          <w:tcPr>
            <w:tcW w:w="2125" w:type="dxa"/>
            <w:shd w:val="clear" w:color="auto" w:fill="auto"/>
            <w:vAlign w:val="center"/>
          </w:tcPr>
          <w:p w:rsidR="00090FB5" w:rsidRPr="006B41ED" w:rsidRDefault="00090FB5" w:rsidP="00090FB5">
            <w:pPr>
              <w:widowControl/>
              <w:rPr>
                <w:rFonts w:ascii="宋体" w:eastAsia="宋体" w:hAnsi="宋体" w:cs="Times New Roman"/>
                <w:color w:val="FF0000"/>
                <w:kern w:val="0"/>
                <w:szCs w:val="21"/>
              </w:rPr>
            </w:pPr>
            <w:r w:rsidRPr="006B41ED">
              <w:rPr>
                <w:rFonts w:ascii="宋体" w:eastAsia="宋体" w:hAnsi="宋体" w:cs="Times New Roman"/>
                <w:kern w:val="0"/>
                <w:szCs w:val="21"/>
              </w:rPr>
              <w:t>专利等知识产权</w:t>
            </w:r>
          </w:p>
        </w:tc>
        <w:tc>
          <w:tcPr>
            <w:tcW w:w="9356" w:type="dxa"/>
            <w:vAlign w:val="center"/>
          </w:tcPr>
          <w:p w:rsidR="00090FB5" w:rsidRPr="006B41ED" w:rsidRDefault="00090FB5" w:rsidP="00090FB5">
            <w:pPr>
              <w:snapToGrid w:val="0"/>
              <w:rPr>
                <w:rFonts w:ascii="宋体" w:eastAsia="宋体" w:hAnsi="宋体" w:cs="Calibri"/>
                <w:szCs w:val="21"/>
              </w:rPr>
            </w:pPr>
            <w:r w:rsidRPr="006B41ED">
              <w:rPr>
                <w:rFonts w:ascii="宋体" w:eastAsia="宋体" w:hAnsi="宋体" w:cs="Calibri" w:hint="eastAsia"/>
                <w:szCs w:val="21"/>
              </w:rPr>
              <w:t>重点考核工程中心申请和授权的专利（发明专利、实用新型专利）、主持或参与制修定的技术标准以及其他知识产权（如新药证书、新农药证书、农业新品种、软件著作权、专有技术等）。</w:t>
            </w:r>
          </w:p>
        </w:tc>
        <w:tc>
          <w:tcPr>
            <w:tcW w:w="850" w:type="dxa"/>
            <w:shd w:val="clear" w:color="auto" w:fill="auto"/>
            <w:vAlign w:val="center"/>
          </w:tcPr>
          <w:p w:rsidR="00090FB5" w:rsidRPr="006B41ED" w:rsidRDefault="00090FB5" w:rsidP="00090FB5">
            <w:pPr>
              <w:widowControl/>
              <w:jc w:val="center"/>
              <w:rPr>
                <w:rFonts w:ascii="Times New Roman" w:eastAsia="宋体" w:hAnsi="Times New Roman" w:cs="Times New Roman"/>
                <w:kern w:val="0"/>
                <w:sz w:val="24"/>
                <w:szCs w:val="21"/>
              </w:rPr>
            </w:pPr>
            <w:r w:rsidRPr="006B41ED">
              <w:rPr>
                <w:rFonts w:ascii="Times New Roman" w:eastAsia="宋体" w:hAnsi="Times New Roman" w:cs="Times New Roman"/>
                <w:kern w:val="0"/>
                <w:sz w:val="24"/>
                <w:szCs w:val="21"/>
              </w:rPr>
              <w:t>10%</w:t>
            </w:r>
          </w:p>
        </w:tc>
      </w:tr>
      <w:tr w:rsidR="00090FB5" w:rsidRPr="006B41ED" w:rsidTr="00090FB5">
        <w:trPr>
          <w:trHeight w:val="605"/>
        </w:trPr>
        <w:tc>
          <w:tcPr>
            <w:tcW w:w="534" w:type="dxa"/>
            <w:vMerge w:val="restart"/>
            <w:shd w:val="clear" w:color="auto" w:fill="auto"/>
            <w:vAlign w:val="center"/>
          </w:tcPr>
          <w:p w:rsidR="00090FB5" w:rsidRPr="006B41ED" w:rsidRDefault="00090FB5" w:rsidP="00090FB5">
            <w:pPr>
              <w:rPr>
                <w:rFonts w:ascii="宋体" w:eastAsia="宋体" w:hAnsi="宋体" w:cs="Times New Roman"/>
                <w:kern w:val="0"/>
                <w:szCs w:val="21"/>
              </w:rPr>
            </w:pPr>
            <w:r w:rsidRPr="006B41ED">
              <w:rPr>
                <w:rFonts w:ascii="宋体" w:eastAsia="宋体" w:hAnsi="宋体" w:cs="Times New Roman"/>
                <w:kern w:val="0"/>
                <w:szCs w:val="21"/>
              </w:rPr>
              <w:t>四</w:t>
            </w:r>
          </w:p>
        </w:tc>
        <w:tc>
          <w:tcPr>
            <w:tcW w:w="850" w:type="dxa"/>
            <w:vMerge w:val="restart"/>
            <w:shd w:val="clear" w:color="auto" w:fill="auto"/>
            <w:vAlign w:val="center"/>
          </w:tcPr>
          <w:p w:rsidR="00090FB5" w:rsidRPr="006B41ED" w:rsidRDefault="00090FB5" w:rsidP="00090FB5">
            <w:pPr>
              <w:jc w:val="center"/>
              <w:rPr>
                <w:rFonts w:ascii="宋体" w:eastAsia="宋体" w:hAnsi="宋体" w:cs="Times New Roman"/>
                <w:kern w:val="0"/>
                <w:szCs w:val="21"/>
              </w:rPr>
            </w:pPr>
            <w:r w:rsidRPr="006B41ED">
              <w:rPr>
                <w:rFonts w:ascii="宋体" w:eastAsia="宋体" w:hAnsi="宋体" w:cs="Times New Roman"/>
                <w:kern w:val="0"/>
                <w:szCs w:val="21"/>
              </w:rPr>
              <w:t>开放交流与运行管理</w:t>
            </w:r>
          </w:p>
        </w:tc>
        <w:tc>
          <w:tcPr>
            <w:tcW w:w="709" w:type="dxa"/>
            <w:vMerge w:val="restart"/>
            <w:shd w:val="clear" w:color="auto" w:fill="auto"/>
            <w:vAlign w:val="center"/>
          </w:tcPr>
          <w:p w:rsidR="00090FB5" w:rsidRPr="006B41ED" w:rsidRDefault="00090FB5" w:rsidP="00090FB5">
            <w:pPr>
              <w:jc w:val="center"/>
              <w:rPr>
                <w:rFonts w:ascii="宋体" w:eastAsia="宋体" w:hAnsi="宋体" w:cs="Times New Roman"/>
                <w:kern w:val="0"/>
                <w:szCs w:val="21"/>
              </w:rPr>
            </w:pPr>
            <w:r w:rsidRPr="006B41ED">
              <w:rPr>
                <w:rFonts w:ascii="宋体" w:eastAsia="宋体" w:hAnsi="宋体" w:cs="Times New Roman"/>
                <w:kern w:val="0"/>
                <w:szCs w:val="21"/>
              </w:rPr>
              <w:t>15%</w:t>
            </w:r>
          </w:p>
        </w:tc>
        <w:tc>
          <w:tcPr>
            <w:tcW w:w="426" w:type="dxa"/>
            <w:shd w:val="clear" w:color="auto" w:fill="auto"/>
            <w:vAlign w:val="center"/>
          </w:tcPr>
          <w:p w:rsidR="00090FB5" w:rsidRPr="006B41ED" w:rsidRDefault="00090FB5" w:rsidP="00090FB5">
            <w:pPr>
              <w:widowControl/>
              <w:rPr>
                <w:rFonts w:ascii="宋体" w:eastAsia="宋体" w:hAnsi="宋体" w:cs="Times New Roman"/>
                <w:kern w:val="0"/>
                <w:szCs w:val="21"/>
              </w:rPr>
            </w:pPr>
            <w:r w:rsidRPr="006B41ED">
              <w:rPr>
                <w:rFonts w:ascii="宋体" w:eastAsia="宋体" w:hAnsi="宋体" w:cs="Times New Roman"/>
                <w:kern w:val="0"/>
                <w:szCs w:val="21"/>
              </w:rPr>
              <w:t>9</w:t>
            </w:r>
          </w:p>
        </w:tc>
        <w:tc>
          <w:tcPr>
            <w:tcW w:w="2125" w:type="dxa"/>
            <w:shd w:val="clear" w:color="auto" w:fill="auto"/>
            <w:vAlign w:val="center"/>
          </w:tcPr>
          <w:p w:rsidR="00090FB5" w:rsidRPr="006B41ED" w:rsidRDefault="00090FB5" w:rsidP="00090FB5">
            <w:pPr>
              <w:rPr>
                <w:rFonts w:ascii="宋体" w:eastAsia="宋体" w:hAnsi="宋体" w:cs="Times New Roman"/>
                <w:kern w:val="0"/>
                <w:szCs w:val="21"/>
              </w:rPr>
            </w:pPr>
            <w:r w:rsidRPr="006B41ED">
              <w:rPr>
                <w:rFonts w:ascii="宋体" w:eastAsia="宋体" w:hAnsi="宋体" w:cs="Times New Roman"/>
                <w:kern w:val="0"/>
                <w:szCs w:val="21"/>
              </w:rPr>
              <w:t>产学研合作</w:t>
            </w:r>
          </w:p>
        </w:tc>
        <w:tc>
          <w:tcPr>
            <w:tcW w:w="9356" w:type="dxa"/>
            <w:vAlign w:val="center"/>
          </w:tcPr>
          <w:p w:rsidR="00090FB5" w:rsidRPr="006B41ED" w:rsidRDefault="00090FB5" w:rsidP="00090FB5">
            <w:pPr>
              <w:snapToGrid w:val="0"/>
              <w:rPr>
                <w:rFonts w:ascii="宋体" w:eastAsia="宋体" w:hAnsi="宋体" w:cs="Calibri"/>
                <w:szCs w:val="21"/>
              </w:rPr>
            </w:pPr>
            <w:r w:rsidRPr="006B41ED">
              <w:rPr>
                <w:rFonts w:ascii="宋体" w:eastAsia="宋体" w:hAnsi="宋体" w:cs="Calibri" w:hint="eastAsia"/>
                <w:szCs w:val="21"/>
              </w:rPr>
              <w:t>重点考核工程中心产学研合作机制，产学研项目的数量与质量，合作单位的数量与行业水平，吸引高水平人才客座研究情况等。</w:t>
            </w:r>
          </w:p>
        </w:tc>
        <w:tc>
          <w:tcPr>
            <w:tcW w:w="850" w:type="dxa"/>
            <w:shd w:val="clear" w:color="auto" w:fill="auto"/>
            <w:vAlign w:val="center"/>
          </w:tcPr>
          <w:p w:rsidR="00090FB5" w:rsidRPr="006B41ED" w:rsidRDefault="00090FB5" w:rsidP="00090FB5">
            <w:pPr>
              <w:jc w:val="center"/>
              <w:rPr>
                <w:rFonts w:ascii="Times New Roman" w:eastAsia="宋体" w:hAnsi="Times New Roman" w:cs="Times New Roman"/>
                <w:kern w:val="0"/>
                <w:sz w:val="24"/>
                <w:szCs w:val="21"/>
              </w:rPr>
            </w:pPr>
            <w:r w:rsidRPr="006B41ED">
              <w:rPr>
                <w:rFonts w:ascii="Times New Roman" w:eastAsia="宋体" w:hAnsi="Times New Roman" w:cs="Times New Roman"/>
                <w:kern w:val="0"/>
                <w:sz w:val="24"/>
                <w:szCs w:val="21"/>
              </w:rPr>
              <w:t>10%</w:t>
            </w:r>
          </w:p>
        </w:tc>
      </w:tr>
      <w:tr w:rsidR="00090FB5" w:rsidRPr="006B41ED" w:rsidTr="00090FB5">
        <w:trPr>
          <w:trHeight w:val="926"/>
        </w:trPr>
        <w:tc>
          <w:tcPr>
            <w:tcW w:w="534" w:type="dxa"/>
            <w:vMerge/>
            <w:vAlign w:val="center"/>
          </w:tcPr>
          <w:p w:rsidR="00090FB5" w:rsidRPr="006B41ED" w:rsidRDefault="00090FB5" w:rsidP="00090FB5">
            <w:pPr>
              <w:widowControl/>
              <w:jc w:val="left"/>
              <w:rPr>
                <w:rFonts w:ascii="宋体" w:eastAsia="宋体" w:hAnsi="宋体" w:cs="宋体"/>
                <w:kern w:val="0"/>
                <w:szCs w:val="21"/>
              </w:rPr>
            </w:pPr>
          </w:p>
        </w:tc>
        <w:tc>
          <w:tcPr>
            <w:tcW w:w="850" w:type="dxa"/>
            <w:vMerge/>
            <w:vAlign w:val="center"/>
          </w:tcPr>
          <w:p w:rsidR="00090FB5" w:rsidRPr="006B41ED" w:rsidRDefault="00090FB5" w:rsidP="00090FB5">
            <w:pPr>
              <w:widowControl/>
              <w:jc w:val="center"/>
              <w:rPr>
                <w:rFonts w:ascii="宋体" w:eastAsia="宋体" w:hAnsi="宋体" w:cs="宋体"/>
                <w:kern w:val="0"/>
                <w:szCs w:val="21"/>
              </w:rPr>
            </w:pPr>
          </w:p>
        </w:tc>
        <w:tc>
          <w:tcPr>
            <w:tcW w:w="709" w:type="dxa"/>
            <w:vMerge/>
            <w:vAlign w:val="center"/>
          </w:tcPr>
          <w:p w:rsidR="00090FB5" w:rsidRPr="006B41ED" w:rsidRDefault="00090FB5" w:rsidP="00090FB5">
            <w:pPr>
              <w:widowControl/>
              <w:jc w:val="left"/>
              <w:rPr>
                <w:rFonts w:ascii="宋体" w:eastAsia="宋体" w:hAnsi="宋体" w:cs="Calibri"/>
                <w:kern w:val="0"/>
                <w:szCs w:val="21"/>
              </w:rPr>
            </w:pPr>
          </w:p>
        </w:tc>
        <w:tc>
          <w:tcPr>
            <w:tcW w:w="426" w:type="dxa"/>
            <w:shd w:val="clear" w:color="auto" w:fill="auto"/>
            <w:vAlign w:val="center"/>
          </w:tcPr>
          <w:p w:rsidR="00090FB5" w:rsidRPr="006B41ED" w:rsidRDefault="00090FB5" w:rsidP="00090FB5">
            <w:pPr>
              <w:widowControl/>
              <w:jc w:val="center"/>
              <w:rPr>
                <w:rFonts w:ascii="宋体" w:eastAsia="宋体" w:hAnsi="宋体" w:cs="宋体"/>
                <w:kern w:val="0"/>
                <w:szCs w:val="21"/>
              </w:rPr>
            </w:pPr>
            <w:r w:rsidRPr="006B41ED">
              <w:rPr>
                <w:rFonts w:ascii="宋体" w:eastAsia="宋体" w:hAnsi="宋体" w:cs="宋体" w:hint="eastAsia"/>
                <w:kern w:val="0"/>
                <w:szCs w:val="21"/>
              </w:rPr>
              <w:t>10</w:t>
            </w:r>
          </w:p>
        </w:tc>
        <w:tc>
          <w:tcPr>
            <w:tcW w:w="2125" w:type="dxa"/>
            <w:shd w:val="clear" w:color="auto" w:fill="auto"/>
            <w:vAlign w:val="center"/>
          </w:tcPr>
          <w:p w:rsidR="00090FB5" w:rsidRPr="006B41ED" w:rsidRDefault="00090FB5" w:rsidP="00090FB5">
            <w:pPr>
              <w:widowControl/>
              <w:rPr>
                <w:rFonts w:ascii="宋体" w:eastAsia="宋体" w:hAnsi="宋体" w:cs="宋体"/>
                <w:kern w:val="0"/>
                <w:szCs w:val="21"/>
              </w:rPr>
            </w:pPr>
            <w:r w:rsidRPr="006B41ED">
              <w:rPr>
                <w:rFonts w:ascii="宋体" w:eastAsia="宋体" w:hAnsi="宋体" w:cs="宋体" w:hint="eastAsia"/>
                <w:kern w:val="0"/>
                <w:szCs w:val="21"/>
              </w:rPr>
              <w:t>内部运行管理</w:t>
            </w:r>
          </w:p>
        </w:tc>
        <w:tc>
          <w:tcPr>
            <w:tcW w:w="9356" w:type="dxa"/>
            <w:vAlign w:val="center"/>
          </w:tcPr>
          <w:p w:rsidR="00090FB5" w:rsidRPr="006B41ED" w:rsidRDefault="00090FB5" w:rsidP="00090FB5">
            <w:pPr>
              <w:snapToGrid w:val="0"/>
              <w:rPr>
                <w:rFonts w:ascii="宋体" w:eastAsia="宋体" w:hAnsi="宋体" w:cs="Calibri"/>
                <w:szCs w:val="21"/>
              </w:rPr>
            </w:pPr>
            <w:r w:rsidRPr="006B41ED">
              <w:rPr>
                <w:rFonts w:ascii="宋体" w:eastAsia="宋体" w:hAnsi="宋体" w:cs="Calibri" w:hint="eastAsia"/>
                <w:szCs w:val="21"/>
              </w:rPr>
              <w:t>重点考核工程中心管理体制和运行机制（如内部人员考核、激励等机制，项目的组织方式，研发体系的构建，科研资料、数据的积累和归档等），主管部门要求的各项相关管理工作完成情况，中心品牌建设及宣传等。</w:t>
            </w:r>
          </w:p>
        </w:tc>
        <w:tc>
          <w:tcPr>
            <w:tcW w:w="850" w:type="dxa"/>
            <w:shd w:val="clear" w:color="auto" w:fill="auto"/>
            <w:vAlign w:val="center"/>
          </w:tcPr>
          <w:p w:rsidR="00090FB5" w:rsidRPr="006B41ED" w:rsidRDefault="00090FB5" w:rsidP="00090FB5">
            <w:pPr>
              <w:widowControl/>
              <w:jc w:val="center"/>
              <w:rPr>
                <w:rFonts w:ascii="Calibri" w:eastAsia="宋体" w:hAnsi="Calibri" w:cs="Calibri"/>
                <w:kern w:val="0"/>
                <w:sz w:val="24"/>
                <w:szCs w:val="21"/>
              </w:rPr>
            </w:pPr>
            <w:r w:rsidRPr="006B41ED">
              <w:rPr>
                <w:rFonts w:ascii="Calibri" w:eastAsia="宋体" w:hAnsi="Calibri" w:cs="Calibri" w:hint="eastAsia"/>
                <w:kern w:val="0"/>
                <w:sz w:val="24"/>
                <w:szCs w:val="21"/>
              </w:rPr>
              <w:t>5</w:t>
            </w:r>
            <w:r w:rsidRPr="006B41ED">
              <w:rPr>
                <w:rFonts w:ascii="Calibri" w:eastAsia="宋体" w:hAnsi="Calibri" w:cs="Calibri"/>
                <w:kern w:val="0"/>
                <w:sz w:val="24"/>
                <w:szCs w:val="21"/>
              </w:rPr>
              <w:t>%</w:t>
            </w:r>
          </w:p>
        </w:tc>
      </w:tr>
    </w:tbl>
    <w:p w:rsidR="00090FB5" w:rsidRDefault="00090FB5" w:rsidP="00090FB5"/>
    <w:sectPr w:rsidR="00090FB5" w:rsidSect="00090FB5">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C00" w:rsidRDefault="00F21C00" w:rsidP="00090FB5">
      <w:r>
        <w:separator/>
      </w:r>
    </w:p>
  </w:endnote>
  <w:endnote w:type="continuationSeparator" w:id="0">
    <w:p w:rsidR="00F21C00" w:rsidRDefault="00F21C00" w:rsidP="0009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C00" w:rsidRDefault="00F21C00" w:rsidP="00090FB5">
      <w:r>
        <w:separator/>
      </w:r>
    </w:p>
  </w:footnote>
  <w:footnote w:type="continuationSeparator" w:id="0">
    <w:p w:rsidR="00F21C00" w:rsidRDefault="00F21C00" w:rsidP="00090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0E"/>
    <w:rsid w:val="00065093"/>
    <w:rsid w:val="00090FB5"/>
    <w:rsid w:val="000E66A5"/>
    <w:rsid w:val="0017577A"/>
    <w:rsid w:val="00352AF6"/>
    <w:rsid w:val="003A7F49"/>
    <w:rsid w:val="004E2E0E"/>
    <w:rsid w:val="006B7787"/>
    <w:rsid w:val="00C06C7A"/>
    <w:rsid w:val="00F21C00"/>
    <w:rsid w:val="00F75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22C188-29C4-4240-B239-495DAAA0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F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0FB5"/>
    <w:rPr>
      <w:sz w:val="18"/>
      <w:szCs w:val="18"/>
    </w:rPr>
  </w:style>
  <w:style w:type="paragraph" w:styleId="a4">
    <w:name w:val="footer"/>
    <w:basedOn w:val="a"/>
    <w:link w:val="Char0"/>
    <w:uiPriority w:val="99"/>
    <w:unhideWhenUsed/>
    <w:rsid w:val="00090FB5"/>
    <w:pPr>
      <w:tabs>
        <w:tab w:val="center" w:pos="4153"/>
        <w:tab w:val="right" w:pos="8306"/>
      </w:tabs>
      <w:snapToGrid w:val="0"/>
      <w:jc w:val="left"/>
    </w:pPr>
    <w:rPr>
      <w:sz w:val="18"/>
      <w:szCs w:val="18"/>
    </w:rPr>
  </w:style>
  <w:style w:type="character" w:customStyle="1" w:styleId="Char0">
    <w:name w:val="页脚 Char"/>
    <w:basedOn w:val="a0"/>
    <w:link w:val="a4"/>
    <w:uiPriority w:val="99"/>
    <w:rsid w:val="00090F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944</Characters>
  <Application>Microsoft Office Word</Application>
  <DocSecurity>0</DocSecurity>
  <Lines>7</Lines>
  <Paragraphs>2</Paragraphs>
  <ScaleCrop>false</ScaleCrop>
  <Company>Microsoft</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万磊</dc:creator>
  <cp:keywords/>
  <dc:description/>
  <cp:lastModifiedBy>万磊</cp:lastModifiedBy>
  <cp:revision>6</cp:revision>
  <dcterms:created xsi:type="dcterms:W3CDTF">2019-04-26T05:49:00Z</dcterms:created>
  <dcterms:modified xsi:type="dcterms:W3CDTF">2021-01-12T02:44:00Z</dcterms:modified>
</cp:coreProperties>
</file>