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246" w:rsidRPr="002E1B34" w:rsidRDefault="00413246" w:rsidP="00413246">
      <w:pPr>
        <w:rPr>
          <w:rFonts w:ascii="黑体" w:eastAsia="黑体" w:hAnsi="黑体"/>
          <w:sz w:val="32"/>
          <w:szCs w:val="32"/>
        </w:rPr>
      </w:pPr>
      <w:r w:rsidRPr="002E1B34">
        <w:rPr>
          <w:rFonts w:ascii="黑体" w:eastAsia="黑体" w:hAnsi="黑体" w:hint="eastAsia"/>
          <w:sz w:val="32"/>
          <w:szCs w:val="32"/>
        </w:rPr>
        <w:t>附件2</w:t>
      </w:r>
    </w:p>
    <w:p w:rsidR="00413246" w:rsidRPr="002E1B34" w:rsidRDefault="00413246" w:rsidP="00413246">
      <w:pPr>
        <w:jc w:val="center"/>
        <w:rPr>
          <w:rFonts w:ascii="黑体" w:eastAsia="黑体" w:hAnsi="黑体"/>
          <w:sz w:val="44"/>
          <w:szCs w:val="44"/>
        </w:rPr>
      </w:pPr>
      <w:r>
        <w:rPr>
          <w:rFonts w:ascii="黑体" w:eastAsia="黑体" w:hAnsi="黑体" w:hint="eastAsia"/>
          <w:sz w:val="44"/>
          <w:szCs w:val="44"/>
        </w:rPr>
        <w:t>项目简介</w:t>
      </w:r>
      <w:r w:rsidRPr="002E1B34">
        <w:rPr>
          <w:rFonts w:ascii="黑体" w:eastAsia="黑体" w:hAnsi="黑体" w:hint="eastAsia"/>
          <w:sz w:val="44"/>
          <w:szCs w:val="44"/>
        </w:rPr>
        <w:t>（公示）</w:t>
      </w:r>
    </w:p>
    <w:p w:rsidR="00413246" w:rsidRDefault="00413246" w:rsidP="00413246">
      <w:pPr>
        <w:ind w:firstLineChars="200" w:firstLine="640"/>
        <w:rPr>
          <w:rFonts w:ascii="黑体" w:eastAsia="黑体" w:hAnsi="黑体"/>
          <w:sz w:val="32"/>
          <w:szCs w:val="32"/>
        </w:rPr>
      </w:pPr>
    </w:p>
    <w:p w:rsidR="00413246" w:rsidRPr="002E1B34" w:rsidRDefault="00413246" w:rsidP="00413246">
      <w:pPr>
        <w:ind w:firstLineChars="200" w:firstLine="640"/>
        <w:rPr>
          <w:rFonts w:ascii="黑体" w:eastAsia="黑体" w:hAnsi="黑体"/>
          <w:sz w:val="32"/>
          <w:szCs w:val="32"/>
        </w:rPr>
      </w:pPr>
      <w:r w:rsidRPr="002E1B34">
        <w:rPr>
          <w:rFonts w:ascii="黑体" w:eastAsia="黑体" w:hAnsi="黑体" w:hint="eastAsia"/>
          <w:sz w:val="32"/>
          <w:szCs w:val="32"/>
        </w:rPr>
        <w:t>1.国网江苏省电力有限公司，制定实施《统一潮流控制器工程设计导则》等10项标准获得中国标准创新贡献奖</w:t>
      </w:r>
      <w:r>
        <w:rPr>
          <w:rFonts w:ascii="黑体" w:eastAsia="黑体" w:hAnsi="黑体" w:hint="eastAsia"/>
          <w:sz w:val="32"/>
          <w:szCs w:val="32"/>
        </w:rPr>
        <w:t>一等奖</w:t>
      </w:r>
    </w:p>
    <w:p w:rsidR="00413246" w:rsidRPr="002E1B34" w:rsidRDefault="00413246" w:rsidP="00413246">
      <w:pPr>
        <w:ind w:firstLineChars="200" w:firstLine="640"/>
        <w:rPr>
          <w:rFonts w:ascii="仿宋_GB2312" w:eastAsia="仿宋_GB2312" w:hAnsi="仿宋" w:cs="方正仿宋_GBK"/>
          <w:kern w:val="0"/>
          <w:sz w:val="32"/>
          <w:szCs w:val="32"/>
        </w:rPr>
      </w:pPr>
      <w:r w:rsidRPr="002E1B34">
        <w:rPr>
          <w:rFonts w:ascii="仿宋_GB2312" w:eastAsia="仿宋_GB2312" w:hAnsi="仿宋" w:cs="方正仿宋_GBK" w:hint="eastAsia"/>
          <w:kern w:val="0"/>
          <w:sz w:val="32"/>
          <w:szCs w:val="32"/>
        </w:rPr>
        <w:t>电网潮流的灵活精准控制是电力领域的世界性难题，是我国电网高质量发展亟需解决的关键问题。该公司在国家科技计划项目支持下，攻克模块化多电平的新一代</w:t>
      </w:r>
      <w:r w:rsidRPr="002E1B34">
        <w:rPr>
          <w:rFonts w:ascii="仿宋_GB2312" w:eastAsia="仿宋_GB2312" w:hAnsi="Times New Roman" w:hint="eastAsia"/>
          <w:sz w:val="32"/>
          <w:szCs w:val="32"/>
        </w:rPr>
        <w:t>UPFC</w:t>
      </w:r>
      <w:r w:rsidRPr="002E1B34">
        <w:rPr>
          <w:rFonts w:ascii="仿宋_GB2312" w:eastAsia="仿宋_GB2312" w:hAnsi="仿宋" w:cs="方正仿宋_GBK" w:hint="eastAsia"/>
          <w:kern w:val="0"/>
          <w:sz w:val="32"/>
          <w:szCs w:val="32"/>
        </w:rPr>
        <w:t>（统一潮流控制器）技术，成功研制</w:t>
      </w:r>
      <w:r w:rsidRPr="002E1B34">
        <w:rPr>
          <w:rFonts w:ascii="仿宋_GB2312" w:eastAsia="仿宋_GB2312" w:hAnsi="Times New Roman" w:hint="eastAsia"/>
          <w:sz w:val="32"/>
          <w:szCs w:val="32"/>
        </w:rPr>
        <w:t>UPFC</w:t>
      </w:r>
      <w:r w:rsidRPr="002E1B34">
        <w:rPr>
          <w:rFonts w:ascii="仿宋_GB2312" w:eastAsia="仿宋_GB2312" w:hAnsi="仿宋" w:cs="方正仿宋_GBK" w:hint="eastAsia"/>
          <w:kern w:val="0"/>
          <w:sz w:val="32"/>
          <w:szCs w:val="32"/>
        </w:rPr>
        <w:t>成套装备并实现工程应用。基于创新成果及实践应用，形成《统一潮流控制器工程设计导则》等</w:t>
      </w:r>
      <w:r w:rsidRPr="002E1B34">
        <w:rPr>
          <w:rFonts w:ascii="仿宋_GB2312" w:eastAsia="仿宋_GB2312" w:hAnsi="Times New Roman" w:hint="eastAsia"/>
          <w:kern w:val="0"/>
          <w:sz w:val="32"/>
          <w:szCs w:val="32"/>
        </w:rPr>
        <w:t xml:space="preserve"> </w:t>
      </w:r>
      <w:r w:rsidRPr="002E1B34">
        <w:rPr>
          <w:rFonts w:ascii="仿宋_GB2312" w:eastAsia="仿宋_GB2312" w:hAnsi="Times New Roman" w:hint="eastAsia"/>
          <w:sz w:val="32"/>
          <w:szCs w:val="32"/>
        </w:rPr>
        <w:t>10</w:t>
      </w:r>
      <w:r w:rsidRPr="002E1B34">
        <w:rPr>
          <w:rFonts w:ascii="仿宋_GB2312" w:eastAsia="仿宋_GB2312" w:hAnsi="Times New Roman" w:hint="eastAsia"/>
          <w:kern w:val="0"/>
          <w:sz w:val="32"/>
          <w:szCs w:val="32"/>
        </w:rPr>
        <w:t xml:space="preserve"> </w:t>
      </w:r>
      <w:r w:rsidRPr="002E1B34">
        <w:rPr>
          <w:rFonts w:ascii="仿宋_GB2312" w:eastAsia="仿宋_GB2312" w:hAnsi="仿宋" w:cs="方正仿宋_GBK" w:hint="eastAsia"/>
          <w:kern w:val="0"/>
          <w:sz w:val="32"/>
          <w:szCs w:val="32"/>
        </w:rPr>
        <w:t>项标准。该系列标准创建了</w:t>
      </w:r>
      <w:r w:rsidRPr="002E1B34">
        <w:rPr>
          <w:rFonts w:ascii="仿宋_GB2312" w:eastAsia="仿宋_GB2312" w:hAnsi="Times New Roman" w:hint="eastAsia"/>
          <w:sz w:val="32"/>
          <w:szCs w:val="32"/>
        </w:rPr>
        <w:t>UPFC</w:t>
      </w:r>
      <w:r w:rsidRPr="002E1B34">
        <w:rPr>
          <w:rFonts w:ascii="仿宋_GB2312" w:eastAsia="仿宋_GB2312" w:hAnsi="仿宋" w:cs="方正仿宋_GBK" w:hint="eastAsia"/>
          <w:kern w:val="0"/>
          <w:sz w:val="32"/>
          <w:szCs w:val="32"/>
        </w:rPr>
        <w:t>系统化工程应用技术规范，全面指导我国</w:t>
      </w:r>
      <w:r w:rsidRPr="002E1B34">
        <w:rPr>
          <w:rFonts w:ascii="仿宋_GB2312" w:eastAsia="仿宋_GB2312" w:hAnsi="Times New Roman" w:hint="eastAsia"/>
          <w:sz w:val="32"/>
          <w:szCs w:val="32"/>
        </w:rPr>
        <w:t>UPFC</w:t>
      </w:r>
      <w:r w:rsidRPr="002E1B34">
        <w:rPr>
          <w:rFonts w:ascii="仿宋_GB2312" w:eastAsia="仿宋_GB2312" w:hAnsi="仿宋" w:cs="方正仿宋_GBK" w:hint="eastAsia"/>
          <w:kern w:val="0"/>
          <w:sz w:val="32"/>
          <w:szCs w:val="32"/>
        </w:rPr>
        <w:t xml:space="preserve">工程的建设及运行，拥有完全自主知识产权，填补了柔性输电领域国内外空白，产品已覆盖全国 </w:t>
      </w:r>
      <w:r w:rsidRPr="002E1B34">
        <w:rPr>
          <w:rFonts w:ascii="仿宋_GB2312" w:eastAsia="仿宋_GB2312" w:hAnsi="Times New Roman" w:hint="eastAsia"/>
          <w:sz w:val="32"/>
          <w:szCs w:val="32"/>
        </w:rPr>
        <w:t xml:space="preserve">25 </w:t>
      </w:r>
      <w:r w:rsidRPr="002E1B34">
        <w:rPr>
          <w:rFonts w:ascii="仿宋_GB2312" w:eastAsia="仿宋_GB2312" w:hAnsi="仿宋" w:cs="方正仿宋_GBK" w:hint="eastAsia"/>
          <w:kern w:val="0"/>
          <w:sz w:val="32"/>
          <w:szCs w:val="32"/>
        </w:rPr>
        <w:t>个省份，并出口至北美、东南亚等地</w:t>
      </w:r>
      <w:r>
        <w:rPr>
          <w:rFonts w:ascii="仿宋_GB2312" w:eastAsia="仿宋_GB2312" w:hAnsi="仿宋" w:cs="方正仿宋_GBK" w:hint="eastAsia"/>
          <w:kern w:val="0"/>
          <w:sz w:val="32"/>
          <w:szCs w:val="32"/>
        </w:rPr>
        <w:t>。</w:t>
      </w:r>
    </w:p>
    <w:p w:rsidR="00413246" w:rsidRPr="002E1B34" w:rsidRDefault="00413246" w:rsidP="00413246">
      <w:pPr>
        <w:spacing w:beforeLines="50"/>
        <w:ind w:firstLineChars="200" w:firstLine="640"/>
        <w:rPr>
          <w:rFonts w:ascii="黑体" w:eastAsia="黑体" w:hAnsi="黑体"/>
          <w:sz w:val="32"/>
          <w:szCs w:val="32"/>
        </w:rPr>
      </w:pPr>
      <w:r w:rsidRPr="002E1B34">
        <w:rPr>
          <w:rFonts w:ascii="黑体" w:eastAsia="黑体" w:hAnsi="黑体" w:hint="eastAsia"/>
          <w:sz w:val="32"/>
          <w:szCs w:val="32"/>
        </w:rPr>
        <w:t>2.南京国盛电子有限公司，主导制定实施《200mm硅外延片》等2项国家标准</w:t>
      </w:r>
    </w:p>
    <w:p w:rsidR="00413246" w:rsidRPr="002E1B34" w:rsidRDefault="00413246" w:rsidP="00413246">
      <w:pPr>
        <w:ind w:firstLineChars="200" w:firstLine="640"/>
        <w:rPr>
          <w:rFonts w:ascii="仿宋_GB2312" w:eastAsia="仿宋_GB2312" w:hAnsi="仿宋" w:cs="方正仿宋_GBK"/>
          <w:kern w:val="0"/>
          <w:sz w:val="32"/>
          <w:szCs w:val="32"/>
        </w:rPr>
      </w:pPr>
      <w:r w:rsidRPr="002E1B34">
        <w:rPr>
          <w:rFonts w:ascii="仿宋_GB2312" w:eastAsia="仿宋_GB2312" w:hAnsi="仿宋" w:cs="方正仿宋_GBK" w:hint="eastAsia"/>
          <w:kern w:val="0"/>
          <w:sz w:val="32"/>
          <w:szCs w:val="32"/>
        </w:rPr>
        <w:t>硅材料是南京市重点支持的集成电路产业链的关键核心原材料，在高端晶圆制造中有着承上启下的重要作用。《</w:t>
      </w:r>
      <w:r w:rsidRPr="002E1B34">
        <w:rPr>
          <w:rFonts w:ascii="仿宋_GB2312" w:eastAsia="仿宋_GB2312" w:hAnsi="Times New Roman" w:hint="eastAsia"/>
          <w:sz w:val="32"/>
          <w:szCs w:val="32"/>
        </w:rPr>
        <w:t>200mm</w:t>
      </w:r>
      <w:r w:rsidRPr="002E1B34">
        <w:rPr>
          <w:rFonts w:ascii="仿宋_GB2312" w:eastAsia="仿宋_GB2312" w:hAnsi="仿宋" w:cs="方正仿宋_GBK" w:hint="eastAsia"/>
          <w:kern w:val="0"/>
          <w:sz w:val="32"/>
          <w:szCs w:val="32"/>
        </w:rPr>
        <w:t>硅外延片》国家标准对我国</w:t>
      </w:r>
      <w:r w:rsidRPr="002E1B34">
        <w:rPr>
          <w:rFonts w:ascii="仿宋_GB2312" w:eastAsia="仿宋_GB2312" w:hAnsi="Times New Roman" w:hint="eastAsia"/>
          <w:kern w:val="0"/>
          <w:sz w:val="32"/>
          <w:szCs w:val="32"/>
        </w:rPr>
        <w:t>200mm</w:t>
      </w:r>
      <w:r w:rsidRPr="002E1B34">
        <w:rPr>
          <w:rFonts w:ascii="仿宋_GB2312" w:eastAsia="仿宋_GB2312" w:hAnsi="仿宋" w:cs="方正仿宋_GBK" w:hint="eastAsia"/>
          <w:kern w:val="0"/>
          <w:sz w:val="32"/>
          <w:szCs w:val="32"/>
        </w:rPr>
        <w:t>硅外延片的生产工艺、质量控制、采购及销售管理有重要的指导作用，其实施在一定程度上带动了国内上游半导体配套原材料企业的</w:t>
      </w:r>
      <w:r w:rsidRPr="002E1B34">
        <w:rPr>
          <w:rFonts w:ascii="仿宋_GB2312" w:eastAsia="仿宋_GB2312" w:hAnsi="仿宋" w:cs="方正仿宋_GBK" w:hint="eastAsia"/>
          <w:kern w:val="0"/>
          <w:sz w:val="32"/>
          <w:szCs w:val="32"/>
        </w:rPr>
        <w:lastRenderedPageBreak/>
        <w:t>技术进步，也有利于国内下游芯片企业的国产化供应链安全。《硅外延层晶体完整性检验方法 腐蚀法》国家标准的修订，提高和规范国内半导体硅材料缺陷检验的技术进步，特别是增加了无铬腐蚀缺陷方法，填补了国内相关检测技术的空白。</w:t>
      </w:r>
    </w:p>
    <w:p w:rsidR="00413246" w:rsidRPr="002E1B34" w:rsidRDefault="00413246" w:rsidP="00413246">
      <w:pPr>
        <w:spacing w:beforeLines="50"/>
        <w:ind w:firstLineChars="200" w:firstLine="640"/>
        <w:rPr>
          <w:rFonts w:ascii="黑体" w:eastAsia="黑体" w:hAnsi="黑体"/>
          <w:sz w:val="32"/>
          <w:szCs w:val="32"/>
        </w:rPr>
      </w:pPr>
      <w:r w:rsidRPr="002E1B34">
        <w:rPr>
          <w:rFonts w:ascii="黑体" w:eastAsia="黑体" w:hAnsi="黑体" w:hint="eastAsia"/>
          <w:sz w:val="32"/>
          <w:szCs w:val="32"/>
        </w:rPr>
        <w:t>3.水利部交通运输部国家能源局南京水利科学研究院，制定实施《水库大坝安全评价导则》获得中国标准创新贡献奖</w:t>
      </w:r>
      <w:r>
        <w:rPr>
          <w:rFonts w:ascii="黑体" w:eastAsia="黑体" w:hAnsi="黑体" w:hint="eastAsia"/>
          <w:sz w:val="32"/>
          <w:szCs w:val="32"/>
        </w:rPr>
        <w:t>二等奖</w:t>
      </w:r>
    </w:p>
    <w:p w:rsidR="00413246" w:rsidRPr="002E1B34" w:rsidRDefault="00413246" w:rsidP="00413246">
      <w:pPr>
        <w:ind w:firstLineChars="200" w:firstLine="640"/>
        <w:rPr>
          <w:rFonts w:ascii="仿宋_GB2312" w:eastAsia="仿宋_GB2312" w:hAnsi="仿宋" w:cs="方正仿宋_GBK"/>
          <w:kern w:val="0"/>
          <w:sz w:val="32"/>
          <w:szCs w:val="32"/>
        </w:rPr>
      </w:pPr>
      <w:r w:rsidRPr="002E1B34">
        <w:rPr>
          <w:rFonts w:ascii="仿宋_GB2312" w:eastAsia="仿宋_GB2312" w:hAnsi="仿宋" w:cs="方正仿宋_GBK" w:hint="eastAsia"/>
          <w:kern w:val="0"/>
          <w:sz w:val="32"/>
          <w:szCs w:val="32"/>
        </w:rPr>
        <w:t>《水库大坝安全评价导则》是我国首部针对已建水库大坝安全制定的技术标准，该标准规定了水库大坝实行定期安全鉴定制度，明确了水库大坝安全评价技术路线、评价内容、评价方法等，根据评价结论开展水库大坝运行维护、除险加固等。该标准首次构建了适合中国国情、适应变化环境和全生命周期、工程措施和非工程并重的水库大坝安全评价技术体系，全国水库大坝基本都按标准开展过安全评价，为消除水库大坝工程安全隐患发挥了重要作用。该标准被水利部选为首批翻译成英文的水利行业技术标准，推向国际。标准在保障南京市水库大坝安全运行方面也发挥了重要作用。</w:t>
      </w:r>
    </w:p>
    <w:p w:rsidR="00413246" w:rsidRPr="002E1B34" w:rsidRDefault="00413246" w:rsidP="00413246">
      <w:pPr>
        <w:ind w:firstLineChars="200" w:firstLine="640"/>
        <w:rPr>
          <w:rFonts w:ascii="仿宋_GB2312" w:eastAsia="仿宋_GB2312" w:hAnsi="仿宋" w:cs="方正仿宋_GBK"/>
          <w:kern w:val="0"/>
          <w:sz w:val="32"/>
          <w:szCs w:val="32"/>
        </w:rPr>
      </w:pPr>
    </w:p>
    <w:p w:rsidR="00413246" w:rsidRPr="002E1B34" w:rsidRDefault="00413246" w:rsidP="00413246">
      <w:pPr>
        <w:spacing w:beforeLines="50"/>
        <w:ind w:firstLineChars="200" w:firstLine="640"/>
        <w:rPr>
          <w:rFonts w:ascii="黑体" w:eastAsia="黑体" w:hAnsi="黑体"/>
          <w:sz w:val="32"/>
          <w:szCs w:val="32"/>
        </w:rPr>
      </w:pPr>
      <w:r w:rsidRPr="002E1B34">
        <w:rPr>
          <w:rFonts w:ascii="黑体" w:eastAsia="黑体" w:hAnsi="黑体" w:hint="eastAsia"/>
          <w:sz w:val="32"/>
          <w:szCs w:val="32"/>
        </w:rPr>
        <w:t>4.国电南瑞科技股份有限公司，制定实施《电力系统实时动态监测系统数据接口规范》等14项国家标准获得中国标准创新贡献奖</w:t>
      </w:r>
      <w:r>
        <w:rPr>
          <w:rFonts w:ascii="黑体" w:eastAsia="黑体" w:hAnsi="黑体" w:hint="eastAsia"/>
          <w:sz w:val="32"/>
          <w:szCs w:val="32"/>
        </w:rPr>
        <w:t>二等奖</w:t>
      </w:r>
    </w:p>
    <w:p w:rsidR="00413246" w:rsidRPr="002E1B34" w:rsidRDefault="00413246" w:rsidP="00413246">
      <w:pPr>
        <w:ind w:firstLineChars="200" w:firstLine="640"/>
        <w:rPr>
          <w:rFonts w:ascii="仿宋_GB2312" w:eastAsia="仿宋_GB2312" w:hAnsi="仿宋" w:cs="方正仿宋_GBK"/>
          <w:kern w:val="0"/>
          <w:sz w:val="32"/>
          <w:szCs w:val="32"/>
        </w:rPr>
      </w:pPr>
      <w:r w:rsidRPr="002E1B34">
        <w:rPr>
          <w:rFonts w:ascii="仿宋_GB2312" w:eastAsia="仿宋_GB2312" w:hAnsi="仿宋" w:cs="方正仿宋_GBK" w:hint="eastAsia"/>
          <w:kern w:val="0"/>
          <w:sz w:val="32"/>
          <w:szCs w:val="32"/>
        </w:rPr>
        <w:t>《电力系统实时动态监测系统数据接口规范》等</w:t>
      </w:r>
      <w:r w:rsidRPr="002E1B34">
        <w:rPr>
          <w:rFonts w:ascii="仿宋_GB2312" w:eastAsia="仿宋_GB2312" w:hAnsi="Times New Roman" w:hint="eastAsia"/>
          <w:sz w:val="32"/>
          <w:szCs w:val="32"/>
        </w:rPr>
        <w:t>14</w:t>
      </w:r>
      <w:r w:rsidRPr="002E1B34">
        <w:rPr>
          <w:rFonts w:ascii="仿宋_GB2312" w:eastAsia="仿宋_GB2312" w:hAnsi="仿宋" w:cs="方正仿宋_GBK" w:hint="eastAsia"/>
          <w:kern w:val="0"/>
          <w:sz w:val="32"/>
          <w:szCs w:val="32"/>
        </w:rPr>
        <w:t>项</w:t>
      </w:r>
      <w:r w:rsidRPr="002E1B34">
        <w:rPr>
          <w:rFonts w:ascii="仿宋_GB2312" w:eastAsia="仿宋_GB2312" w:hAnsi="仿宋" w:cs="方正仿宋_GBK" w:hint="eastAsia"/>
          <w:kern w:val="0"/>
          <w:sz w:val="32"/>
          <w:szCs w:val="32"/>
        </w:rPr>
        <w:lastRenderedPageBreak/>
        <w:t>国家标准首次完整深入地构建了电力系统时间同步及同步相量测量系统标准，解决了传统电网监测手段存在的采集速率低、精度差、不同监测点数据不同步等严重缺陷，规范了电力系统量测数据精确同步和扰动振荡过程相量精确量测，实现低频振荡实时在线分析与振荡源定位，通过开展动态安全预警和解列控制，避免了连锁故障的发生。系列标准的部分内容被</w:t>
      </w:r>
      <w:r w:rsidRPr="002E1B34">
        <w:rPr>
          <w:rFonts w:ascii="仿宋_GB2312" w:eastAsia="仿宋_GB2312" w:hAnsi="Times New Roman" w:hint="eastAsia"/>
          <w:sz w:val="32"/>
          <w:szCs w:val="32"/>
        </w:rPr>
        <w:t>IEC/IEEE 60255-118-1</w:t>
      </w:r>
      <w:r w:rsidRPr="002E1B34">
        <w:rPr>
          <w:rFonts w:ascii="仿宋_GB2312" w:eastAsia="仿宋_GB2312" w:hAnsi="仿宋" w:cs="方正仿宋_GBK" w:hint="eastAsia"/>
          <w:kern w:val="0"/>
          <w:sz w:val="32"/>
          <w:szCs w:val="32"/>
        </w:rPr>
        <w:t>采纳，已成为国际范围适用的主要条款，提升了我国标准的国际影响力。</w:t>
      </w:r>
    </w:p>
    <w:p w:rsidR="00413246" w:rsidRPr="002E1B34" w:rsidRDefault="00413246" w:rsidP="00413246">
      <w:pPr>
        <w:spacing w:beforeLines="50"/>
        <w:ind w:firstLineChars="200" w:firstLine="640"/>
        <w:rPr>
          <w:rFonts w:ascii="黑体" w:eastAsia="黑体" w:hAnsi="黑体"/>
          <w:sz w:val="32"/>
          <w:szCs w:val="32"/>
        </w:rPr>
      </w:pPr>
      <w:r w:rsidRPr="002E1B34">
        <w:rPr>
          <w:rFonts w:ascii="黑体" w:eastAsia="黑体" w:hAnsi="黑体" w:hint="eastAsia"/>
          <w:sz w:val="32"/>
          <w:szCs w:val="32"/>
        </w:rPr>
        <w:tab/>
        <w:t>5.中车南京浦镇车辆有限公司，承担江苏省城市轨道交通车辆战略性新兴产业标准化试点</w:t>
      </w:r>
    </w:p>
    <w:p w:rsidR="00413246" w:rsidRPr="002E1B34" w:rsidRDefault="00413246" w:rsidP="00413246">
      <w:pPr>
        <w:ind w:firstLineChars="200" w:firstLine="640"/>
        <w:rPr>
          <w:rFonts w:ascii="仿宋_GB2312" w:eastAsia="仿宋_GB2312" w:hAnsi="仿宋" w:cs="方正仿宋_GBK"/>
          <w:kern w:val="0"/>
          <w:sz w:val="32"/>
          <w:szCs w:val="32"/>
        </w:rPr>
      </w:pPr>
      <w:r w:rsidRPr="002E1B34">
        <w:rPr>
          <w:rFonts w:ascii="仿宋_GB2312" w:eastAsia="仿宋_GB2312" w:hAnsi="仿宋" w:cs="方正仿宋_GBK" w:hint="eastAsia"/>
          <w:kern w:val="0"/>
          <w:sz w:val="32"/>
          <w:szCs w:val="32"/>
        </w:rPr>
        <w:t>该公司依托江苏省城市轨道交通车辆战略性新兴产业标准化试点项目，组织技术专家编制了完整的城市轨道车辆系列企业标准，将科技攻关成果、关键试验数据、部分专利转化成企业标准，部分企业标准升级为集团标准，行业标准、团体标准。构建了完整的模块化设计体系，建立了模块化架构和模块库，搭建了模块化的设计共享平台，有力地提高了产品成熟度和质量稳定性，降低了车辆研制成本。主导起草城市轨道交通车辆 相关国家标准，指导新型节能型城轨车辆设计、制造、试验等，填补了国内相关标准的空白，达到了国际先进水平。</w:t>
      </w:r>
    </w:p>
    <w:p w:rsidR="00413246" w:rsidRPr="002E1B34" w:rsidRDefault="00413246" w:rsidP="00413246">
      <w:pPr>
        <w:spacing w:beforeLines="50"/>
        <w:ind w:firstLineChars="200" w:firstLine="640"/>
        <w:rPr>
          <w:rFonts w:ascii="黑体" w:eastAsia="黑体" w:hAnsi="黑体"/>
          <w:sz w:val="32"/>
          <w:szCs w:val="32"/>
        </w:rPr>
      </w:pPr>
      <w:r w:rsidRPr="002E1B34">
        <w:rPr>
          <w:rFonts w:ascii="黑体" w:eastAsia="黑体" w:hAnsi="黑体" w:hint="eastAsia"/>
          <w:sz w:val="32"/>
          <w:szCs w:val="32"/>
        </w:rPr>
        <w:t>6.南京东利来光电实业有限责任公司，主导制定实施《显微镜 物镜》国家标准</w:t>
      </w:r>
    </w:p>
    <w:p w:rsidR="00413246" w:rsidRPr="002E1B34" w:rsidRDefault="00413246" w:rsidP="00413246">
      <w:pPr>
        <w:ind w:firstLineChars="200" w:firstLine="640"/>
        <w:rPr>
          <w:rFonts w:ascii="仿宋_GB2312" w:eastAsia="仿宋_GB2312" w:hAnsi="仿宋" w:cs="方正仿宋_GBK"/>
          <w:kern w:val="0"/>
          <w:sz w:val="32"/>
          <w:szCs w:val="32"/>
        </w:rPr>
      </w:pPr>
      <w:r w:rsidRPr="002E1B34">
        <w:rPr>
          <w:rFonts w:ascii="仿宋_GB2312" w:eastAsia="仿宋_GB2312" w:hAnsi="仿宋" w:cs="方正仿宋_GBK" w:hint="eastAsia"/>
          <w:kern w:val="0"/>
          <w:sz w:val="32"/>
          <w:szCs w:val="32"/>
        </w:rPr>
        <w:lastRenderedPageBreak/>
        <w:t>显微镜广泛运用于集成电路、芯片制造检测、智能制造装备、关键零部件检测、基因检测等行业，《显微镜 物镜》国家标准的实施，助力提升产品的技术与工艺，促进产业向价值链中高端发展，既推动了一批南京光电企业的发展，也为南京市主导产业添砖加瓦。东利来公司除了主导制定了《显微镜 物镜》国家标准，同时也主导或参与制定了多项显微系统和部件国家标准。</w:t>
      </w:r>
    </w:p>
    <w:p w:rsidR="00413246" w:rsidRPr="002E1B34" w:rsidRDefault="00413246" w:rsidP="00413246">
      <w:pPr>
        <w:spacing w:beforeLines="50"/>
        <w:ind w:firstLineChars="200" w:firstLine="640"/>
        <w:rPr>
          <w:rFonts w:ascii="黑体" w:eastAsia="黑体" w:hAnsi="黑体"/>
          <w:sz w:val="32"/>
          <w:szCs w:val="32"/>
        </w:rPr>
      </w:pPr>
      <w:r w:rsidRPr="002E1B34">
        <w:rPr>
          <w:rFonts w:ascii="黑体" w:eastAsia="黑体" w:hAnsi="黑体" w:hint="eastAsia"/>
          <w:sz w:val="32"/>
          <w:szCs w:val="32"/>
        </w:rPr>
        <w:t>7.水利部水文仪器及岩土工程仪器质量监督检验测试中心，主导制定实施《水文仪器基本参数及通用技术条件》等10项国家标准</w:t>
      </w:r>
    </w:p>
    <w:p w:rsidR="00413246" w:rsidRPr="002E1B34" w:rsidRDefault="00413246" w:rsidP="00413246">
      <w:pPr>
        <w:rPr>
          <w:rFonts w:ascii="仿宋_GB2312" w:eastAsia="仿宋_GB2312" w:hAnsi="仿宋" w:cs="方正仿宋_GBK"/>
          <w:kern w:val="0"/>
          <w:sz w:val="32"/>
          <w:szCs w:val="32"/>
        </w:rPr>
      </w:pPr>
      <w:r w:rsidRPr="002E1B34">
        <w:rPr>
          <w:rFonts w:ascii="仿宋_GB2312" w:eastAsia="仿宋_GB2312" w:hAnsi="仿宋" w:cs="方正仿宋_GBK" w:hint="eastAsia"/>
          <w:kern w:val="0"/>
          <w:sz w:val="32"/>
          <w:szCs w:val="32"/>
        </w:rPr>
        <w:t xml:space="preserve">  《水文仪器基本参数及通用技术条件》等</w:t>
      </w:r>
      <w:r w:rsidRPr="002E1B34">
        <w:rPr>
          <w:rFonts w:ascii="仿宋_GB2312" w:eastAsia="仿宋_GB2312" w:hAnsi="Times New Roman" w:hint="eastAsia"/>
          <w:sz w:val="32"/>
          <w:szCs w:val="32"/>
        </w:rPr>
        <w:t>10</w:t>
      </w:r>
      <w:r w:rsidRPr="002E1B34">
        <w:rPr>
          <w:rFonts w:ascii="仿宋_GB2312" w:eastAsia="仿宋_GB2312" w:hAnsi="仿宋" w:cs="方正仿宋_GBK" w:hint="eastAsia"/>
          <w:kern w:val="0"/>
          <w:sz w:val="32"/>
          <w:szCs w:val="32"/>
        </w:rPr>
        <w:t>项国家标准是“基础通用性标准+专用标准”的组合，对水文、岩土各类监测测量仪器进行规范，为产品的生产、应用、行业管理等提供了技术支撑，也对新产品研制、技术创新有指导作用。系列标准在水文仪器及岩土仪器产品应用领域达到国际领先水平。标准的实施在保障南京市水文监测、大坝安全监测、水资源管理、村镇饮水安全管理、生态环境治理等方面发挥了重要作用。</w:t>
      </w:r>
    </w:p>
    <w:p w:rsidR="00413246" w:rsidRPr="002E1B34" w:rsidRDefault="00413246" w:rsidP="00413246">
      <w:pPr>
        <w:spacing w:beforeLines="50"/>
        <w:ind w:firstLineChars="200" w:firstLine="640"/>
        <w:rPr>
          <w:rFonts w:ascii="黑体" w:eastAsia="黑体" w:hAnsi="黑体"/>
          <w:sz w:val="32"/>
          <w:szCs w:val="32"/>
        </w:rPr>
      </w:pPr>
      <w:r w:rsidRPr="002E1B34">
        <w:rPr>
          <w:rFonts w:ascii="黑体" w:eastAsia="黑体" w:hAnsi="黑体" w:hint="eastAsia"/>
          <w:sz w:val="32"/>
          <w:szCs w:val="32"/>
        </w:rPr>
        <w:t>8.南京农业大学，主导制定实施《托盘共用系统管理规范》国家标准</w:t>
      </w:r>
    </w:p>
    <w:p w:rsidR="00413246" w:rsidRPr="002E1B34" w:rsidRDefault="00413246" w:rsidP="00413246">
      <w:pPr>
        <w:ind w:firstLineChars="200" w:firstLine="640"/>
        <w:rPr>
          <w:rFonts w:ascii="仿宋_GB2312" w:eastAsia="仿宋_GB2312" w:hAnsi="Times New Roman"/>
          <w:sz w:val="32"/>
          <w:szCs w:val="32"/>
        </w:rPr>
      </w:pPr>
      <w:r w:rsidRPr="002E1B34">
        <w:rPr>
          <w:rFonts w:ascii="仿宋_GB2312" w:eastAsia="仿宋_GB2312" w:hAnsi="仿宋" w:cs="方正仿宋_GBK" w:hint="eastAsia"/>
          <w:kern w:val="0"/>
          <w:sz w:val="32"/>
          <w:szCs w:val="32"/>
        </w:rPr>
        <w:t>《托盘共用系统管理规范》国家标准,在广泛调研和科学计算的基础上，统一循环共用托盘的规格尺寸，规定平台</w:t>
      </w:r>
      <w:r w:rsidRPr="002E1B34">
        <w:rPr>
          <w:rFonts w:ascii="仿宋_GB2312" w:eastAsia="仿宋_GB2312" w:hAnsi="仿宋" w:cs="方正仿宋_GBK" w:hint="eastAsia"/>
          <w:kern w:val="0"/>
          <w:sz w:val="32"/>
          <w:szCs w:val="32"/>
        </w:rPr>
        <w:lastRenderedPageBreak/>
        <w:t>与客户之间的权责关系，对托盘营运管理信息平台的数据采集、传输、关联、统计和共享等进行详细规定，为降低商品流通费用、促进物流产业数字化运作和智能化管理奠定了基础。该标准的实施还推动了道路车辆外廓尺寸的修订和内陆集装箱国家标准的制定，以适合车厢和集装箱内并排放置两个标准化托盘货物，提高物流运作效率。</w:t>
      </w:r>
    </w:p>
    <w:p w:rsidR="004857B4" w:rsidRPr="00413246" w:rsidRDefault="004857B4"/>
    <w:sectPr w:rsidR="004857B4" w:rsidRPr="004132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7B4" w:rsidRDefault="004857B4" w:rsidP="00413246">
      <w:r>
        <w:separator/>
      </w:r>
    </w:p>
  </w:endnote>
  <w:endnote w:type="continuationSeparator" w:id="1">
    <w:p w:rsidR="004857B4" w:rsidRDefault="004857B4" w:rsidP="004132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7B4" w:rsidRDefault="004857B4" w:rsidP="00413246">
      <w:r>
        <w:separator/>
      </w:r>
    </w:p>
  </w:footnote>
  <w:footnote w:type="continuationSeparator" w:id="1">
    <w:p w:rsidR="004857B4" w:rsidRDefault="004857B4" w:rsidP="004132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3246"/>
    <w:rsid w:val="00413246"/>
    <w:rsid w:val="004857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4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32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13246"/>
    <w:rPr>
      <w:sz w:val="18"/>
      <w:szCs w:val="18"/>
    </w:rPr>
  </w:style>
  <w:style w:type="paragraph" w:styleId="a4">
    <w:name w:val="footer"/>
    <w:basedOn w:val="a"/>
    <w:link w:val="Char0"/>
    <w:uiPriority w:val="99"/>
    <w:semiHidden/>
    <w:unhideWhenUsed/>
    <w:rsid w:val="004132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1324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bzh</dc:creator>
  <cp:keywords/>
  <dc:description/>
  <cp:lastModifiedBy>bzh</cp:lastModifiedBy>
  <cp:revision>2</cp:revision>
  <dcterms:created xsi:type="dcterms:W3CDTF">2022-03-03T02:53:00Z</dcterms:created>
  <dcterms:modified xsi:type="dcterms:W3CDTF">2022-03-03T02:53:00Z</dcterms:modified>
</cp:coreProperties>
</file>