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75" w:rsidRDefault="002B0E75" w:rsidP="002B0E75">
      <w:pPr>
        <w:spacing w:line="580" w:lineRule="exact"/>
        <w:jc w:val="left"/>
        <w:rPr>
          <w:rFonts w:ascii="方正黑体_GBK" w:eastAsia="方正黑体_GBK"/>
          <w:sz w:val="30"/>
          <w:szCs w:val="30"/>
        </w:rPr>
      </w:pPr>
      <w:r>
        <w:rPr>
          <w:rFonts w:ascii="方正黑体_GBK" w:eastAsia="方正黑体_GBK" w:hint="eastAsia"/>
          <w:sz w:val="30"/>
          <w:szCs w:val="30"/>
        </w:rPr>
        <w:t>附件：</w:t>
      </w:r>
    </w:p>
    <w:p w:rsidR="002B0E75" w:rsidRPr="002B0E75" w:rsidRDefault="002B0E75" w:rsidP="002B0E75">
      <w:pPr>
        <w:spacing w:line="580" w:lineRule="exact"/>
        <w:jc w:val="left"/>
        <w:rPr>
          <w:rFonts w:ascii="方正黑体_GBK" w:eastAsia="方正黑体_GBK"/>
          <w:sz w:val="39"/>
          <w:szCs w:val="30"/>
        </w:rPr>
      </w:pPr>
    </w:p>
    <w:p w:rsidR="002B0E75" w:rsidRDefault="002B0E75" w:rsidP="002B0E75">
      <w:pPr>
        <w:spacing w:line="640" w:lineRule="exact"/>
        <w:jc w:val="center"/>
        <w:rPr>
          <w:rFonts w:ascii="方正小标宋_GBK" w:eastAsia="方正小标宋_GBK" w:cs="方正仿宋_GBK"/>
          <w:snapToGrid w:val="0"/>
          <w:sz w:val="39"/>
          <w:szCs w:val="32"/>
        </w:rPr>
      </w:pPr>
      <w:r w:rsidRPr="002B0E75">
        <w:rPr>
          <w:rFonts w:ascii="方正小标宋_GBK" w:eastAsia="方正小标宋_GBK" w:cs="方正仿宋_GBK" w:hint="eastAsia"/>
          <w:snapToGrid w:val="0"/>
          <w:sz w:val="39"/>
          <w:szCs w:val="32"/>
        </w:rPr>
        <w:t>盐城大市区2022年申报省基础研究计划</w:t>
      </w:r>
      <w:r w:rsidRPr="002B0E75">
        <w:rPr>
          <w:rFonts w:ascii="方正小标宋_GBK" w:eastAsia="方正小标宋_GBK" w:cs="方正仿宋_GBK" w:hint="eastAsia"/>
          <w:snapToGrid w:val="0"/>
          <w:color w:val="000000" w:themeColor="text1"/>
          <w:sz w:val="39"/>
          <w:szCs w:val="32"/>
        </w:rPr>
        <w:t>（社会发展）</w:t>
      </w:r>
    </w:p>
    <w:p w:rsidR="002B0E75" w:rsidRPr="002B0E75" w:rsidRDefault="002B0E75" w:rsidP="002B0E75">
      <w:pPr>
        <w:spacing w:line="640" w:lineRule="exact"/>
        <w:jc w:val="center"/>
        <w:rPr>
          <w:rFonts w:ascii="方正小标宋_GBK" w:eastAsia="方正小标宋_GBK" w:cs="方正仿宋_GBK"/>
          <w:snapToGrid w:val="0"/>
          <w:sz w:val="39"/>
          <w:szCs w:val="32"/>
        </w:rPr>
      </w:pPr>
      <w:r w:rsidRPr="002B0E75">
        <w:rPr>
          <w:rFonts w:ascii="方正小标宋_GBK" w:eastAsia="方正小标宋_GBK" w:cs="方正仿宋_GBK" w:hint="eastAsia"/>
          <w:snapToGrid w:val="0"/>
          <w:sz w:val="39"/>
          <w:szCs w:val="32"/>
        </w:rPr>
        <w:t>项目清单</w:t>
      </w:r>
    </w:p>
    <w:p w:rsidR="002B0E75" w:rsidRPr="002B0E75" w:rsidRDefault="002B0E75" w:rsidP="002B0E75">
      <w:pPr>
        <w:spacing w:line="360" w:lineRule="exact"/>
        <w:jc w:val="center"/>
        <w:rPr>
          <w:rFonts w:ascii="方正仿宋_GBK" w:eastAsia="方正仿宋_GBK" w:cs="方正仿宋_GBK"/>
          <w:snapToGrid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930"/>
        <w:gridCol w:w="3434"/>
      </w:tblGrid>
      <w:tr w:rsidR="002B0E75" w:rsidTr="002B0E75">
        <w:trPr>
          <w:trHeight w:hRule="exact" w:val="737"/>
          <w:jc w:val="center"/>
        </w:trPr>
        <w:tc>
          <w:tcPr>
            <w:tcW w:w="882" w:type="dxa"/>
            <w:vAlign w:val="center"/>
          </w:tcPr>
          <w:p w:rsidR="002B0E75" w:rsidRPr="002B0E75" w:rsidRDefault="002B0E75" w:rsidP="002B0E75">
            <w:pPr>
              <w:spacing w:line="360" w:lineRule="exact"/>
              <w:jc w:val="center"/>
              <w:rPr>
                <w:rFonts w:ascii="方正黑体_GBK" w:eastAsia="方正黑体_GBK" w:cs="方正仿宋_GBK"/>
                <w:snapToGrid w:val="0"/>
                <w:sz w:val="28"/>
                <w:szCs w:val="28"/>
              </w:rPr>
            </w:pPr>
            <w:r>
              <w:rPr>
                <w:rFonts w:ascii="方正黑体_GBK" w:eastAsia="方正黑体_GBK" w:cs="方正仿宋_GBK" w:hint="eastAsia"/>
                <w:snapToGrid w:val="0"/>
                <w:sz w:val="28"/>
                <w:szCs w:val="28"/>
              </w:rPr>
              <w:t>序号</w:t>
            </w:r>
          </w:p>
        </w:tc>
        <w:tc>
          <w:tcPr>
            <w:tcW w:w="4930" w:type="dxa"/>
            <w:vAlign w:val="center"/>
          </w:tcPr>
          <w:p w:rsidR="002B0E75" w:rsidRPr="002B0E75" w:rsidRDefault="002B0E75" w:rsidP="002B0E75">
            <w:pPr>
              <w:spacing w:line="360" w:lineRule="exact"/>
              <w:jc w:val="center"/>
              <w:rPr>
                <w:rFonts w:ascii="方正黑体_GBK" w:eastAsia="方正黑体_GBK" w:cs="方正仿宋_GBK"/>
                <w:snapToGrid w:val="0"/>
                <w:sz w:val="28"/>
                <w:szCs w:val="28"/>
              </w:rPr>
            </w:pPr>
            <w:r>
              <w:rPr>
                <w:rFonts w:ascii="方正黑体_GBK" w:eastAsia="方正黑体_GBK" w:cs="方正仿宋_GBK" w:hint="eastAsia"/>
                <w:snapToGrid w:val="0"/>
                <w:sz w:val="28"/>
                <w:szCs w:val="28"/>
              </w:rPr>
              <w:t>项目名称</w:t>
            </w:r>
          </w:p>
        </w:tc>
        <w:tc>
          <w:tcPr>
            <w:tcW w:w="3434" w:type="dxa"/>
            <w:vAlign w:val="center"/>
          </w:tcPr>
          <w:p w:rsidR="002B0E75" w:rsidRPr="002B0E75" w:rsidRDefault="002B0E75" w:rsidP="002B0E75">
            <w:pPr>
              <w:spacing w:line="360" w:lineRule="exact"/>
              <w:jc w:val="center"/>
              <w:rPr>
                <w:rFonts w:ascii="方正黑体_GBK" w:eastAsia="方正黑体_GBK" w:cs="方正仿宋_GBK"/>
                <w:snapToGrid w:val="0"/>
                <w:sz w:val="28"/>
                <w:szCs w:val="28"/>
              </w:rPr>
            </w:pPr>
            <w:r>
              <w:rPr>
                <w:rFonts w:ascii="方正黑体_GBK" w:eastAsia="方正黑体_GBK" w:cs="方正仿宋_GBK" w:hint="eastAsia"/>
                <w:snapToGrid w:val="0"/>
                <w:sz w:val="28"/>
                <w:szCs w:val="28"/>
              </w:rPr>
              <w:t>承担单位</w:t>
            </w:r>
          </w:p>
        </w:tc>
      </w:tr>
      <w:tr w:rsidR="002B0E75" w:rsidTr="002B0E75">
        <w:trPr>
          <w:trHeight w:hRule="exact" w:val="737"/>
          <w:jc w:val="center"/>
        </w:trPr>
        <w:tc>
          <w:tcPr>
            <w:tcW w:w="882" w:type="dxa"/>
            <w:vAlign w:val="center"/>
          </w:tcPr>
          <w:p w:rsidR="002B0E75" w:rsidRDefault="002B0E75" w:rsidP="002B0E75">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1</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基于前列腺源的精液</w:t>
            </w:r>
            <w:proofErr w:type="gramStart"/>
            <w:r w:rsidRPr="002B0E75">
              <w:rPr>
                <w:rFonts w:ascii="方正仿宋_GBK" w:eastAsia="方正仿宋_GBK" w:hAnsi="等线" w:hint="eastAsia"/>
                <w:color w:val="000000"/>
                <w:sz w:val="24"/>
                <w:szCs w:val="28"/>
              </w:rPr>
              <w:t>不</w:t>
            </w:r>
            <w:proofErr w:type="gramEnd"/>
            <w:r w:rsidRPr="002B0E75">
              <w:rPr>
                <w:rFonts w:ascii="方正仿宋_GBK" w:eastAsia="方正仿宋_GBK" w:hAnsi="等线" w:hint="eastAsia"/>
                <w:color w:val="000000"/>
                <w:sz w:val="24"/>
                <w:szCs w:val="28"/>
              </w:rPr>
              <w:t>液化大鼠模型制备</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盐城市中医院</w:t>
            </w:r>
          </w:p>
        </w:tc>
      </w:tr>
      <w:tr w:rsidR="002B0E75" w:rsidTr="002B0E75">
        <w:trPr>
          <w:trHeight w:hRule="exact" w:val="737"/>
          <w:jc w:val="center"/>
        </w:trPr>
        <w:tc>
          <w:tcPr>
            <w:tcW w:w="882" w:type="dxa"/>
            <w:vAlign w:val="center"/>
          </w:tcPr>
          <w:p w:rsidR="002B0E75" w:rsidRDefault="002B0E75" w:rsidP="002B0E75">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2</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基于危机管理理论的新冠疫情定点医院常态化防控实践及启示</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盐城市第三人民医院</w:t>
            </w:r>
          </w:p>
        </w:tc>
      </w:tr>
      <w:tr w:rsidR="002B0E75" w:rsidTr="002B0E75">
        <w:trPr>
          <w:trHeight w:hRule="exact" w:val="737"/>
          <w:jc w:val="center"/>
        </w:trPr>
        <w:tc>
          <w:tcPr>
            <w:tcW w:w="882" w:type="dxa"/>
            <w:vAlign w:val="center"/>
          </w:tcPr>
          <w:p w:rsidR="002B0E75" w:rsidRDefault="002B0E75" w:rsidP="002B0E75">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3</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新型绿色生物酶-转氨酶产业化项目</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proofErr w:type="gramStart"/>
            <w:r w:rsidRPr="002B0E75">
              <w:rPr>
                <w:rFonts w:ascii="方正仿宋_GBK" w:eastAsia="方正仿宋_GBK" w:hAnsi="等线" w:hint="eastAsia"/>
                <w:color w:val="000000"/>
                <w:sz w:val="24"/>
                <w:szCs w:val="28"/>
              </w:rPr>
              <w:t>盐城通铭生物</w:t>
            </w:r>
            <w:proofErr w:type="gramEnd"/>
            <w:r w:rsidRPr="002B0E75">
              <w:rPr>
                <w:rFonts w:ascii="方正仿宋_GBK" w:eastAsia="方正仿宋_GBK" w:hAnsi="等线" w:hint="eastAsia"/>
                <w:color w:val="000000"/>
                <w:sz w:val="24"/>
                <w:szCs w:val="28"/>
              </w:rPr>
              <w:t>科技有限公司</w:t>
            </w:r>
          </w:p>
        </w:tc>
      </w:tr>
      <w:tr w:rsidR="002B0E75" w:rsidTr="002B0E75">
        <w:trPr>
          <w:trHeight w:hRule="exact" w:val="737"/>
          <w:jc w:val="center"/>
        </w:trPr>
        <w:tc>
          <w:tcPr>
            <w:tcW w:w="882" w:type="dxa"/>
            <w:vAlign w:val="center"/>
          </w:tcPr>
          <w:p w:rsidR="002B0E75" w:rsidRDefault="002B0E75" w:rsidP="002B0E75">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4</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基于细胞形态重塑益生性大肠杆菌</w:t>
            </w:r>
            <w:proofErr w:type="gramStart"/>
            <w:r w:rsidRPr="002B0E75">
              <w:rPr>
                <w:rFonts w:ascii="方正仿宋_GBK" w:eastAsia="方正仿宋_GBK" w:hAnsi="等线" w:hint="eastAsia"/>
                <w:color w:val="000000"/>
                <w:sz w:val="24"/>
                <w:szCs w:val="28"/>
              </w:rPr>
              <w:t>高表达抗</w:t>
            </w:r>
            <w:proofErr w:type="gramEnd"/>
            <w:r w:rsidRPr="002B0E75">
              <w:rPr>
                <w:rFonts w:ascii="方正仿宋_GBK" w:eastAsia="方正仿宋_GBK" w:hAnsi="等线" w:hint="eastAsia"/>
                <w:color w:val="000000"/>
                <w:sz w:val="24"/>
                <w:szCs w:val="28"/>
              </w:rPr>
              <w:t xml:space="preserve">PEDV </w:t>
            </w:r>
            <w:proofErr w:type="spellStart"/>
            <w:r w:rsidRPr="002B0E75">
              <w:rPr>
                <w:rFonts w:ascii="方正仿宋_GBK" w:eastAsia="方正仿宋_GBK" w:hAnsi="等线" w:hint="eastAsia"/>
                <w:color w:val="000000"/>
                <w:sz w:val="24"/>
                <w:szCs w:val="28"/>
              </w:rPr>
              <w:t>scFv</w:t>
            </w:r>
            <w:proofErr w:type="spellEnd"/>
            <w:r w:rsidRPr="002B0E75">
              <w:rPr>
                <w:rFonts w:ascii="方正仿宋_GBK" w:eastAsia="方正仿宋_GBK" w:hAnsi="等线" w:hint="eastAsia"/>
                <w:color w:val="000000"/>
                <w:sz w:val="24"/>
                <w:szCs w:val="28"/>
              </w:rPr>
              <w:t>的微生态兽药关键技术研发</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盐城师范学院</w:t>
            </w:r>
          </w:p>
        </w:tc>
      </w:tr>
      <w:tr w:rsidR="002B0E75" w:rsidTr="002B0E75">
        <w:trPr>
          <w:trHeight w:hRule="exact" w:val="737"/>
          <w:jc w:val="center"/>
        </w:trPr>
        <w:tc>
          <w:tcPr>
            <w:tcW w:w="882" w:type="dxa"/>
            <w:vAlign w:val="center"/>
          </w:tcPr>
          <w:p w:rsidR="002B0E75" w:rsidRDefault="002B0E75" w:rsidP="002B0E75">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5</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剩余污泥与餐厨垃圾协同厌氧发酵制备己</w:t>
            </w:r>
            <w:proofErr w:type="gramStart"/>
            <w:r w:rsidRPr="002B0E75">
              <w:rPr>
                <w:rFonts w:ascii="方正仿宋_GBK" w:eastAsia="方正仿宋_GBK" w:hAnsi="等线" w:hint="eastAsia"/>
                <w:color w:val="000000"/>
                <w:sz w:val="24"/>
                <w:szCs w:val="28"/>
              </w:rPr>
              <w:t>酸关键</w:t>
            </w:r>
            <w:proofErr w:type="gramEnd"/>
            <w:r w:rsidRPr="002B0E75">
              <w:rPr>
                <w:rFonts w:ascii="方正仿宋_GBK" w:eastAsia="方正仿宋_GBK" w:hAnsi="等线" w:hint="eastAsia"/>
                <w:color w:val="000000"/>
                <w:sz w:val="24"/>
                <w:szCs w:val="28"/>
              </w:rPr>
              <w:t>技术研究</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盐城师范学院</w:t>
            </w:r>
          </w:p>
        </w:tc>
      </w:tr>
      <w:tr w:rsidR="002B0E75" w:rsidTr="002B0E75">
        <w:trPr>
          <w:trHeight w:hRule="exact" w:val="737"/>
          <w:jc w:val="center"/>
        </w:trPr>
        <w:tc>
          <w:tcPr>
            <w:tcW w:w="882" w:type="dxa"/>
            <w:vAlign w:val="center"/>
          </w:tcPr>
          <w:p w:rsidR="002B0E75" w:rsidRDefault="002B0E75" w:rsidP="002B0E75">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6</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新型冠状病毒nsp1蛋白单克隆抗体的制备与应用</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盐城师范学院</w:t>
            </w:r>
          </w:p>
        </w:tc>
      </w:tr>
      <w:tr w:rsidR="002B0E75" w:rsidTr="002B0E75">
        <w:trPr>
          <w:trHeight w:hRule="exact" w:val="737"/>
          <w:jc w:val="center"/>
        </w:trPr>
        <w:tc>
          <w:tcPr>
            <w:tcW w:w="882" w:type="dxa"/>
            <w:vAlign w:val="center"/>
          </w:tcPr>
          <w:p w:rsidR="002B0E75" w:rsidRDefault="002B0E75" w:rsidP="002B0E75">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7</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面向沿海滩涂生态环境的多模态监测关键技术研究</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盐城师范学院</w:t>
            </w:r>
          </w:p>
        </w:tc>
      </w:tr>
      <w:tr w:rsidR="002B0E75" w:rsidTr="002B0E75">
        <w:trPr>
          <w:trHeight w:hRule="exact" w:val="737"/>
          <w:jc w:val="center"/>
        </w:trPr>
        <w:tc>
          <w:tcPr>
            <w:tcW w:w="882" w:type="dxa"/>
            <w:vAlign w:val="center"/>
          </w:tcPr>
          <w:p w:rsidR="002B0E75" w:rsidRDefault="002B0E75" w:rsidP="002B0E75">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8</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土壤</w:t>
            </w:r>
            <w:proofErr w:type="gramStart"/>
            <w:r w:rsidRPr="002B0E75">
              <w:rPr>
                <w:rFonts w:ascii="方正仿宋_GBK" w:eastAsia="方正仿宋_GBK" w:hAnsi="等线" w:hint="eastAsia"/>
                <w:color w:val="000000"/>
                <w:sz w:val="24"/>
                <w:szCs w:val="28"/>
              </w:rPr>
              <w:t>砷</w:t>
            </w:r>
            <w:proofErr w:type="gramEnd"/>
            <w:r w:rsidRPr="002B0E75">
              <w:rPr>
                <w:rFonts w:ascii="方正仿宋_GBK" w:eastAsia="方正仿宋_GBK" w:hAnsi="等线" w:hint="eastAsia"/>
                <w:color w:val="000000"/>
                <w:sz w:val="24"/>
                <w:szCs w:val="28"/>
              </w:rPr>
              <w:t>污染的健康风险精细化评估关键技术研究及应用</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盐城工学院</w:t>
            </w:r>
          </w:p>
        </w:tc>
      </w:tr>
      <w:tr w:rsidR="002B0E75" w:rsidTr="002B0E75">
        <w:trPr>
          <w:trHeight w:hRule="exact" w:val="737"/>
          <w:jc w:val="center"/>
        </w:trPr>
        <w:tc>
          <w:tcPr>
            <w:tcW w:w="882" w:type="dxa"/>
            <w:vAlign w:val="center"/>
          </w:tcPr>
          <w:p w:rsidR="002B0E75" w:rsidRDefault="002B0E75" w:rsidP="002B0E75">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9</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超痕量VOCs智能实时指纹识别MOFs电子</w:t>
            </w:r>
            <w:proofErr w:type="gramStart"/>
            <w:r w:rsidRPr="002B0E75">
              <w:rPr>
                <w:rFonts w:ascii="方正仿宋_GBK" w:eastAsia="方正仿宋_GBK" w:hAnsi="等线" w:hint="eastAsia"/>
                <w:color w:val="000000"/>
                <w:sz w:val="24"/>
                <w:szCs w:val="28"/>
              </w:rPr>
              <w:t>鼻</w:t>
            </w:r>
            <w:proofErr w:type="gramEnd"/>
            <w:r w:rsidRPr="002B0E75">
              <w:rPr>
                <w:rFonts w:ascii="方正仿宋_GBK" w:eastAsia="方正仿宋_GBK" w:hAnsi="等线" w:hint="eastAsia"/>
                <w:color w:val="000000"/>
                <w:sz w:val="24"/>
                <w:szCs w:val="28"/>
              </w:rPr>
              <w:t>研发</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盐城工学院</w:t>
            </w:r>
          </w:p>
        </w:tc>
      </w:tr>
      <w:tr w:rsidR="002B0E75" w:rsidTr="002B0E75">
        <w:trPr>
          <w:trHeight w:hRule="exact" w:val="737"/>
          <w:jc w:val="center"/>
        </w:trPr>
        <w:tc>
          <w:tcPr>
            <w:tcW w:w="882" w:type="dxa"/>
            <w:vAlign w:val="center"/>
          </w:tcPr>
          <w:p w:rsidR="002B0E75" w:rsidRDefault="002B0E75" w:rsidP="002B0E75">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10</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滨海碱蓬群落营造与综合利用关键技术研究与示范</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盐城工学院</w:t>
            </w:r>
          </w:p>
        </w:tc>
      </w:tr>
      <w:tr w:rsidR="002B0E75" w:rsidTr="002B0E75">
        <w:trPr>
          <w:trHeight w:hRule="exact" w:val="737"/>
          <w:jc w:val="center"/>
        </w:trPr>
        <w:tc>
          <w:tcPr>
            <w:tcW w:w="882" w:type="dxa"/>
            <w:vAlign w:val="center"/>
          </w:tcPr>
          <w:p w:rsidR="002B0E75" w:rsidRDefault="002B0E75" w:rsidP="00CD0D29">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11</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虾蟹壳绿色低碳处理和资源化利用关键技术研究</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盐城工学院</w:t>
            </w:r>
          </w:p>
        </w:tc>
      </w:tr>
      <w:tr w:rsidR="002B0E75" w:rsidTr="002B0E75">
        <w:trPr>
          <w:trHeight w:hRule="exact" w:val="737"/>
          <w:jc w:val="center"/>
        </w:trPr>
        <w:tc>
          <w:tcPr>
            <w:tcW w:w="882" w:type="dxa"/>
            <w:vAlign w:val="center"/>
          </w:tcPr>
          <w:p w:rsidR="002B0E75" w:rsidRDefault="002B0E75" w:rsidP="00CD0D29">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12</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饮用水中去除新污染物的高效活性炭研制及吸附模型开发与应用研究</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盐城工学院</w:t>
            </w:r>
          </w:p>
        </w:tc>
      </w:tr>
      <w:tr w:rsidR="002B0E75" w:rsidTr="002B0E75">
        <w:trPr>
          <w:trHeight w:hRule="exact" w:val="737"/>
          <w:jc w:val="center"/>
        </w:trPr>
        <w:tc>
          <w:tcPr>
            <w:tcW w:w="882" w:type="dxa"/>
            <w:vAlign w:val="center"/>
          </w:tcPr>
          <w:p w:rsidR="002B0E75" w:rsidRDefault="002B0E75" w:rsidP="00CD0D29">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13</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proofErr w:type="gramStart"/>
            <w:r w:rsidRPr="002B0E75">
              <w:rPr>
                <w:rFonts w:ascii="方正仿宋_GBK" w:eastAsia="方正仿宋_GBK" w:hAnsi="等线" w:hint="eastAsia"/>
                <w:color w:val="000000"/>
                <w:sz w:val="24"/>
                <w:szCs w:val="28"/>
              </w:rPr>
              <w:t>双反应活性中心类芬顿</w:t>
            </w:r>
            <w:proofErr w:type="gramEnd"/>
            <w:r w:rsidRPr="002B0E75">
              <w:rPr>
                <w:rFonts w:ascii="方正仿宋_GBK" w:eastAsia="方正仿宋_GBK" w:hAnsi="等线" w:hint="eastAsia"/>
                <w:color w:val="000000"/>
                <w:sz w:val="24"/>
                <w:szCs w:val="28"/>
              </w:rPr>
              <w:t>催化材料的开发及其在高盐有机废水治理中的应用示范</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南京大学盐城环保技术与工程研究院</w:t>
            </w:r>
          </w:p>
        </w:tc>
      </w:tr>
      <w:tr w:rsidR="002B0E75" w:rsidTr="002B0E75">
        <w:trPr>
          <w:trHeight w:hRule="exact" w:val="737"/>
          <w:jc w:val="center"/>
        </w:trPr>
        <w:tc>
          <w:tcPr>
            <w:tcW w:w="882" w:type="dxa"/>
            <w:vAlign w:val="center"/>
          </w:tcPr>
          <w:p w:rsidR="002B0E75" w:rsidRDefault="002B0E75" w:rsidP="00CD0D29">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14</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电渗析法协同深度淡化海</w:t>
            </w:r>
            <w:proofErr w:type="gramStart"/>
            <w:r w:rsidRPr="002B0E75">
              <w:rPr>
                <w:rFonts w:ascii="方正仿宋_GBK" w:eastAsia="方正仿宋_GBK" w:hAnsi="等线" w:hint="eastAsia"/>
                <w:color w:val="000000"/>
                <w:sz w:val="24"/>
                <w:szCs w:val="28"/>
              </w:rPr>
              <w:t>砂关键</w:t>
            </w:r>
            <w:proofErr w:type="gramEnd"/>
            <w:r w:rsidRPr="002B0E75">
              <w:rPr>
                <w:rFonts w:ascii="方正仿宋_GBK" w:eastAsia="方正仿宋_GBK" w:hAnsi="等线" w:hint="eastAsia"/>
                <w:color w:val="000000"/>
                <w:sz w:val="24"/>
                <w:szCs w:val="28"/>
              </w:rPr>
              <w:t>技术研究</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江苏中鼎建材集团有限公司</w:t>
            </w:r>
          </w:p>
        </w:tc>
      </w:tr>
      <w:tr w:rsidR="002B0E75" w:rsidTr="002B0E75">
        <w:trPr>
          <w:trHeight w:hRule="exact" w:val="737"/>
          <w:jc w:val="center"/>
        </w:trPr>
        <w:tc>
          <w:tcPr>
            <w:tcW w:w="882" w:type="dxa"/>
            <w:vAlign w:val="center"/>
          </w:tcPr>
          <w:p w:rsidR="002B0E75" w:rsidRDefault="002B0E75" w:rsidP="00CD0D29">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15</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滨海湿地昆虫多样性在沿海生态质量评估中的应用</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江苏沿海地区农业科学研究所</w:t>
            </w:r>
          </w:p>
        </w:tc>
      </w:tr>
      <w:tr w:rsidR="002B0E75" w:rsidTr="002B0E75">
        <w:trPr>
          <w:trHeight w:hRule="exact" w:val="737"/>
          <w:jc w:val="center"/>
        </w:trPr>
        <w:tc>
          <w:tcPr>
            <w:tcW w:w="882" w:type="dxa"/>
            <w:vAlign w:val="center"/>
          </w:tcPr>
          <w:p w:rsidR="002B0E75" w:rsidRDefault="002B0E75" w:rsidP="00CD0D29">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16</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基于</w:t>
            </w:r>
            <w:proofErr w:type="gramStart"/>
            <w:r w:rsidRPr="002B0E75">
              <w:rPr>
                <w:rFonts w:ascii="方正仿宋_GBK" w:eastAsia="方正仿宋_GBK" w:hAnsi="等线" w:hint="eastAsia"/>
                <w:color w:val="000000"/>
                <w:sz w:val="24"/>
                <w:szCs w:val="28"/>
              </w:rPr>
              <w:t>滩涂固碳增汇</w:t>
            </w:r>
            <w:proofErr w:type="gramEnd"/>
            <w:r w:rsidRPr="002B0E75">
              <w:rPr>
                <w:rFonts w:ascii="方正仿宋_GBK" w:eastAsia="方正仿宋_GBK" w:hAnsi="等线" w:hint="eastAsia"/>
                <w:color w:val="000000"/>
                <w:sz w:val="24"/>
                <w:szCs w:val="28"/>
              </w:rPr>
              <w:t>能力提升的盐地碱蓬群落构建在</w:t>
            </w:r>
            <w:proofErr w:type="gramStart"/>
            <w:r w:rsidRPr="002B0E75">
              <w:rPr>
                <w:rFonts w:ascii="方正仿宋_GBK" w:eastAsia="方正仿宋_GBK" w:hAnsi="等线" w:hint="eastAsia"/>
                <w:color w:val="000000"/>
                <w:sz w:val="24"/>
                <w:szCs w:val="28"/>
              </w:rPr>
              <w:t>退渔还</w:t>
            </w:r>
            <w:proofErr w:type="gramEnd"/>
            <w:r w:rsidRPr="002B0E75">
              <w:rPr>
                <w:rFonts w:ascii="方正仿宋_GBK" w:eastAsia="方正仿宋_GBK" w:hAnsi="等线" w:hint="eastAsia"/>
                <w:color w:val="000000"/>
                <w:sz w:val="24"/>
                <w:szCs w:val="28"/>
              </w:rPr>
              <w:t>湿区的应用研究</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江苏盐城国家级珍禽自然保护区管理处</w:t>
            </w:r>
          </w:p>
        </w:tc>
      </w:tr>
      <w:tr w:rsidR="002B0E75" w:rsidTr="002B0E75">
        <w:trPr>
          <w:trHeight w:hRule="exact" w:val="737"/>
          <w:jc w:val="center"/>
        </w:trPr>
        <w:tc>
          <w:tcPr>
            <w:tcW w:w="882" w:type="dxa"/>
            <w:vAlign w:val="center"/>
          </w:tcPr>
          <w:p w:rsidR="002B0E75" w:rsidRDefault="002B0E75" w:rsidP="00CD0D29">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17</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绿色智能纸浆模塑包装成型设备的研发</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江苏沛阳环保设备制造有限公司</w:t>
            </w:r>
          </w:p>
        </w:tc>
      </w:tr>
      <w:tr w:rsidR="002B0E75" w:rsidTr="002B0E75">
        <w:trPr>
          <w:trHeight w:hRule="exact" w:val="737"/>
          <w:jc w:val="center"/>
        </w:trPr>
        <w:tc>
          <w:tcPr>
            <w:tcW w:w="882" w:type="dxa"/>
            <w:vAlign w:val="center"/>
          </w:tcPr>
          <w:p w:rsidR="002B0E75" w:rsidRDefault="002B0E75" w:rsidP="00CD0D29">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18</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农化废盐高效洁净处理及资源化利用技术研究</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江苏丰山集团股份有限公司</w:t>
            </w:r>
          </w:p>
        </w:tc>
      </w:tr>
      <w:tr w:rsidR="002B0E75" w:rsidTr="002B0E75">
        <w:trPr>
          <w:trHeight w:hRule="exact" w:val="737"/>
          <w:jc w:val="center"/>
        </w:trPr>
        <w:tc>
          <w:tcPr>
            <w:tcW w:w="882" w:type="dxa"/>
            <w:vAlign w:val="center"/>
          </w:tcPr>
          <w:p w:rsidR="002B0E75" w:rsidRDefault="002B0E75" w:rsidP="00CD0D29">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19</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基于</w:t>
            </w:r>
            <w:proofErr w:type="gramStart"/>
            <w:r w:rsidRPr="002B0E75">
              <w:rPr>
                <w:rFonts w:ascii="方正仿宋_GBK" w:eastAsia="方正仿宋_GBK" w:hAnsi="等线" w:hint="eastAsia"/>
                <w:color w:val="000000"/>
                <w:sz w:val="24"/>
                <w:szCs w:val="28"/>
              </w:rPr>
              <w:t>代谢组</w:t>
            </w:r>
            <w:proofErr w:type="gramEnd"/>
            <w:r w:rsidRPr="002B0E75">
              <w:rPr>
                <w:rFonts w:ascii="方正仿宋_GBK" w:eastAsia="方正仿宋_GBK" w:hAnsi="等线" w:hint="eastAsia"/>
                <w:color w:val="000000"/>
                <w:sz w:val="24"/>
                <w:szCs w:val="28"/>
              </w:rPr>
              <w:t>学的三位一体法治疗变应性鼻炎的多中心临床研究与多学科诊疗体系的建立</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盐城市中医院</w:t>
            </w:r>
          </w:p>
        </w:tc>
      </w:tr>
      <w:tr w:rsidR="002B0E75" w:rsidTr="002B0E75">
        <w:trPr>
          <w:trHeight w:hRule="exact" w:val="737"/>
          <w:jc w:val="center"/>
        </w:trPr>
        <w:tc>
          <w:tcPr>
            <w:tcW w:w="882" w:type="dxa"/>
            <w:vAlign w:val="center"/>
          </w:tcPr>
          <w:p w:rsidR="002B0E75" w:rsidRDefault="002B0E75" w:rsidP="00CD0D29">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20</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ROC1</w:t>
            </w:r>
            <w:proofErr w:type="gramStart"/>
            <w:r w:rsidRPr="002B0E75">
              <w:rPr>
                <w:rFonts w:ascii="方正仿宋_GBK" w:eastAsia="方正仿宋_GBK" w:hAnsi="等线" w:hint="eastAsia"/>
                <w:color w:val="000000"/>
                <w:sz w:val="24"/>
                <w:szCs w:val="28"/>
              </w:rPr>
              <w:t>介</w:t>
            </w:r>
            <w:proofErr w:type="gramEnd"/>
            <w:r w:rsidRPr="002B0E75">
              <w:rPr>
                <w:rFonts w:ascii="方正仿宋_GBK" w:eastAsia="方正仿宋_GBK" w:hAnsi="等线" w:hint="eastAsia"/>
                <w:color w:val="000000"/>
                <w:sz w:val="24"/>
                <w:szCs w:val="28"/>
              </w:rPr>
              <w:t>导染色质重塑促进膀胱癌进展及影响抗肿瘤免疫应答的机制研究</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盐城市第一人民医院</w:t>
            </w:r>
          </w:p>
        </w:tc>
      </w:tr>
      <w:tr w:rsidR="002B0E75" w:rsidTr="002B0E75">
        <w:trPr>
          <w:trHeight w:hRule="exact" w:val="737"/>
          <w:jc w:val="center"/>
        </w:trPr>
        <w:tc>
          <w:tcPr>
            <w:tcW w:w="882" w:type="dxa"/>
            <w:vAlign w:val="center"/>
          </w:tcPr>
          <w:p w:rsidR="002B0E75" w:rsidRDefault="002B0E75" w:rsidP="002B0E75">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21</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凝血与抗凝血动态平衡血浆蛋白标志物检测技术的研究与配套仪器的开发</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盐城市第一人民医院</w:t>
            </w:r>
          </w:p>
        </w:tc>
      </w:tr>
      <w:tr w:rsidR="002B0E75" w:rsidTr="002B0E75">
        <w:trPr>
          <w:trHeight w:hRule="exact" w:val="737"/>
          <w:jc w:val="center"/>
        </w:trPr>
        <w:tc>
          <w:tcPr>
            <w:tcW w:w="882" w:type="dxa"/>
            <w:vAlign w:val="center"/>
          </w:tcPr>
          <w:p w:rsidR="002B0E75" w:rsidRDefault="002B0E75" w:rsidP="00CD0D29">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22</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仿金属酶结构探针的设计及在肺癌早期诊断和治疗中的应用</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盐城师范学院</w:t>
            </w:r>
          </w:p>
        </w:tc>
      </w:tr>
      <w:tr w:rsidR="002B0E75" w:rsidTr="002B0E75">
        <w:trPr>
          <w:trHeight w:hRule="exact" w:val="737"/>
          <w:jc w:val="center"/>
        </w:trPr>
        <w:tc>
          <w:tcPr>
            <w:tcW w:w="882" w:type="dxa"/>
            <w:vAlign w:val="center"/>
          </w:tcPr>
          <w:p w:rsidR="002B0E75" w:rsidRDefault="002B0E75" w:rsidP="00CD0D29">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23</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基于NO供体和多烯紫杉</w:t>
            </w:r>
            <w:proofErr w:type="gramStart"/>
            <w:r w:rsidRPr="002B0E75">
              <w:rPr>
                <w:rFonts w:ascii="方正仿宋_GBK" w:eastAsia="方正仿宋_GBK" w:hAnsi="等线" w:hint="eastAsia"/>
                <w:color w:val="000000"/>
                <w:sz w:val="24"/>
                <w:szCs w:val="28"/>
              </w:rPr>
              <w:t>醇</w:t>
            </w:r>
            <w:proofErr w:type="gramEnd"/>
            <w:r w:rsidRPr="002B0E75">
              <w:rPr>
                <w:rFonts w:ascii="方正仿宋_GBK" w:eastAsia="方正仿宋_GBK" w:hAnsi="等线" w:hint="eastAsia"/>
                <w:color w:val="000000"/>
                <w:sz w:val="24"/>
                <w:szCs w:val="28"/>
              </w:rPr>
              <w:t>二聚体前药自组装纳米粒的构建及乳腺癌协同、</w:t>
            </w:r>
            <w:proofErr w:type="gramStart"/>
            <w:r w:rsidRPr="002B0E75">
              <w:rPr>
                <w:rFonts w:ascii="方正仿宋_GBK" w:eastAsia="方正仿宋_GBK" w:hAnsi="等线" w:hint="eastAsia"/>
                <w:color w:val="000000"/>
                <w:sz w:val="24"/>
                <w:szCs w:val="28"/>
              </w:rPr>
              <w:t>抗转移</w:t>
            </w:r>
            <w:proofErr w:type="gramEnd"/>
            <w:r w:rsidRPr="002B0E75">
              <w:rPr>
                <w:rFonts w:ascii="方正仿宋_GBK" w:eastAsia="方正仿宋_GBK" w:hAnsi="等线" w:hint="eastAsia"/>
                <w:color w:val="000000"/>
                <w:sz w:val="24"/>
                <w:szCs w:val="28"/>
              </w:rPr>
              <w:t>治疗研究</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盐城师范学院</w:t>
            </w:r>
          </w:p>
        </w:tc>
      </w:tr>
      <w:tr w:rsidR="002B0E75" w:rsidTr="002B0E75">
        <w:trPr>
          <w:trHeight w:hRule="exact" w:val="737"/>
          <w:jc w:val="center"/>
        </w:trPr>
        <w:tc>
          <w:tcPr>
            <w:tcW w:w="882" w:type="dxa"/>
            <w:vAlign w:val="center"/>
          </w:tcPr>
          <w:p w:rsidR="002B0E75" w:rsidRDefault="002B0E75" w:rsidP="00CD0D29">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24</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基于系列发明专利的偏瘫患者腰臀腿一体化康复机器人研制与临床应用研究</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江苏医药职业学院</w:t>
            </w:r>
          </w:p>
        </w:tc>
      </w:tr>
      <w:tr w:rsidR="002B0E75" w:rsidTr="002B0E75">
        <w:trPr>
          <w:trHeight w:hRule="exact" w:val="737"/>
          <w:jc w:val="center"/>
        </w:trPr>
        <w:tc>
          <w:tcPr>
            <w:tcW w:w="882" w:type="dxa"/>
            <w:vAlign w:val="center"/>
          </w:tcPr>
          <w:p w:rsidR="002B0E75" w:rsidRDefault="002B0E75" w:rsidP="00CD0D29">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25</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淋巴细胞亚群绝对计数与功能和非小细胞肺癌化疗患者预后的关系研究</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盐城市中医院</w:t>
            </w:r>
          </w:p>
        </w:tc>
      </w:tr>
      <w:tr w:rsidR="002B0E75" w:rsidTr="002B0E75">
        <w:trPr>
          <w:trHeight w:hRule="exact" w:val="737"/>
          <w:jc w:val="center"/>
        </w:trPr>
        <w:tc>
          <w:tcPr>
            <w:tcW w:w="882" w:type="dxa"/>
            <w:vAlign w:val="center"/>
          </w:tcPr>
          <w:p w:rsidR="002B0E75" w:rsidRDefault="002B0E75" w:rsidP="00CD0D29">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26</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仿生骨基质水凝胶的制备与应用研究</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盐城市中医院</w:t>
            </w:r>
          </w:p>
        </w:tc>
      </w:tr>
      <w:tr w:rsidR="002B0E75" w:rsidTr="002B0E75">
        <w:trPr>
          <w:trHeight w:hRule="exact" w:val="737"/>
          <w:jc w:val="center"/>
        </w:trPr>
        <w:tc>
          <w:tcPr>
            <w:tcW w:w="882" w:type="dxa"/>
            <w:vAlign w:val="center"/>
          </w:tcPr>
          <w:p w:rsidR="002B0E75" w:rsidRDefault="002B0E75" w:rsidP="00CD0D29">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27</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用于</w:t>
            </w:r>
            <w:proofErr w:type="gramStart"/>
            <w:r w:rsidRPr="002B0E75">
              <w:rPr>
                <w:rFonts w:ascii="方正仿宋_GBK" w:eastAsia="方正仿宋_GBK" w:hAnsi="等线" w:hint="eastAsia"/>
                <w:color w:val="000000"/>
                <w:sz w:val="24"/>
                <w:szCs w:val="28"/>
              </w:rPr>
              <w:t>膝</w:t>
            </w:r>
            <w:proofErr w:type="gramEnd"/>
            <w:r w:rsidRPr="002B0E75">
              <w:rPr>
                <w:rFonts w:ascii="方正仿宋_GBK" w:eastAsia="方正仿宋_GBK" w:hAnsi="等线" w:hint="eastAsia"/>
                <w:color w:val="000000"/>
                <w:sz w:val="24"/>
                <w:szCs w:val="28"/>
              </w:rPr>
              <w:t>骨关节炎治疗的智能化穿戴式经皮穴位电刺激系统设计与人体实验研究</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盐城市中医院</w:t>
            </w:r>
          </w:p>
        </w:tc>
      </w:tr>
      <w:tr w:rsidR="002B0E75" w:rsidTr="002B0E75">
        <w:trPr>
          <w:trHeight w:hRule="exact" w:val="737"/>
          <w:jc w:val="center"/>
        </w:trPr>
        <w:tc>
          <w:tcPr>
            <w:tcW w:w="882" w:type="dxa"/>
            <w:vAlign w:val="center"/>
          </w:tcPr>
          <w:p w:rsidR="002B0E75" w:rsidRDefault="002B0E75" w:rsidP="00CD0D29">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28</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参</w:t>
            </w:r>
            <w:proofErr w:type="gramStart"/>
            <w:r w:rsidRPr="002B0E75">
              <w:rPr>
                <w:rFonts w:ascii="方正仿宋_GBK" w:eastAsia="方正仿宋_GBK" w:hAnsi="等线" w:hint="eastAsia"/>
                <w:color w:val="000000"/>
                <w:sz w:val="24"/>
                <w:szCs w:val="28"/>
              </w:rPr>
              <w:t>芪苡</w:t>
            </w:r>
            <w:proofErr w:type="gramEnd"/>
            <w:r w:rsidRPr="002B0E75">
              <w:rPr>
                <w:rFonts w:ascii="方正仿宋_GBK" w:eastAsia="方正仿宋_GBK" w:hAnsi="等线" w:hint="eastAsia"/>
                <w:color w:val="000000"/>
                <w:sz w:val="24"/>
                <w:szCs w:val="28"/>
              </w:rPr>
              <w:t>术汤治疗气虚血</w:t>
            </w:r>
            <w:proofErr w:type="gramStart"/>
            <w:r w:rsidRPr="002B0E75">
              <w:rPr>
                <w:rFonts w:ascii="方正仿宋_GBK" w:eastAsia="方正仿宋_GBK" w:hAnsi="等线" w:hint="eastAsia"/>
                <w:color w:val="000000"/>
                <w:sz w:val="24"/>
                <w:szCs w:val="28"/>
              </w:rPr>
              <w:t>瘀</w:t>
            </w:r>
            <w:proofErr w:type="gramEnd"/>
            <w:r w:rsidRPr="002B0E75">
              <w:rPr>
                <w:rFonts w:ascii="方正仿宋_GBK" w:eastAsia="方正仿宋_GBK" w:hAnsi="等线" w:hint="eastAsia"/>
                <w:color w:val="000000"/>
                <w:sz w:val="24"/>
                <w:szCs w:val="28"/>
              </w:rPr>
              <w:t>型胃癌的临床与基础研究</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盐城市中医院</w:t>
            </w:r>
          </w:p>
        </w:tc>
      </w:tr>
      <w:tr w:rsidR="002B0E75" w:rsidTr="002B0E75">
        <w:trPr>
          <w:trHeight w:hRule="exact" w:val="737"/>
          <w:jc w:val="center"/>
        </w:trPr>
        <w:tc>
          <w:tcPr>
            <w:tcW w:w="882" w:type="dxa"/>
            <w:vAlign w:val="center"/>
          </w:tcPr>
          <w:p w:rsidR="002B0E75" w:rsidRDefault="002B0E75" w:rsidP="00CD0D29">
            <w:pPr>
              <w:spacing w:line="360" w:lineRule="exact"/>
              <w:jc w:val="center"/>
              <w:rPr>
                <w:rFonts w:ascii="方正仿宋_GBK" w:eastAsia="方正仿宋_GBK" w:cs="方正仿宋_GBK"/>
                <w:snapToGrid w:val="0"/>
                <w:sz w:val="28"/>
                <w:szCs w:val="28"/>
              </w:rPr>
            </w:pPr>
            <w:r>
              <w:rPr>
                <w:rFonts w:ascii="方正仿宋_GBK" w:eastAsia="方正仿宋_GBK" w:cs="方正仿宋_GBK" w:hint="eastAsia"/>
                <w:snapToGrid w:val="0"/>
                <w:sz w:val="28"/>
                <w:szCs w:val="28"/>
              </w:rPr>
              <w:t>29</w:t>
            </w:r>
          </w:p>
        </w:tc>
        <w:tc>
          <w:tcPr>
            <w:tcW w:w="4930"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B-</w:t>
            </w:r>
            <w:proofErr w:type="spellStart"/>
            <w:r w:rsidRPr="002B0E75">
              <w:rPr>
                <w:rFonts w:ascii="方正仿宋_GBK" w:eastAsia="方正仿宋_GBK" w:hAnsi="等线" w:hint="eastAsia"/>
                <w:color w:val="000000"/>
                <w:sz w:val="24"/>
                <w:szCs w:val="28"/>
              </w:rPr>
              <w:t>CorNET</w:t>
            </w:r>
            <w:proofErr w:type="spellEnd"/>
            <w:r w:rsidRPr="002B0E75">
              <w:rPr>
                <w:rFonts w:ascii="方正仿宋_GBK" w:eastAsia="方正仿宋_GBK" w:hAnsi="等线" w:hint="eastAsia"/>
                <w:color w:val="000000"/>
                <w:sz w:val="24"/>
                <w:szCs w:val="28"/>
              </w:rPr>
              <w:t>双线高精度临床脉搏波AI设备关键技术研究</w:t>
            </w:r>
          </w:p>
        </w:tc>
        <w:tc>
          <w:tcPr>
            <w:tcW w:w="3434" w:type="dxa"/>
            <w:vAlign w:val="center"/>
          </w:tcPr>
          <w:p w:rsidR="002B0E75" w:rsidRPr="002B0E75" w:rsidRDefault="002B0E75" w:rsidP="002B0E75">
            <w:pPr>
              <w:adjustRightInd w:val="0"/>
              <w:snapToGrid w:val="0"/>
              <w:spacing w:line="340" w:lineRule="exact"/>
              <w:rPr>
                <w:rFonts w:ascii="方正仿宋_GBK" w:eastAsia="方正仿宋_GBK" w:hAnsi="等线" w:cs="宋体"/>
                <w:color w:val="000000"/>
                <w:sz w:val="24"/>
                <w:szCs w:val="28"/>
              </w:rPr>
            </w:pPr>
            <w:r w:rsidRPr="002B0E75">
              <w:rPr>
                <w:rFonts w:ascii="方正仿宋_GBK" w:eastAsia="方正仿宋_GBK" w:hAnsi="等线" w:hint="eastAsia"/>
                <w:color w:val="000000"/>
                <w:sz w:val="24"/>
                <w:szCs w:val="28"/>
              </w:rPr>
              <w:t>盐城师范学院</w:t>
            </w:r>
          </w:p>
        </w:tc>
      </w:tr>
    </w:tbl>
    <w:p w:rsidR="002B0E75" w:rsidRPr="002B0E75" w:rsidRDefault="002B0E75" w:rsidP="002B0E75">
      <w:pPr>
        <w:spacing w:line="360" w:lineRule="exact"/>
        <w:jc w:val="center"/>
        <w:rPr>
          <w:rFonts w:ascii="方正仿宋_GBK" w:eastAsia="方正仿宋_GBK" w:cs="方正仿宋_GBK"/>
          <w:snapToGrid w:val="0"/>
          <w:sz w:val="28"/>
          <w:szCs w:val="28"/>
        </w:rPr>
      </w:pPr>
    </w:p>
    <w:sectPr w:rsidR="002B0E75" w:rsidRPr="002B0E75" w:rsidSect="002A4EC9">
      <w:pgSz w:w="11906" w:h="16838" w:code="9"/>
      <w:pgMar w:top="1644" w:right="1134" w:bottom="992" w:left="130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26D" w:rsidRDefault="001E626D" w:rsidP="00441A4B">
      <w:r>
        <w:separator/>
      </w:r>
    </w:p>
  </w:endnote>
  <w:endnote w:type="continuationSeparator" w:id="0">
    <w:p w:rsidR="001E626D" w:rsidRDefault="001E626D" w:rsidP="00441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26D" w:rsidRDefault="001E626D" w:rsidP="00441A4B">
      <w:r>
        <w:separator/>
      </w:r>
    </w:p>
  </w:footnote>
  <w:footnote w:type="continuationSeparator" w:id="0">
    <w:p w:rsidR="001E626D" w:rsidRDefault="001E626D" w:rsidP="00441A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0116"/>
    <w:rsid w:val="000135EB"/>
    <w:rsid w:val="00036E79"/>
    <w:rsid w:val="0006684F"/>
    <w:rsid w:val="000A4440"/>
    <w:rsid w:val="000B6EA2"/>
    <w:rsid w:val="00116A77"/>
    <w:rsid w:val="00123E79"/>
    <w:rsid w:val="00136223"/>
    <w:rsid w:val="00166083"/>
    <w:rsid w:val="00172163"/>
    <w:rsid w:val="0017384A"/>
    <w:rsid w:val="00181B69"/>
    <w:rsid w:val="00182495"/>
    <w:rsid w:val="001C13D9"/>
    <w:rsid w:val="001E626D"/>
    <w:rsid w:val="001F630E"/>
    <w:rsid w:val="00213A82"/>
    <w:rsid w:val="00225C88"/>
    <w:rsid w:val="00244316"/>
    <w:rsid w:val="002740D9"/>
    <w:rsid w:val="0029010F"/>
    <w:rsid w:val="002A4EC9"/>
    <w:rsid w:val="002B0E75"/>
    <w:rsid w:val="002B5024"/>
    <w:rsid w:val="002D0D7D"/>
    <w:rsid w:val="002F4D9F"/>
    <w:rsid w:val="00346C60"/>
    <w:rsid w:val="00355062"/>
    <w:rsid w:val="003A27B4"/>
    <w:rsid w:val="003E4ADA"/>
    <w:rsid w:val="003E6F81"/>
    <w:rsid w:val="00407D12"/>
    <w:rsid w:val="00417A1B"/>
    <w:rsid w:val="00441A4B"/>
    <w:rsid w:val="004752FB"/>
    <w:rsid w:val="00515BB3"/>
    <w:rsid w:val="00533678"/>
    <w:rsid w:val="0053449D"/>
    <w:rsid w:val="00543DCD"/>
    <w:rsid w:val="00545E77"/>
    <w:rsid w:val="005B732E"/>
    <w:rsid w:val="005D4B7A"/>
    <w:rsid w:val="005E0116"/>
    <w:rsid w:val="005E04C2"/>
    <w:rsid w:val="005E725F"/>
    <w:rsid w:val="0061455D"/>
    <w:rsid w:val="006152A3"/>
    <w:rsid w:val="006371EA"/>
    <w:rsid w:val="00642283"/>
    <w:rsid w:val="006448F3"/>
    <w:rsid w:val="006A0D6C"/>
    <w:rsid w:val="006C5335"/>
    <w:rsid w:val="006D1A23"/>
    <w:rsid w:val="006F5D6A"/>
    <w:rsid w:val="007225BE"/>
    <w:rsid w:val="00727C75"/>
    <w:rsid w:val="007A5747"/>
    <w:rsid w:val="007B38D8"/>
    <w:rsid w:val="007B7E41"/>
    <w:rsid w:val="007C6E2F"/>
    <w:rsid w:val="007E63E6"/>
    <w:rsid w:val="00804765"/>
    <w:rsid w:val="00822528"/>
    <w:rsid w:val="008322AF"/>
    <w:rsid w:val="0087144E"/>
    <w:rsid w:val="0089225D"/>
    <w:rsid w:val="008D106B"/>
    <w:rsid w:val="008D1D07"/>
    <w:rsid w:val="008F2461"/>
    <w:rsid w:val="009017E7"/>
    <w:rsid w:val="009105D3"/>
    <w:rsid w:val="0096253D"/>
    <w:rsid w:val="009844BE"/>
    <w:rsid w:val="00993DC5"/>
    <w:rsid w:val="009D16C2"/>
    <w:rsid w:val="00A17E4D"/>
    <w:rsid w:val="00A54819"/>
    <w:rsid w:val="00A758B5"/>
    <w:rsid w:val="00AA1CA8"/>
    <w:rsid w:val="00AB1008"/>
    <w:rsid w:val="00AC44EC"/>
    <w:rsid w:val="00AF0629"/>
    <w:rsid w:val="00AF26FD"/>
    <w:rsid w:val="00B16E81"/>
    <w:rsid w:val="00B3313D"/>
    <w:rsid w:val="00B776EE"/>
    <w:rsid w:val="00BA0798"/>
    <w:rsid w:val="00BB118A"/>
    <w:rsid w:val="00BF7244"/>
    <w:rsid w:val="00C02AC3"/>
    <w:rsid w:val="00C23312"/>
    <w:rsid w:val="00C55FC2"/>
    <w:rsid w:val="00C77EFD"/>
    <w:rsid w:val="00C9381C"/>
    <w:rsid w:val="00CF481B"/>
    <w:rsid w:val="00CF7E0B"/>
    <w:rsid w:val="00D0099E"/>
    <w:rsid w:val="00D27563"/>
    <w:rsid w:val="00D504CF"/>
    <w:rsid w:val="00D8379E"/>
    <w:rsid w:val="00DA132B"/>
    <w:rsid w:val="00DA1921"/>
    <w:rsid w:val="00DE29C8"/>
    <w:rsid w:val="00DF3157"/>
    <w:rsid w:val="00E1113D"/>
    <w:rsid w:val="00E203E3"/>
    <w:rsid w:val="00E21233"/>
    <w:rsid w:val="00E23448"/>
    <w:rsid w:val="00E26B0D"/>
    <w:rsid w:val="00EB30C8"/>
    <w:rsid w:val="00EB4CFF"/>
    <w:rsid w:val="00ED6529"/>
    <w:rsid w:val="00F035A0"/>
    <w:rsid w:val="00F246EA"/>
    <w:rsid w:val="00F47AEF"/>
    <w:rsid w:val="00F70C6D"/>
    <w:rsid w:val="00F83312"/>
    <w:rsid w:val="00F979C1"/>
    <w:rsid w:val="00FC7977"/>
    <w:rsid w:val="00FD0576"/>
    <w:rsid w:val="00FD21A4"/>
    <w:rsid w:val="00FD7209"/>
    <w:rsid w:val="00FF5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4D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5BB3"/>
    <w:rPr>
      <w:sz w:val="18"/>
      <w:szCs w:val="18"/>
    </w:rPr>
  </w:style>
  <w:style w:type="paragraph" w:styleId="a4">
    <w:name w:val="Date"/>
    <w:basedOn w:val="a"/>
    <w:next w:val="a"/>
    <w:rsid w:val="00E21233"/>
    <w:pPr>
      <w:ind w:leftChars="2500" w:left="100"/>
    </w:pPr>
  </w:style>
  <w:style w:type="paragraph" w:styleId="a5">
    <w:name w:val="header"/>
    <w:basedOn w:val="a"/>
    <w:link w:val="Char"/>
    <w:rsid w:val="00441A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41A4B"/>
    <w:rPr>
      <w:kern w:val="2"/>
      <w:sz w:val="18"/>
      <w:szCs w:val="18"/>
    </w:rPr>
  </w:style>
  <w:style w:type="paragraph" w:styleId="a6">
    <w:name w:val="footer"/>
    <w:basedOn w:val="a"/>
    <w:link w:val="Char0"/>
    <w:rsid w:val="00441A4B"/>
    <w:pPr>
      <w:tabs>
        <w:tab w:val="center" w:pos="4153"/>
        <w:tab w:val="right" w:pos="8306"/>
      </w:tabs>
      <w:snapToGrid w:val="0"/>
      <w:jc w:val="left"/>
    </w:pPr>
    <w:rPr>
      <w:sz w:val="18"/>
      <w:szCs w:val="18"/>
    </w:rPr>
  </w:style>
  <w:style w:type="character" w:customStyle="1" w:styleId="Char0">
    <w:name w:val="页脚 Char"/>
    <w:basedOn w:val="a0"/>
    <w:link w:val="a6"/>
    <w:rsid w:val="00441A4B"/>
    <w:rPr>
      <w:kern w:val="2"/>
      <w:sz w:val="18"/>
      <w:szCs w:val="18"/>
    </w:rPr>
  </w:style>
</w:styles>
</file>

<file path=word/webSettings.xml><?xml version="1.0" encoding="utf-8"?>
<w:webSettings xmlns:r="http://schemas.openxmlformats.org/officeDocument/2006/relationships" xmlns:w="http://schemas.openxmlformats.org/wordprocessingml/2006/main">
  <w:divs>
    <w:div w:id="1237981408">
      <w:bodyDiv w:val="1"/>
      <w:marLeft w:val="0"/>
      <w:marRight w:val="0"/>
      <w:marTop w:val="0"/>
      <w:marBottom w:val="0"/>
      <w:divBdr>
        <w:top w:val="none" w:sz="0" w:space="0" w:color="auto"/>
        <w:left w:val="none" w:sz="0" w:space="0" w:color="auto"/>
        <w:bottom w:val="none" w:sz="0" w:space="0" w:color="auto"/>
        <w:right w:val="none" w:sz="0" w:space="0" w:color="auto"/>
      </w:divBdr>
      <w:divsChild>
        <w:div w:id="1640068096">
          <w:marLeft w:val="0"/>
          <w:marRight w:val="0"/>
          <w:marTop w:val="0"/>
          <w:marBottom w:val="0"/>
          <w:divBdr>
            <w:top w:val="none" w:sz="0" w:space="0" w:color="auto"/>
            <w:left w:val="none" w:sz="0" w:space="0" w:color="auto"/>
            <w:bottom w:val="none" w:sz="0" w:space="0" w:color="auto"/>
            <w:right w:val="none" w:sz="0" w:space="0" w:color="auto"/>
          </w:divBdr>
          <w:divsChild>
            <w:div w:id="814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70672">
      <w:bodyDiv w:val="1"/>
      <w:marLeft w:val="0"/>
      <w:marRight w:val="0"/>
      <w:marTop w:val="0"/>
      <w:marBottom w:val="0"/>
      <w:divBdr>
        <w:top w:val="none" w:sz="0" w:space="0" w:color="auto"/>
        <w:left w:val="none" w:sz="0" w:space="0" w:color="auto"/>
        <w:bottom w:val="none" w:sz="0" w:space="0" w:color="auto"/>
        <w:right w:val="none" w:sz="0" w:space="0" w:color="auto"/>
      </w:divBdr>
    </w:div>
    <w:div w:id="1565603375">
      <w:bodyDiv w:val="1"/>
      <w:marLeft w:val="0"/>
      <w:marRight w:val="0"/>
      <w:marTop w:val="0"/>
      <w:marBottom w:val="0"/>
      <w:divBdr>
        <w:top w:val="none" w:sz="0" w:space="0" w:color="auto"/>
        <w:left w:val="none" w:sz="0" w:space="0" w:color="auto"/>
        <w:bottom w:val="none" w:sz="0" w:space="0" w:color="auto"/>
        <w:right w:val="none" w:sz="0" w:space="0" w:color="auto"/>
      </w:divBdr>
    </w:div>
    <w:div w:id="189041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669B7-1FE9-4FB1-8325-4E1BA572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1042</Words>
  <Characters>177</Characters>
  <Application>Microsoft Office Word</Application>
  <DocSecurity>0</DocSecurity>
  <Lines>1</Lines>
  <Paragraphs>2</Paragraphs>
  <ScaleCrop>false</ScaleCrop>
  <Company>mycomputer</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江苏农村科技服务超市2017年度考评结果公示</dc:title>
  <dc:creator>常学金</dc:creator>
  <cp:lastModifiedBy>付山英</cp:lastModifiedBy>
  <cp:revision>11</cp:revision>
  <cp:lastPrinted>2019-11-01T02:49:00Z</cp:lastPrinted>
  <dcterms:created xsi:type="dcterms:W3CDTF">2022-03-10T07:19:00Z</dcterms:created>
  <dcterms:modified xsi:type="dcterms:W3CDTF">2022-03-14T09:27:00Z</dcterms:modified>
</cp:coreProperties>
</file>