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黑体_GBK" w:cs="方正仿宋_GBK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黑体_GBK" w:cs="方正仿宋_GBK"/>
          <w:sz w:val="32"/>
          <w:szCs w:val="32"/>
        </w:rPr>
        <w:t>附件2</w:t>
      </w:r>
    </w:p>
    <w:p>
      <w:pPr>
        <w:spacing w:line="59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</w:p>
    <w:p>
      <w:pPr>
        <w:pStyle w:val="4"/>
        <w:spacing w:before="240" w:beforeLines="100"/>
        <w:rPr>
          <w:rFonts w:ascii="Times New Roman" w:hAnsi="Times New Roman"/>
        </w:rPr>
      </w:pPr>
      <w:r>
        <w:rPr>
          <w:rFonts w:hint="eastAsia" w:ascii="Times New Roman" w:hAnsi="Times New Roman"/>
        </w:rPr>
        <w:t>各类别案例材料报送要求</w:t>
      </w:r>
    </w:p>
    <w:bookmarkEnd w:id="0"/>
    <w:p>
      <w:pPr>
        <w:pStyle w:val="5"/>
        <w:spacing w:before="120" w:beforeLines="50" w:line="590" w:lineRule="exac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（不超过5000字）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黑体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仿宋_GBK"/>
          <w:sz w:val="32"/>
          <w:szCs w:val="32"/>
        </w:rPr>
        <w:t>一、媒体融合先导单位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 单位基本情况及媒体融合整体进展；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 主要做法与实践，体制机制、内容生产、平台技术等；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 成绩成效与社会反响，两个效益、传播力、影响力；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4. 可复制、可推广的成功经验，示范引领作用。</w:t>
      </w:r>
    </w:p>
    <w:p>
      <w:pPr>
        <w:spacing w:line="590" w:lineRule="exact"/>
        <w:ind w:firstLine="640" w:firstLineChars="200"/>
        <w:rPr>
          <w:rFonts w:ascii="Times New Roman" w:hAnsi="Times New Roman" w:eastAsia="方正黑体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仿宋_GBK"/>
          <w:sz w:val="32"/>
          <w:szCs w:val="32"/>
        </w:rPr>
        <w:t>二、媒体融合成长项目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 项目基本情况和主要创新点，理念、形式、技术等；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 目前进展及应用情况，已经取得的成效；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 成长空间和发展前景，两个效益、品牌影响力预期等。</w:t>
      </w:r>
    </w:p>
    <w:p>
      <w:pPr>
        <w:spacing w:line="590" w:lineRule="exact"/>
        <w:ind w:firstLine="640" w:firstLineChars="200"/>
        <w:rPr>
          <w:rFonts w:ascii="Times New Roman" w:hAnsi="Times New Roman" w:eastAsia="方正黑体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仿宋_GBK"/>
          <w:sz w:val="32"/>
          <w:szCs w:val="32"/>
        </w:rPr>
        <w:t>三、媒体融合典型案例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 案例基本情况，创新做法与实践；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 成效与反响，两个效益及可持续性等；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 经验与启示，可以借鉴的理念和做法。</w:t>
      </w:r>
    </w:p>
    <w:p>
      <w:pPr>
        <w:spacing w:line="590" w:lineRule="exact"/>
        <w:ind w:firstLine="640" w:firstLineChars="200"/>
        <w:rPr>
          <w:rFonts w:ascii="Times New Roman" w:hAnsi="Times New Roman" w:eastAsia="方正黑体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仿宋_GBK"/>
          <w:sz w:val="32"/>
          <w:szCs w:val="32"/>
        </w:rPr>
        <w:t>四、媒体融合传播力案例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 案例基本情况，主题宣传、传播方式、传播渠道等；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 传播力、引导力、影响力、公信力等方面的成效；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 融合传播两个效益和引领示范作用。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注：请提供相应的用户量、传播量、互动量、点赞量、社会效益、经济效益等具体数据，酌情增加对比性数据，避免过多感性描述。用户量以各机构网站、手机客户端、微信、微博等主账号注册用户量为准；传播量以各机构主平台、主账号首发传播量为准；互动量、点赞量以各机构主平台、主账号显示数量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01DE0"/>
    <w:rsid w:val="418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paragraph" w:customStyle="1" w:styleId="5">
    <w:name w:val="标题2"/>
    <w:basedOn w:val="1"/>
    <w:next w:val="1"/>
    <w:uiPriority w:val="0"/>
    <w:pPr>
      <w:jc w:val="center"/>
    </w:pPr>
    <w:rPr>
      <w:rFonts w:ascii="方正楷体_GBK" w:hAnsi="Book Antiqua" w:eastAsia="方正楷体_GBK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2022-03-31T02:57:00Z</dcterms:created>
  <dc:creator>仇乐</dc:creator>
  <cp:lastModifiedBy>仇乐</cp:lastModifiedBy>
  <dcterms:modified xsi:type="dcterms:W3CDTF">2022-03-31T02:59:00Z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