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7" w:lineRule="auto"/>
        <w:rPr>
          <w:rFonts w:ascii="Arial"/>
          <w:sz w:val="21"/>
        </w:rPr>
      </w:pPr>
    </w:p>
    <w:p>
      <w:pPr>
        <w:spacing w:before="100" w:line="222" w:lineRule="auto"/>
        <w:ind w:firstLine="5320"/>
        <w:rPr>
          <w:rFonts w:ascii="仿宋" w:hAnsi="仿宋" w:eastAsia="仿宋" w:cs="仿宋"/>
          <w:sz w:val="31"/>
          <w:szCs w:val="31"/>
        </w:rPr>
      </w:pPr>
      <w:r>
        <w:rPr>
          <w:rFonts w:ascii="仿宋" w:hAnsi="仿宋" w:eastAsia="仿宋" w:cs="仿宋"/>
          <w:spacing w:val="2"/>
          <w:sz w:val="31"/>
          <w:szCs w:val="31"/>
        </w:rPr>
        <w:t>苏体办综函【2022】7号</w:t>
      </w:r>
    </w:p>
    <w:p>
      <w:pPr>
        <w:spacing w:line="316" w:lineRule="auto"/>
        <w:rPr>
          <w:rFonts w:ascii="Arial"/>
          <w:sz w:val="21"/>
        </w:rPr>
      </w:pPr>
    </w:p>
    <w:p>
      <w:pPr>
        <w:spacing w:line="316" w:lineRule="auto"/>
        <w:rPr>
          <w:rFonts w:ascii="Arial"/>
          <w:sz w:val="21"/>
        </w:rPr>
      </w:pPr>
    </w:p>
    <w:p>
      <w:pPr>
        <w:spacing w:before="130" w:line="281" w:lineRule="auto"/>
        <w:ind w:left="705" w:right="804" w:firstLine="639"/>
        <w:rPr>
          <w:rFonts w:ascii="宋体" w:hAnsi="宋体" w:eastAsia="宋体" w:cs="宋体"/>
          <w:sz w:val="40"/>
          <w:szCs w:val="40"/>
        </w:rPr>
      </w:pPr>
      <w:r>
        <w:rPr>
          <w:rFonts w:ascii="宋体" w:hAnsi="宋体" w:eastAsia="宋体" w:cs="宋体"/>
          <w:spacing w:val="25"/>
          <w:sz w:val="40"/>
          <w:szCs w:val="40"/>
          <w14:textOutline w14:w="7264" w14:cap="flat" w14:cmpd="sng">
            <w14:solidFill>
              <w14:srgbClr w14:val="000000"/>
            </w14:solidFill>
            <w14:prstDash w14:val="solid"/>
            <w14:miter w14:val="10"/>
          </w14:textOutline>
        </w:rPr>
        <w:t>省体育局办公室关于对全省从事射击竞技体育运动单位资格复审的通知</w:t>
      </w:r>
    </w:p>
    <w:p>
      <w:pPr>
        <w:spacing w:line="456" w:lineRule="auto"/>
        <w:rPr>
          <w:rFonts w:ascii="Arial"/>
          <w:sz w:val="21"/>
        </w:rPr>
      </w:pPr>
    </w:p>
    <w:p>
      <w:pPr>
        <w:spacing w:before="101" w:line="221" w:lineRule="auto"/>
        <w:ind w:firstLine="20"/>
        <w:rPr>
          <w:rFonts w:ascii="仿宋" w:hAnsi="仿宋" w:eastAsia="仿宋" w:cs="仿宋"/>
          <w:sz w:val="31"/>
          <w:szCs w:val="31"/>
        </w:rPr>
      </w:pPr>
      <w:r>
        <w:rPr>
          <w:rFonts w:ascii="仿宋" w:hAnsi="仿宋" w:eastAsia="仿宋" w:cs="仿宋"/>
          <w:spacing w:val="10"/>
          <w:sz w:val="31"/>
          <w:szCs w:val="31"/>
        </w:rPr>
        <w:t>各设区市体育局,省方山体育训练基地,各有关单位:</w:t>
      </w:r>
    </w:p>
    <w:p>
      <w:pPr>
        <w:spacing w:before="106" w:line="298" w:lineRule="auto"/>
        <w:ind w:left="20" w:right="148" w:firstLine="590"/>
        <w:rPr>
          <w:rFonts w:ascii="仿宋" w:hAnsi="仿宋" w:eastAsia="仿宋" w:cs="仿宋"/>
          <w:sz w:val="31"/>
          <w:szCs w:val="31"/>
        </w:rPr>
      </w:pPr>
      <w:r>
        <w:rPr>
          <w:rFonts w:ascii="仿宋" w:hAnsi="仿宋" w:eastAsia="仿宋" w:cs="仿宋"/>
          <w:spacing w:val="9"/>
          <w:sz w:val="31"/>
          <w:szCs w:val="31"/>
        </w:rPr>
        <w:t>为认真贯彻落实打击整治枪支爆炸物品违法犯罪部际联席</w:t>
      </w:r>
      <w:r>
        <w:rPr>
          <w:rFonts w:ascii="仿宋" w:hAnsi="仿宋" w:eastAsia="仿宋" w:cs="仿宋"/>
          <w:spacing w:val="3"/>
          <w:sz w:val="31"/>
          <w:szCs w:val="31"/>
        </w:rPr>
        <w:t>会议精神,进一步加强我省射击竞技体育运动单</w:t>
      </w:r>
      <w:bookmarkStart w:id="0" w:name="_GoBack"/>
      <w:bookmarkEnd w:id="0"/>
      <w:r>
        <w:rPr>
          <w:rFonts w:ascii="仿宋" w:hAnsi="仿宋" w:eastAsia="仿宋" w:cs="仿宋"/>
          <w:spacing w:val="3"/>
          <w:sz w:val="31"/>
          <w:szCs w:val="31"/>
        </w:rPr>
        <w:t>位的安全管理,</w:t>
      </w:r>
      <w:r>
        <w:rPr>
          <w:rFonts w:ascii="仿宋" w:hAnsi="仿宋" w:eastAsia="仿宋" w:cs="仿宋"/>
          <w:spacing w:val="2"/>
          <w:sz w:val="31"/>
          <w:szCs w:val="31"/>
        </w:rPr>
        <w:t>为党的二十大顺利召开创造安全稳定社会环境,省体育局、省公安厅成立联合工作小组,对全省从事射击竞技体育运动单位进行</w:t>
      </w:r>
      <w:r>
        <w:rPr>
          <w:rFonts w:ascii="仿宋" w:hAnsi="仿宋" w:eastAsia="仿宋" w:cs="仿宋"/>
          <w:spacing w:val="-3"/>
          <w:sz w:val="31"/>
          <w:szCs w:val="31"/>
        </w:rPr>
        <w:t>资格复审。现将有关事项通知如下:</w:t>
      </w:r>
    </w:p>
    <w:p>
      <w:pPr>
        <w:spacing w:before="1" w:line="221" w:lineRule="auto"/>
        <w:ind w:firstLine="614"/>
        <w:outlineLvl w:val="0"/>
        <w:rPr>
          <w:rFonts w:ascii="黑体" w:hAnsi="黑体" w:eastAsia="黑体" w:cs="黑体"/>
          <w:sz w:val="31"/>
          <w:szCs w:val="31"/>
        </w:rPr>
      </w:pPr>
      <w:r>
        <w:rPr>
          <w:rFonts w:ascii="黑体" w:hAnsi="黑体" w:eastAsia="黑体" w:cs="黑体"/>
          <w:spacing w:val="-3"/>
          <w:sz w:val="31"/>
          <w:szCs w:val="31"/>
          <w14:textOutline w14:w="5626" w14:cap="flat" w14:cmpd="sng">
            <w14:solidFill>
              <w14:srgbClr w14:val="000000"/>
            </w14:solidFill>
            <w14:prstDash w14:val="solid"/>
            <w14:miter w14:val="10"/>
          </w14:textOutline>
        </w:rPr>
        <w:t>一、复审时间</w:t>
      </w:r>
    </w:p>
    <w:p>
      <w:pPr>
        <w:spacing w:before="142" w:line="222" w:lineRule="auto"/>
        <w:ind w:firstLine="610"/>
        <w:rPr>
          <w:rFonts w:ascii="仿宋" w:hAnsi="仿宋" w:eastAsia="仿宋" w:cs="仿宋"/>
          <w:sz w:val="31"/>
          <w:szCs w:val="31"/>
        </w:rPr>
      </w:pPr>
      <w:r>
        <w:rPr>
          <w:rFonts w:ascii="仿宋" w:hAnsi="仿宋" w:eastAsia="仿宋" w:cs="仿宋"/>
          <w:spacing w:val="15"/>
          <w:w w:val="101"/>
          <w:sz w:val="31"/>
          <w:szCs w:val="31"/>
        </w:rPr>
        <w:t>4月中旬至7月下旬。</w:t>
      </w:r>
    </w:p>
    <w:p>
      <w:pPr>
        <w:spacing w:before="113" w:line="222" w:lineRule="auto"/>
        <w:ind w:firstLine="614"/>
        <w:outlineLvl w:val="0"/>
        <w:rPr>
          <w:rFonts w:ascii="黑体" w:hAnsi="黑体" w:eastAsia="黑体" w:cs="黑体"/>
          <w:sz w:val="31"/>
          <w:szCs w:val="31"/>
        </w:rPr>
      </w:pPr>
      <w:r>
        <w:rPr>
          <w:rFonts w:ascii="黑体" w:hAnsi="黑体" w:eastAsia="黑体" w:cs="黑体"/>
          <w:spacing w:val="-3"/>
          <w:sz w:val="31"/>
          <w:szCs w:val="31"/>
          <w14:textOutline w14:w="5626" w14:cap="flat" w14:cmpd="sng">
            <w14:solidFill>
              <w14:srgbClr w14:val="000000"/>
            </w14:solidFill>
            <w14:prstDash w14:val="solid"/>
            <w14:miter w14:val="10"/>
          </w14:textOutline>
        </w:rPr>
        <w:t>二、复审内容</w:t>
      </w:r>
    </w:p>
    <w:p>
      <w:pPr>
        <w:spacing w:before="157" w:line="220" w:lineRule="auto"/>
        <w:ind w:firstLine="610"/>
        <w:rPr>
          <w:rFonts w:ascii="仿宋" w:hAnsi="仿宋" w:eastAsia="仿宋" w:cs="仿宋"/>
          <w:sz w:val="31"/>
          <w:szCs w:val="31"/>
        </w:rPr>
      </w:pPr>
      <w:r>
        <w:rPr>
          <w:rFonts w:ascii="仿宋" w:hAnsi="仿宋" w:eastAsia="仿宋" w:cs="仿宋"/>
          <w:spacing w:val="2"/>
          <w:sz w:val="31"/>
          <w:szCs w:val="31"/>
        </w:rPr>
        <w:t>复审分为现场检查和整改落实2个阶段进行。</w:t>
      </w:r>
    </w:p>
    <w:p>
      <w:pPr>
        <w:spacing w:before="113" w:line="232" w:lineRule="auto"/>
        <w:ind w:firstLine="750"/>
        <w:rPr>
          <w:rFonts w:ascii="楷体" w:hAnsi="楷体" w:eastAsia="楷体" w:cs="楷体"/>
          <w:sz w:val="31"/>
          <w:szCs w:val="31"/>
        </w:rPr>
      </w:pPr>
      <w:r>
        <w:rPr>
          <w:rFonts w:ascii="楷体" w:hAnsi="楷体" w:eastAsia="楷体" w:cs="楷体"/>
          <w:spacing w:val="15"/>
          <w:w w:val="103"/>
          <w:sz w:val="31"/>
          <w:szCs w:val="31"/>
        </w:rPr>
        <w:t>(一)现场检查</w:t>
      </w:r>
    </w:p>
    <w:p>
      <w:pPr>
        <w:spacing w:before="98" w:line="301" w:lineRule="auto"/>
        <w:ind w:left="20" w:right="211" w:firstLine="590"/>
        <w:rPr>
          <w:rFonts w:ascii="仿宋" w:hAnsi="仿宋" w:eastAsia="仿宋" w:cs="仿宋"/>
          <w:sz w:val="31"/>
          <w:szCs w:val="31"/>
        </w:rPr>
      </w:pPr>
      <w:r>
        <w:rPr>
          <w:rFonts w:ascii="仿宋" w:hAnsi="仿宋" w:eastAsia="仿宋" w:cs="仿宋"/>
          <w:spacing w:val="6"/>
          <w:sz w:val="31"/>
          <w:szCs w:val="31"/>
        </w:rPr>
        <w:t>听取被复审单位负责人情况汇报,进行实地检查,现场通报</w:t>
      </w:r>
      <w:r>
        <w:rPr>
          <w:rFonts w:ascii="仿宋" w:hAnsi="仿宋" w:eastAsia="仿宋" w:cs="仿宋"/>
          <w:spacing w:val="-2"/>
          <w:sz w:val="31"/>
          <w:szCs w:val="31"/>
        </w:rPr>
        <w:t>检查情况。主要检查内容:</w:t>
      </w:r>
    </w:p>
    <w:p>
      <w:pPr>
        <w:spacing w:before="4" w:line="303" w:lineRule="auto"/>
        <w:ind w:left="20" w:right="134" w:firstLine="590"/>
        <w:rPr>
          <w:rFonts w:ascii="仿宋" w:hAnsi="仿宋" w:eastAsia="仿宋" w:cs="仿宋"/>
          <w:sz w:val="31"/>
          <w:szCs w:val="31"/>
        </w:rPr>
      </w:pPr>
      <w:r>
        <w:rPr>
          <w:rFonts w:ascii="仿宋" w:hAnsi="仿宋" w:eastAsia="仿宋" w:cs="仿宋"/>
          <w:spacing w:val="-4"/>
          <w:sz w:val="31"/>
          <w:szCs w:val="31"/>
        </w:rPr>
        <w:t>1.规章制度建设、执行情况。枪弹安全管理规章制度是否健</w:t>
      </w:r>
      <w:r>
        <w:rPr>
          <w:rFonts w:ascii="仿宋" w:hAnsi="仿宋" w:eastAsia="仿宋" w:cs="仿宋"/>
          <w:spacing w:val="8"/>
          <w:sz w:val="31"/>
          <w:szCs w:val="31"/>
        </w:rPr>
        <w:t>全,枪弹安全管理专职人员是否到位,枪弹安全管理责任制是否</w:t>
      </w:r>
      <w:r>
        <w:rPr>
          <w:rFonts w:ascii="仿宋" w:hAnsi="仿宋" w:eastAsia="仿宋" w:cs="仿宋"/>
          <w:spacing w:val="2"/>
          <w:sz w:val="31"/>
          <w:szCs w:val="31"/>
        </w:rPr>
        <w:t>建立,枪弹安全管理责任状是否签订等。</w:t>
      </w:r>
    </w:p>
    <w:p>
      <w:pPr>
        <w:spacing w:before="1" w:line="220" w:lineRule="auto"/>
        <w:ind w:firstLine="610"/>
        <w:rPr>
          <w:rFonts w:ascii="仿宋" w:hAnsi="仿宋" w:eastAsia="仿宋" w:cs="仿宋"/>
          <w:sz w:val="31"/>
          <w:szCs w:val="31"/>
        </w:rPr>
      </w:pPr>
      <w:r>
        <w:rPr>
          <w:rFonts w:ascii="仿宋" w:hAnsi="仿宋" w:eastAsia="仿宋" w:cs="仿宋"/>
          <w:spacing w:val="3"/>
          <w:sz w:val="31"/>
          <w:szCs w:val="31"/>
        </w:rPr>
        <w:t>2.枪弹出入库台账。枪弹出入库台账是否完备,枪弹流向记</w:t>
      </w:r>
    </w:p>
    <w:p>
      <w:pPr>
        <w:sectPr>
          <w:footerReference r:id="rId5" w:type="default"/>
          <w:pgSz w:w="11910" w:h="16840"/>
          <w:pgMar w:top="1222" w:right="1630" w:bottom="1743" w:left="1529" w:header="0" w:footer="1530" w:gutter="0"/>
          <w:cols w:space="720" w:num="1"/>
        </w:sectPr>
      </w:pPr>
    </w:p>
    <w:p>
      <w:pPr>
        <w:spacing w:line="324" w:lineRule="auto"/>
        <w:rPr>
          <w:rFonts w:ascii="Arial"/>
          <w:sz w:val="21"/>
        </w:rPr>
      </w:pPr>
    </w:p>
    <w:p>
      <w:pPr>
        <w:spacing w:line="324" w:lineRule="auto"/>
        <w:rPr>
          <w:rFonts w:ascii="Arial"/>
          <w:sz w:val="21"/>
        </w:rPr>
      </w:pPr>
    </w:p>
    <w:p>
      <w:pPr>
        <w:spacing w:before="104" w:line="221" w:lineRule="auto"/>
        <w:ind w:firstLine="159"/>
        <w:rPr>
          <w:rFonts w:ascii="仿宋" w:hAnsi="仿宋" w:eastAsia="仿宋" w:cs="仿宋"/>
          <w:sz w:val="32"/>
          <w:szCs w:val="32"/>
        </w:rPr>
      </w:pPr>
      <w:r>
        <w:rPr>
          <w:rFonts w:ascii="仿宋" w:hAnsi="仿宋" w:eastAsia="仿宋" w:cs="仿宋"/>
          <w:spacing w:val="-3"/>
          <w:sz w:val="32"/>
          <w:szCs w:val="32"/>
        </w:rPr>
        <w:t>录是否详细,专人专枪是否实行;定期盘库与保养是否落实等。</w:t>
      </w:r>
    </w:p>
    <w:p>
      <w:pPr>
        <w:spacing w:before="112" w:line="289" w:lineRule="auto"/>
        <w:ind w:left="159" w:right="268" w:firstLine="590"/>
        <w:rPr>
          <w:rFonts w:ascii="仿宋" w:hAnsi="仿宋" w:eastAsia="仿宋" w:cs="仿宋"/>
          <w:sz w:val="32"/>
          <w:szCs w:val="32"/>
        </w:rPr>
      </w:pPr>
      <w:r>
        <w:rPr>
          <w:rFonts w:ascii="仿宋" w:hAnsi="仿宋" w:eastAsia="仿宋" w:cs="仿宋"/>
          <w:spacing w:val="-16"/>
          <w:sz w:val="32"/>
          <w:szCs w:val="32"/>
        </w:rPr>
        <w:t>3.靶场监控探头配备安装。靶场监控探头覆盖密度是否达标,</w:t>
      </w:r>
      <w:r>
        <w:rPr>
          <w:rFonts w:ascii="仿宋" w:hAnsi="仿宋" w:eastAsia="仿宋" w:cs="仿宋"/>
          <w:spacing w:val="-14"/>
          <w:sz w:val="32"/>
          <w:szCs w:val="32"/>
        </w:rPr>
        <w:t>靶场射击区域和枪弹库主要通道是否重点布置,靶场监控探头与</w:t>
      </w:r>
      <w:r>
        <w:rPr>
          <w:rFonts w:ascii="仿宋" w:hAnsi="仿宋" w:eastAsia="仿宋" w:cs="仿宋"/>
          <w:spacing w:val="-7"/>
          <w:sz w:val="32"/>
          <w:szCs w:val="32"/>
        </w:rPr>
        <w:t>当地公安部门是否联网,全覆盖、全天候、全流程视频监控是否</w:t>
      </w:r>
      <w:r>
        <w:rPr>
          <w:rFonts w:ascii="仿宋" w:hAnsi="仿宋" w:eastAsia="仿宋" w:cs="仿宋"/>
          <w:spacing w:val="-21"/>
          <w:sz w:val="32"/>
          <w:szCs w:val="32"/>
        </w:rPr>
        <w:t>实现等。</w:t>
      </w:r>
    </w:p>
    <w:p>
      <w:pPr>
        <w:spacing w:line="229" w:lineRule="auto"/>
        <w:ind w:firstLine="879"/>
        <w:rPr>
          <w:rFonts w:ascii="楷体" w:hAnsi="楷体" w:eastAsia="楷体" w:cs="楷体"/>
          <w:sz w:val="32"/>
          <w:szCs w:val="32"/>
        </w:rPr>
      </w:pPr>
      <w:r>
        <w:rPr>
          <w:rFonts w:ascii="楷体" w:hAnsi="楷体" w:eastAsia="楷体" w:cs="楷体"/>
          <w:spacing w:val="16"/>
          <w:w w:val="101"/>
          <w:sz w:val="32"/>
          <w:szCs w:val="32"/>
        </w:rPr>
        <w:t>(二)整改落实</w:t>
      </w:r>
    </w:p>
    <w:p>
      <w:pPr>
        <w:spacing w:before="82" w:line="510" w:lineRule="exact"/>
        <w:ind w:firstLine="749"/>
        <w:rPr>
          <w:rFonts w:ascii="仿宋" w:hAnsi="仿宋" w:eastAsia="仿宋" w:cs="仿宋"/>
          <w:sz w:val="32"/>
          <w:szCs w:val="32"/>
        </w:rPr>
      </w:pPr>
      <w:r>
        <w:rPr>
          <w:rFonts w:ascii="仿宋" w:hAnsi="仿宋" w:eastAsia="仿宋" w:cs="仿宋"/>
          <w:spacing w:val="-6"/>
          <w:position w:val="13"/>
          <w:sz w:val="32"/>
          <w:szCs w:val="32"/>
        </w:rPr>
        <w:t>各被复审单位根据检查组通报的情况,开展整改落实。检查</w:t>
      </w:r>
    </w:p>
    <w:p>
      <w:pPr>
        <w:spacing w:line="220" w:lineRule="auto"/>
        <w:ind w:firstLine="159"/>
        <w:rPr>
          <w:rFonts w:ascii="仿宋" w:hAnsi="仿宋" w:eastAsia="仿宋" w:cs="仿宋"/>
          <w:sz w:val="32"/>
          <w:szCs w:val="32"/>
        </w:rPr>
      </w:pPr>
      <w:r>
        <w:rPr>
          <w:rFonts w:ascii="仿宋" w:hAnsi="仿宋" w:eastAsia="仿宋" w:cs="仿宋"/>
          <w:spacing w:val="-8"/>
          <w:sz w:val="32"/>
          <w:szCs w:val="32"/>
        </w:rPr>
        <w:t>结束15天内向省体育局综合业务处报送整改报告。</w:t>
      </w:r>
    </w:p>
    <w:p>
      <w:pPr>
        <w:spacing w:before="108" w:line="222" w:lineRule="auto"/>
        <w:ind w:firstLine="754"/>
        <w:outlineLvl w:val="0"/>
        <w:rPr>
          <w:rFonts w:ascii="黑体" w:hAnsi="黑体" w:eastAsia="黑体" w:cs="黑体"/>
          <w:sz w:val="32"/>
          <w:szCs w:val="32"/>
        </w:rPr>
      </w:pPr>
      <w:r>
        <w:rPr>
          <w:rFonts w:ascii="黑体" w:hAnsi="黑体" w:eastAsia="黑体" w:cs="黑体"/>
          <w:spacing w:val="-12"/>
          <w:sz w:val="32"/>
          <w:szCs w:val="32"/>
          <w14:textOutline w14:w="5816" w14:cap="flat" w14:cmpd="sng">
            <w14:solidFill>
              <w14:srgbClr w14:val="000000"/>
            </w14:solidFill>
            <w14:prstDash w14:val="solid"/>
            <w14:miter w14:val="10"/>
          </w14:textOutline>
        </w:rPr>
        <w:t>三、工作要求</w:t>
      </w:r>
    </w:p>
    <w:p>
      <w:pPr>
        <w:spacing w:before="126" w:line="509" w:lineRule="exact"/>
        <w:ind w:firstLine="879"/>
        <w:rPr>
          <w:rFonts w:ascii="仿宋" w:hAnsi="仿宋" w:eastAsia="仿宋" w:cs="仿宋"/>
          <w:sz w:val="32"/>
          <w:szCs w:val="32"/>
        </w:rPr>
      </w:pPr>
      <w:r>
        <w:rPr>
          <w:rFonts w:ascii="仿宋" w:hAnsi="仿宋" w:eastAsia="仿宋" w:cs="仿宋"/>
          <w:spacing w:val="8"/>
          <w:position w:val="13"/>
          <w:sz w:val="32"/>
          <w:szCs w:val="32"/>
        </w:rPr>
        <w:t>(一)各单位要高度重视此次复审,明确专人负责,加强督</w:t>
      </w:r>
    </w:p>
    <w:p>
      <w:pPr>
        <w:spacing w:line="220" w:lineRule="auto"/>
        <w:ind w:firstLine="159"/>
        <w:rPr>
          <w:rFonts w:ascii="仿宋" w:hAnsi="仿宋" w:eastAsia="仿宋" w:cs="仿宋"/>
          <w:sz w:val="32"/>
          <w:szCs w:val="32"/>
        </w:rPr>
      </w:pPr>
      <w:r>
        <w:rPr>
          <w:rFonts w:ascii="仿宋" w:hAnsi="仿宋" w:eastAsia="仿宋" w:cs="仿宋"/>
          <w:spacing w:val="-2"/>
          <w:sz w:val="32"/>
          <w:szCs w:val="32"/>
        </w:rPr>
        <w:t>促检查;要加强与当地公安部门合作,积极配合本次复审工作。</w:t>
      </w:r>
    </w:p>
    <w:p>
      <w:pPr>
        <w:spacing w:before="110" w:line="288" w:lineRule="auto"/>
        <w:ind w:left="159" w:right="286" w:firstLine="719"/>
        <w:rPr>
          <w:rFonts w:ascii="仿宋" w:hAnsi="仿宋" w:eastAsia="仿宋" w:cs="仿宋"/>
          <w:sz w:val="32"/>
          <w:szCs w:val="32"/>
        </w:rPr>
      </w:pPr>
      <w:r>
        <w:rPr>
          <w:rFonts w:ascii="仿宋" w:hAnsi="仿宋" w:eastAsia="仿宋" w:cs="仿宋"/>
          <w:spacing w:val="8"/>
          <w:sz w:val="32"/>
          <w:szCs w:val="32"/>
        </w:rPr>
        <w:t>(二)复审结果将通报各设区市体育局,并录入全省"双随</w:t>
      </w:r>
      <w:r>
        <w:rPr>
          <w:rFonts w:ascii="仿宋" w:hAnsi="仿宋" w:eastAsia="仿宋" w:cs="仿宋"/>
          <w:spacing w:val="2"/>
          <w:sz w:val="32"/>
          <w:szCs w:val="32"/>
        </w:rPr>
        <w:t>机一公开"系统。</w:t>
      </w:r>
    </w:p>
    <w:p>
      <w:pPr>
        <w:spacing w:before="1" w:line="220" w:lineRule="auto"/>
        <w:ind w:firstLine="879"/>
        <w:rPr>
          <w:rFonts w:ascii="仿宋" w:hAnsi="仿宋" w:eastAsia="仿宋" w:cs="仿宋"/>
          <w:sz w:val="32"/>
          <w:szCs w:val="32"/>
        </w:rPr>
      </w:pPr>
      <w:r>
        <w:rPr>
          <w:rFonts w:ascii="仿宋" w:hAnsi="仿宋" w:eastAsia="仿宋" w:cs="仿宋"/>
          <w:spacing w:val="-6"/>
          <w:sz w:val="32"/>
          <w:szCs w:val="32"/>
        </w:rPr>
        <w:t>(三)复审工作经费由省体育局承担。现场检查具体时间另</w:t>
      </w:r>
    </w:p>
    <w:p>
      <w:pPr>
        <w:spacing w:before="109" w:line="221" w:lineRule="auto"/>
        <w:ind w:firstLine="159"/>
        <w:rPr>
          <w:rFonts w:ascii="仿宋" w:hAnsi="仿宋" w:eastAsia="仿宋" w:cs="仿宋"/>
          <w:sz w:val="32"/>
          <w:szCs w:val="32"/>
        </w:rPr>
      </w:pPr>
      <w:r>
        <w:rPr>
          <w:rFonts w:ascii="仿宋" w:hAnsi="仿宋" w:eastAsia="仿宋" w:cs="仿宋"/>
          <w:spacing w:val="-13"/>
          <w:sz w:val="32"/>
          <w:szCs w:val="32"/>
        </w:rPr>
        <w:t>行通知。</w:t>
      </w: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104" w:line="431" w:lineRule="exact"/>
        <w:ind w:firstLine="4459"/>
        <w:rPr>
          <w:rFonts w:ascii="仿宋" w:hAnsi="仿宋" w:eastAsia="仿宋" w:cs="仿宋"/>
          <w:sz w:val="32"/>
          <w:szCs w:val="32"/>
        </w:rPr>
      </w:pPr>
      <w:r>
        <w:rPr>
          <w:rFonts w:ascii="仿宋" w:hAnsi="仿宋" w:eastAsia="仿宋" w:cs="仿宋"/>
          <w:spacing w:val="-10"/>
          <w:position w:val="7"/>
          <w:sz w:val="32"/>
          <w:szCs w:val="32"/>
        </w:rPr>
        <w:t>江苏省体育局办公室</w:t>
      </w:r>
    </w:p>
    <w:p>
      <w:pPr>
        <w:spacing w:line="222" w:lineRule="auto"/>
        <w:ind w:firstLine="4749"/>
        <w:rPr>
          <w:rFonts w:ascii="仿宋" w:hAnsi="仿宋" w:eastAsia="仿宋" w:cs="仿宋"/>
          <w:sz w:val="32"/>
          <w:szCs w:val="32"/>
        </w:rPr>
      </w:pPr>
      <w:r>
        <w:rPr>
          <w:rFonts w:ascii="仿宋" w:hAnsi="仿宋" w:eastAsia="仿宋" w:cs="仿宋"/>
          <w:spacing w:val="17"/>
          <w:w w:val="106"/>
          <w:sz w:val="32"/>
          <w:szCs w:val="32"/>
        </w:rPr>
        <w:t>2022年4月19日</w:t>
      </w:r>
    </w:p>
    <w:p>
      <w:pPr>
        <w:spacing w:line="479" w:lineRule="auto"/>
        <w:rPr>
          <w:rFonts w:ascii="Arial"/>
          <w:sz w:val="21"/>
        </w:rPr>
      </w:pPr>
    </w:p>
    <w:p>
      <w:pPr>
        <w:spacing w:before="104" w:line="223" w:lineRule="auto"/>
        <w:ind w:firstLine="879"/>
        <w:rPr>
          <w:rFonts w:ascii="仿宋" w:hAnsi="仿宋" w:eastAsia="仿宋" w:cs="仿宋"/>
          <w:sz w:val="32"/>
          <w:szCs w:val="32"/>
        </w:rPr>
      </w:pPr>
      <w:r>
        <w:rPr>
          <w:rFonts w:ascii="仿宋" w:hAnsi="仿宋" w:eastAsia="仿宋" w:cs="仿宋"/>
          <w:spacing w:val="-16"/>
          <w:sz w:val="32"/>
          <w:szCs w:val="32"/>
        </w:rPr>
        <w:t>(联系人:黄镇鸿</w:t>
      </w:r>
    </w:p>
    <w:p>
      <w:pPr>
        <w:spacing w:before="123" w:line="497" w:lineRule="exact"/>
        <w:ind w:firstLine="1109"/>
        <w:rPr>
          <w:rFonts w:ascii="仿宋" w:hAnsi="仿宋" w:eastAsia="仿宋" w:cs="仿宋"/>
          <w:sz w:val="32"/>
          <w:szCs w:val="32"/>
        </w:rPr>
      </w:pPr>
      <w:r>
        <w:rPr>
          <w:rFonts w:ascii="仿宋" w:hAnsi="仿宋" w:eastAsia="仿宋" w:cs="仿宋"/>
          <w:spacing w:val="-9"/>
          <w:position w:val="12"/>
          <w:sz w:val="32"/>
          <w:szCs w:val="32"/>
        </w:rPr>
        <w:t>电话:(025)51889028、15366067367</w:t>
      </w:r>
    </w:p>
    <w:p>
      <w:pPr>
        <w:spacing w:line="215" w:lineRule="auto"/>
        <w:ind w:firstLine="1089"/>
        <w:rPr>
          <w:rFonts w:ascii="仿宋" w:hAnsi="仿宋" w:eastAsia="仿宋" w:cs="仿宋"/>
          <w:sz w:val="32"/>
          <w:szCs w:val="32"/>
        </w:rPr>
      </w:pPr>
      <w:r>
        <w:rPr>
          <w:rFonts w:ascii="仿宋" w:hAnsi="仿宋" w:eastAsia="仿宋" w:cs="仿宋"/>
          <w:spacing w:val="-4"/>
          <w:sz w:val="32"/>
          <w:szCs w:val="32"/>
        </w:rPr>
        <w:t>邮箱:277180090@qgcom)</w:t>
      </w:r>
    </w:p>
    <w:p>
      <w:pPr>
        <w:spacing w:line="447" w:lineRule="auto"/>
        <w:rPr>
          <w:rFonts w:ascii="Arial"/>
          <w:sz w:val="21"/>
        </w:rPr>
      </w:pPr>
    </w:p>
    <w:p>
      <w:pPr>
        <w:spacing w:before="105" w:line="221" w:lineRule="auto"/>
        <w:ind w:firstLine="164"/>
        <w:rPr>
          <w:rFonts w:ascii="黑体" w:hAnsi="黑体" w:eastAsia="黑体" w:cs="黑体"/>
          <w:sz w:val="32"/>
          <w:szCs w:val="32"/>
        </w:rPr>
      </w:pPr>
      <w:r>
        <w:rPr>
          <w:rFonts w:ascii="黑体" w:hAnsi="黑体" w:eastAsia="黑体" w:cs="黑体"/>
          <w:spacing w:val="-15"/>
          <w:w w:val="97"/>
          <w:sz w:val="32"/>
          <w:szCs w:val="32"/>
          <w14:textOutline w14:w="5816" w14:cap="flat" w14:cmpd="sng">
            <w14:solidFill>
              <w14:srgbClr w14:val="000000"/>
            </w14:solidFill>
            <w14:prstDash w14:val="solid"/>
            <w14:miter w14:val="10"/>
          </w14:textOutline>
        </w:rPr>
        <w:t>信息公开类别:主动公开</w:t>
      </w:r>
    </w:p>
    <w:p>
      <w:pPr>
        <w:spacing w:before="81" w:line="40" w:lineRule="exact"/>
        <w:textAlignment w:val="center"/>
      </w:pPr>
      <w:r>
        <w:drawing>
          <wp:inline distT="0" distB="0" distL="0" distR="0">
            <wp:extent cx="5746115" cy="254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5746701" cy="25425"/>
                    </a:xfrm>
                    <a:prstGeom prst="rect">
                      <a:avLst/>
                    </a:prstGeom>
                  </pic:spPr>
                </pic:pic>
              </a:graphicData>
            </a:graphic>
          </wp:inline>
        </w:drawing>
      </w:r>
    </w:p>
    <w:p>
      <w:pPr>
        <w:spacing w:before="141" w:line="196" w:lineRule="auto"/>
        <w:ind w:firstLine="429"/>
        <w:rPr>
          <w:rFonts w:ascii="仿宋" w:hAnsi="仿宋" w:eastAsia="仿宋" w:cs="仿宋"/>
          <w:sz w:val="32"/>
          <w:szCs w:val="32"/>
        </w:rPr>
      </w:pPr>
      <w:r>
        <w:rPr>
          <w:rFonts w:ascii="仿宋" w:hAnsi="仿宋" w:eastAsia="仿宋" w:cs="仿宋"/>
          <w:spacing w:val="-27"/>
          <w:position w:val="1"/>
          <w:sz w:val="32"/>
          <w:szCs w:val="32"/>
        </w:rPr>
        <w:t>江苏省体育局办公室</w:t>
      </w:r>
      <w:r>
        <w:rPr>
          <w:rFonts w:ascii="仿宋" w:hAnsi="仿宋" w:eastAsia="仿宋" w:cs="仿宋"/>
          <w:spacing w:val="-27"/>
          <w:sz w:val="32"/>
          <w:szCs w:val="32"/>
        </w:rPr>
        <w:t>2022年4月19日印发</w:t>
      </w:r>
    </w:p>
    <w:p>
      <w:pPr>
        <w:spacing w:line="39" w:lineRule="exact"/>
        <w:textAlignment w:val="center"/>
      </w:pPr>
      <w:r>
        <w:drawing>
          <wp:inline distT="0" distB="0" distL="0" distR="0">
            <wp:extent cx="5752465" cy="2476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9"/>
                    <a:stretch>
                      <a:fillRect/>
                    </a:stretch>
                  </pic:blipFill>
                  <pic:spPr>
                    <a:xfrm>
                      <a:off x="0" y="0"/>
                      <a:ext cx="5753054" cy="25318"/>
                    </a:xfrm>
                    <a:prstGeom prst="rect">
                      <a:avLst/>
                    </a:prstGeom>
                  </pic:spPr>
                </pic:pic>
              </a:graphicData>
            </a:graphic>
          </wp:inline>
        </w:drawing>
      </w:r>
    </w:p>
    <w:p>
      <w:pPr>
        <w:spacing w:before="162" w:line="190" w:lineRule="auto"/>
        <w:ind w:firstLine="469"/>
        <w:rPr>
          <w:rFonts w:ascii="黑体" w:hAnsi="黑体" w:eastAsia="黑体" w:cs="黑体"/>
          <w:sz w:val="32"/>
          <w:szCs w:val="32"/>
        </w:rPr>
      </w:pPr>
      <w:r>
        <w:rPr>
          <w:rFonts w:ascii="黑体" w:hAnsi="黑体" w:eastAsia="黑体" w:cs="黑体"/>
          <w:sz w:val="32"/>
          <w:szCs w:val="32"/>
        </w:rPr>
        <w:t>─2─</w:t>
      </w:r>
    </w:p>
    <w:sectPr>
      <w:footerReference r:id="rId6" w:type="default"/>
      <w:pgSz w:w="11910" w:h="16840"/>
      <w:pgMar w:top="1431" w:right="1380" w:bottom="400" w:left="147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3" w:lineRule="exact"/>
      <w:ind w:firstLine="7330"/>
      <w:rPr>
        <w:rFonts w:ascii="仿宋" w:hAnsi="仿宋" w:eastAsia="仿宋" w:cs="仿宋"/>
        <w:sz w:val="31"/>
        <w:szCs w:val="31"/>
      </w:rPr>
    </w:pPr>
    <w:r>
      <w:rPr>
        <w:rFonts w:ascii="仿宋" w:hAnsi="仿宋" w:eastAsia="仿宋" w:cs="仿宋"/>
        <w:position w:val="-4"/>
        <w:sz w:val="31"/>
        <w:szCs w:val="31"/>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1C627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739</Words>
  <Characters>791</Characters>
  <TotalTime>0</TotalTime>
  <ScaleCrop>false</ScaleCrop>
  <LinksUpToDate>false</LinksUpToDate>
  <CharactersWithSpaces>839</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2022-04-21T11:51:00Z</dcterms:created>
  <dc:creator>Kingsoft-PDF</dc:creator>
  <cp:keywords>6260d4cd33187000159c4668</cp:keywords>
  <cp:lastModifiedBy>Whale Fall</cp:lastModifiedBy>
  <dcterms:modified xsi:type="dcterms:W3CDTF">2022-04-21T03:52:18Z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2022-04-21T11:51:51Z</vt:filetime>
  </property>
  <property fmtid="{D5CDD505-2E9C-101B-9397-08002B2CF9AE}" pid="4" name="KSOProductBuildVer">
    <vt:lpwstr>2052-11.1.0.11365</vt:lpwstr>
  </property>
  <property fmtid="{D5CDD505-2E9C-101B-9397-08002B2CF9AE}" pid="5" name="ICV">
    <vt:lpwstr>D1FEF907B45A4AF9B4442FCB73D84C37</vt:lpwstr>
  </property>
</Properties>
</file>