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0"/>
        <w:rPr>
          <w:rFonts w:hint="eastAsia" w:ascii="黑体" w:hAnsi="黑体" w:eastAsia="黑体" w:cs="黑体"/>
        </w:rPr>
      </w:pPr>
      <w:r>
        <w:rPr>
          <w:rFonts w:hint="eastAsia" w:ascii="黑体" w:hAnsi="黑体" w:eastAsia="黑体" w:cs="黑体"/>
        </w:rPr>
        <w:t>ICS</w:t>
      </w:r>
      <w:bookmarkStart w:id="0" w:name="ICS"/>
      <w:r>
        <w:rPr>
          <w:rFonts w:hint="eastAsia" w:hAnsi="黑体" w:cs="黑体"/>
          <w:lang w:val="en-US" w:eastAsia="zh-CN"/>
        </w:rPr>
        <w:t xml:space="preserve"> </w:t>
      </w:r>
      <w:r>
        <w:rPr>
          <w:rFonts w:hint="eastAsia" w:ascii="黑体" w:hAnsi="黑体" w:eastAsia="黑体" w:cs="黑体"/>
          <w:lang w:val="en-US" w:eastAsia="zh-CN"/>
        </w:rPr>
        <w:t>13.040.40</w:t>
      </w:r>
      <w:bookmarkEnd w:id="0"/>
    </w:p>
    <w:p>
      <w:pPr>
        <w:pStyle w:val="130"/>
        <w:rPr>
          <w:rFonts w:hint="default"/>
          <w:lang w:val="en-US"/>
        </w:rPr>
      </w:pPr>
      <w:bookmarkStart w:id="1" w:name="WXFLH"/>
      <w:r>
        <w:rPr>
          <w:rFonts w:hint="eastAsia"/>
          <w:lang w:val="en-US" w:eastAsia="zh-CN"/>
        </w:rPr>
        <w:t>CCS Z</w:t>
      </w:r>
      <w:bookmarkEnd w:id="1"/>
      <w:r>
        <w:rPr>
          <w:rFonts w:hint="eastAsia"/>
          <w:lang w:val="en-US" w:eastAsia="zh-CN"/>
        </w:rPr>
        <w:t xml:space="preserve"> 60</w:t>
      </w: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130"/>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DIri/s1QAAAAcBAAAPAAAAAAAAAAEAIAAAACIAAABkcnMv&#10;ZG93bnJldi54bWxQSwECFAAUAAAACACHTuJAuph7KJQBAAAZAwAADgAAAAAAAAABACAAAAAkAQAA&#10;ZHJzL2Uyb0RvYy54bWxQSwUGAAAAAAYABgBZAQAAKgU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130"/>
            </w:pPr>
          </w:p>
        </w:tc>
      </w:tr>
    </w:tbl>
    <w:p>
      <w:pPr>
        <w:pStyle w:val="60"/>
      </w:pPr>
      <w:bookmarkStart w:id="2" w:name="c3"/>
      <w:r>
        <w:drawing>
          <wp:anchor distT="0" distB="0" distL="114300" distR="114300" simplePos="0" relativeHeight="251665408" behindDoc="0" locked="0" layoutInCell="1" allowOverlap="1">
            <wp:simplePos x="0" y="0"/>
            <wp:positionH relativeFrom="column">
              <wp:posOffset>2103120</wp:posOffset>
            </wp:positionH>
            <wp:positionV relativeFrom="paragraph">
              <wp:posOffset>121285</wp:posOffset>
            </wp:positionV>
            <wp:extent cx="901700" cy="487680"/>
            <wp:effectExtent l="0" t="0" r="12700" b="7620"/>
            <wp:wrapNone/>
            <wp:docPr id="7" name="图片 16"/>
            <wp:cNvGraphicFramePr/>
            <a:graphic xmlns:a="http://schemas.openxmlformats.org/drawingml/2006/main">
              <a:graphicData uri="http://schemas.openxmlformats.org/drawingml/2006/picture">
                <pic:pic xmlns:pic="http://schemas.openxmlformats.org/drawingml/2006/picture">
                  <pic:nvPicPr>
                    <pic:cNvPr id="7" name="图片 16"/>
                    <pic:cNvPicPr/>
                  </pic:nvPicPr>
                  <pic:blipFill>
                    <a:blip r:embed="rId10"/>
                    <a:stretch>
                      <a:fillRect/>
                    </a:stretch>
                  </pic:blipFill>
                  <pic:spPr>
                    <a:xfrm>
                      <a:off x="0" y="0"/>
                      <a:ext cx="901700" cy="487680"/>
                    </a:xfrm>
                    <a:prstGeom prst="rect">
                      <a:avLst/>
                    </a:prstGeom>
                    <a:noFill/>
                    <a:ln>
                      <a:noFill/>
                    </a:ln>
                  </pic:spPr>
                </pic:pic>
              </a:graphicData>
            </a:graphic>
          </wp:anchor>
        </w:drawing>
      </w:r>
      <w:bookmarkEnd w:id="2"/>
      <w:r>
        <w:rPr>
          <w:rFonts w:hint="eastAsia"/>
        </w:rPr>
        <w:fldChar w:fldCharType="begin">
          <w:ffData>
            <w:name w:val="c3"/>
            <w:enabled/>
            <w:calcOnExit w:val="0"/>
            <w:textInput>
              <w:maxLength w:val="2"/>
            </w:textInput>
          </w:ffData>
        </w:fldChar>
      </w:r>
      <w:r>
        <w:rPr>
          <w:rFonts w:hint="eastAsia"/>
        </w:rPr>
        <w:instrText xml:space="preserve">FORMTEXT</w:instrText>
      </w:r>
      <w:r>
        <w:rPr>
          <w:rFonts w:hint="eastAsia"/>
        </w:rPr>
        <w:fldChar w:fldCharType="separate"/>
      </w:r>
      <w:r>
        <w:rPr>
          <w:rFonts w:hint="eastAsia"/>
        </w:rPr>
        <w:t>32</w:t>
      </w:r>
      <w:r>
        <w:rPr>
          <w:rFonts w:hint="eastAsia"/>
        </w:rPr>
        <w:fldChar w:fldCharType="end"/>
      </w:r>
    </w:p>
    <w:p>
      <w:pPr>
        <w:pStyle w:val="110"/>
      </w:pPr>
      <w:bookmarkStart w:id="3" w:name="c4"/>
      <w:r>
        <w:fldChar w:fldCharType="begin">
          <w:ffData>
            <w:name w:val="c4"/>
            <w:enabled/>
            <w:calcOnExit w:val="0"/>
            <w:textInput/>
          </w:ffData>
        </w:fldChar>
      </w:r>
      <w:r>
        <w:instrText xml:space="preserve"> FORMTEXT </w:instrText>
      </w:r>
      <w:r>
        <w:fldChar w:fldCharType="separate"/>
      </w:r>
      <w:r>
        <w:rPr>
          <w:rFonts w:hint="eastAsia"/>
        </w:rPr>
        <w:t>江苏省</w:t>
      </w:r>
      <w:r>
        <w:fldChar w:fldCharType="end"/>
      </w:r>
      <w:bookmarkEnd w:id="3"/>
      <w:r>
        <w:rPr>
          <w:rFonts w:hint="eastAsia"/>
        </w:rPr>
        <w:t>地方标准</w:t>
      </w:r>
    </w:p>
    <w:p>
      <w:pPr>
        <w:pStyle w:val="88"/>
        <w:rPr>
          <w:rFonts w:hAnsi="黑体"/>
        </w:rPr>
      </w:pPr>
      <w:r>
        <w:rPr>
          <w:rFonts w:hint="eastAsia" w:ascii="黑体" w:hAnsi="黑体" w:eastAsia="黑体" w:cs="黑体"/>
        </w:rPr>
        <w:t>DB</w:t>
      </w:r>
      <w:bookmarkStart w:id="4" w:name="StdNo0"/>
      <w:r>
        <w:rPr>
          <w:rFonts w:hint="eastAsia" w:ascii="黑体" w:hAnsi="黑体" w:eastAsia="黑体" w:cs="黑体"/>
        </w:rPr>
        <w:fldChar w:fldCharType="begin">
          <w:ffData>
            <w:name w:val="StdNo0"/>
            <w:enabled/>
            <w:calcOnExit w:val="0"/>
            <w:textInput>
              <w:default w:val="XX"/>
              <w:maxLength w:val="2"/>
            </w:textInput>
          </w:ffData>
        </w:fldChar>
      </w:r>
      <w:r>
        <w:rPr>
          <w:rFonts w:hint="eastAsia" w:ascii="黑体" w:hAnsi="黑体" w:eastAsia="黑体" w:cs="黑体"/>
        </w:rPr>
        <w:instrText xml:space="preserve"> FORMTEXT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bookmarkEnd w:id="4"/>
      <w:r>
        <w:rPr>
          <w:rFonts w:hAnsi="黑体"/>
        </w:rPr>
        <w:t xml:space="preserve">/ </w:t>
      </w:r>
      <w:bookmarkStart w:id="5"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5"/>
      <w:r>
        <w:rPr>
          <w:rFonts w:hAnsi="黑体"/>
        </w:rPr>
        <w:t>—</w:t>
      </w:r>
      <w:bookmarkStart w:id="6"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6"/>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16"/>
            </w:pPr>
            <w:bookmarkStart w:id="7" w:name="DT"/>
            <w: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">
                      <v:fill on="t" focussize="0,0"/>
                      <v:stroke on="f"/>
                      <v:imagedata o:title=""/>
                      <o:lock v:ext="edit" aspectratio="f"/>
                    </v:rect>
                  </w:pict>
                </mc:Fallback>
              </mc:AlternateContent>
            </w:r>
            <w:bookmarkEnd w:id="7"/>
          </w:p>
        </w:tc>
      </w:tr>
    </w:tbl>
    <w:p>
      <w:pPr>
        <w:pStyle w:val="88"/>
        <w:rPr>
          <w:rFonts w:hAnsi="黑体"/>
        </w:rPr>
      </w:pPr>
    </w:p>
    <w:p>
      <w:pPr>
        <w:pStyle w:val="88"/>
        <w:rPr>
          <w:rFonts w:hAnsi="黑体"/>
        </w:rPr>
      </w:pPr>
    </w:p>
    <w:p>
      <w:pPr>
        <w:pStyle w:val="50"/>
      </w:pPr>
      <w:bookmarkStart w:id="8"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燃气电厂大气污染物排放标准</w:t>
      </w:r>
      <w:r>
        <w:fldChar w:fldCharType="end"/>
      </w:r>
      <w:bookmarkEnd w:id="8"/>
    </w:p>
    <w:p>
      <w:pPr>
        <w:pStyle w:val="49"/>
      </w:pPr>
      <w:bookmarkStart w:id="9" w:name="StdEnglishName"/>
      <w:r>
        <w:rPr>
          <w:rFonts w:hint="eastAsia" w:ascii="黑体" w:hAnsi="黑体" w:eastAsia="黑体" w:cs="黑体"/>
        </w:rPr>
        <w:fldChar w:fldCharType="begin">
          <w:ffData>
            <w:name w:val="StdEnglishName"/>
            <w:enabled/>
            <w:calcOnExit w:val="0"/>
            <w:textInput>
              <w:default w:val="点击此处添加标准英文译名"/>
            </w:textInput>
          </w:ffData>
        </w:fldChar>
      </w:r>
      <w:r>
        <w:rPr>
          <w:rFonts w:hint="eastAsia" w:ascii="黑体" w:hAnsi="黑体" w:eastAsia="黑体" w:cs="黑体"/>
        </w:rPr>
        <w:instrText xml:space="preserve"> FORMTEXT </w:instrText>
      </w:r>
      <w:r>
        <w:rPr>
          <w:rFonts w:hint="eastAsia" w:ascii="黑体" w:hAnsi="黑体" w:eastAsia="黑体" w:cs="黑体"/>
        </w:rPr>
        <w:fldChar w:fldCharType="separate"/>
      </w:r>
      <w:r>
        <w:rPr>
          <w:rFonts w:hint="eastAsia" w:ascii="黑体" w:hAnsi="黑体" w:eastAsia="黑体" w:cs="黑体"/>
        </w:rPr>
        <w:t>Emission standard of air pollutants for gas-fired power plants</w:t>
      </w:r>
      <w:r>
        <w:rPr>
          <w:rFonts w:hint="eastAsia" w:ascii="黑体" w:hAnsi="黑体" w:eastAsia="黑体" w:cs="黑体"/>
        </w:rPr>
        <w:fldChar w:fldCharType="end"/>
      </w:r>
      <w:bookmarkEnd w:id="9"/>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48"/>
              <w:jc w:val="center"/>
            </w:pPr>
            <w: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">
                      <v:fill on="t" focussize="0,0"/>
                      <v:stroke on="f"/>
                      <v:imagedata o:title=""/>
                      <o:lock v:ext="edit" aspectratio="f"/>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">
                      <v:fill on="t" focussize="0,0"/>
                      <v:stroke on="f"/>
                      <v:imagedata o:title=""/>
                      <o:lock v:ext="edit" aspectratio="f"/>
                    </v:rect>
                  </w:pict>
                </mc:Fallback>
              </mc:AlternateContent>
            </w:r>
            <w:r>
              <w:rPr>
                <w:rFonts w:hint="eastAsia"/>
              </w:rPr>
              <w:t>（</w:t>
            </w:r>
            <w:r>
              <w:rPr>
                <w:rFonts w:hint="eastAsia"/>
                <w:lang w:val="en-US" w:eastAsia="zh-CN"/>
              </w:rPr>
              <w:t>报批稿</w:t>
            </w:r>
            <w:r>
              <w:rPr>
                <w:rFonts w:hint="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94"/>
              <w:rPr>
                <w:rFonts w:hint="eastAsia" w:eastAsia="宋体"/>
                <w:lang w:eastAsia="zh-CN"/>
              </w:rPr>
            </w:pPr>
          </w:p>
        </w:tc>
      </w:tr>
    </w:tbl>
    <w:p>
      <w:pPr>
        <w:pStyle w:val="115"/>
      </w:pPr>
      <w:bookmarkStart w:id="10"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bookmarkStart w:id="11" w:name="PRTVIEWTCS"/>
      <w:bookmarkEnd w:id="11"/>
      <w:r>
        <w:rPr>
          <w:rFonts w:hint="eastAsia" w:ascii="黑体"/>
        </w:rPr>
        <w:t>20</w:t>
      </w:r>
      <w:r>
        <w:rPr>
          <w:rFonts w:ascii="黑体"/>
        </w:rPr>
        <w:fldChar w:fldCharType="end"/>
      </w:r>
      <w:bookmarkEnd w:id="10"/>
      <w:r>
        <w:rPr>
          <w:rFonts w:hint="eastAsia" w:ascii="黑体"/>
          <w:lang w:val="en-US" w:eastAsia="zh-CN"/>
        </w:rPr>
        <w:t>XX</w:t>
      </w:r>
      <w:r>
        <w:t xml:space="preserve"> </w:t>
      </w:r>
      <w:r>
        <w:rPr>
          <w:rFonts w:ascii="黑体"/>
        </w:rPr>
        <w:t>-</w:t>
      </w:r>
      <w:r>
        <w:t xml:space="preserve"> </w:t>
      </w:r>
      <w:r>
        <w:rPr>
          <w:rFonts w:hint="eastAsia" w:ascii="黑体"/>
          <w:lang w:val="en-US" w:eastAsia="zh-CN"/>
        </w:rPr>
        <w:t>XX</w:t>
      </w:r>
      <w:r>
        <w:t xml:space="preserve"> </w:t>
      </w:r>
      <w:r>
        <w:rPr>
          <w:rFonts w:ascii="黑体"/>
        </w:rPr>
        <w:t>-</w:t>
      </w:r>
      <w:r>
        <w:rPr>
          <w:rFonts w:hint="eastAsia" w:ascii="黑体"/>
          <w:lang w:val="en-US" w:eastAsia="zh-CN"/>
        </w:rPr>
        <w:t xml:space="preserve"> XX</w:t>
      </w:r>
      <w:r>
        <w:rPr>
          <w:rFonts w:hint="eastAsia"/>
        </w:rPr>
        <w:t>发布</w:t>
      </w:r>
      <w: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lh2s81gAAAAsBAAAPAAAAAAAAAAEAIAAAACIAAABkcnMv&#10;ZG93bnJldi54bWxQSwECFAAUAAAACACHTuJA4WqPt8wBAACOAwAADgAAAAAAAAABACAAAAAlAQAA&#10;ZHJzL2Uyb0RvYy54bWxQSwUGAAAAAAYABgBZAQAAYwUAAAAA&#10;">
                <v:fill on="f" focussize="0,0"/>
                <v:stroke color="#000000" joinstyle="round"/>
                <v:imagedata o:title=""/>
                <o:lock v:ext="edit" aspectratio="f"/>
                <w10:anchorlock/>
              </v:line>
            </w:pict>
          </mc:Fallback>
        </mc:AlternateContent>
      </w:r>
    </w:p>
    <w:p>
      <w:pPr>
        <w:pStyle w:val="97"/>
      </w:pPr>
      <w:bookmarkStart w:id="12"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hint="eastAsia" w:ascii="黑体"/>
        </w:rPr>
        <w:t>20</w:t>
      </w:r>
      <w:r>
        <w:rPr>
          <w:rFonts w:hint="eastAsia" w:ascii="黑体"/>
          <w:lang w:val="en-US" w:eastAsia="zh-CN"/>
        </w:rPr>
        <w:t>XX</w:t>
      </w:r>
      <w:r>
        <w:rPr>
          <w:rFonts w:ascii="黑体"/>
        </w:rPr>
        <w:fldChar w:fldCharType="end"/>
      </w:r>
      <w:bookmarkEnd w:id="12"/>
      <w:r>
        <w:t xml:space="preserve"> </w:t>
      </w:r>
      <w:r>
        <w:rPr>
          <w:rFonts w:ascii="黑体"/>
        </w:rPr>
        <w:t>-</w:t>
      </w:r>
      <w:r>
        <w:t xml:space="preserve"> </w:t>
      </w:r>
      <w:bookmarkStart w:id="13" w:name="SM"/>
      <w:r>
        <w:rPr>
          <w:rFonts w:hint="eastAsia" w:ascii="黑体"/>
          <w:lang w:val="en-US" w:eastAsia="zh-CN"/>
        </w:rPr>
        <w:t>XX</w:t>
      </w:r>
      <w:bookmarkEnd w:id="13"/>
      <w:r>
        <w:t xml:space="preserve"> </w:t>
      </w:r>
      <w:r>
        <w:rPr>
          <w:rFonts w:ascii="黑体"/>
        </w:rPr>
        <w:t>-</w:t>
      </w:r>
      <w:r>
        <w:t xml:space="preserve"> </w:t>
      </w:r>
      <w:bookmarkStart w:id="14" w:name="SD"/>
      <w:r>
        <w:rPr>
          <w:rFonts w:hint="eastAsia" w:ascii="黑体"/>
          <w:lang w:val="en-US" w:eastAsia="zh-CN"/>
        </w:rPr>
        <w:t>XX</w:t>
      </w:r>
      <w:bookmarkEnd w:id="14"/>
      <w:r>
        <w:rPr>
          <w:rFonts w:hint="eastAsia"/>
        </w:rPr>
        <w:t>实施</w:t>
      </w:r>
    </w:p>
    <w:p>
      <w:pPr>
        <w:pStyle w:val="113"/>
        <w:framePr w:h="587" w:hRule="exact" w:x="1373" w:y="15240"/>
      </w:pPr>
      <w:r>
        <w:rPr>
          <w:rFonts w:hint="eastAsia"/>
        </w:rPr>
        <w:t>江苏省市场监督管理局</w:t>
      </w:r>
    </w:p>
    <w:p>
      <w:pPr>
        <w:pStyle w:val="113"/>
        <w:framePr w:w="1258" w:h="403" w:hRule="exact" w:x="8001" w:y="15002"/>
      </w:pPr>
      <w:r>
        <w:rPr>
          <w:rStyle w:val="132"/>
          <w:rFonts w:hint="eastAsia"/>
        </w:rPr>
        <w:t>发布</w:t>
      </w:r>
    </w:p>
    <w:p>
      <w:pPr>
        <w:pStyle w:val="113"/>
        <w:framePr w:w="4755" w:h="537" w:hRule="exact" w:x="3039" w:y="14791"/>
        <w:rPr>
          <w:spacing w:val="80"/>
        </w:rPr>
      </w:pPr>
      <w:r>
        <w:rPr>
          <w:rFonts w:hint="eastAsia"/>
          <w:spacing w:val="80"/>
        </w:rPr>
        <w:t>江苏省生态环境厅</w:t>
      </w:r>
    </w:p>
    <w:p>
      <w:pPr>
        <w:pStyle w:val="22"/>
        <w:sectPr>
          <w:headerReference r:id="rId3" w:type="default"/>
          <w:footerReference r:id="rId5" w:type="default"/>
          <w:headerReference r:id="rId4" w:type="even"/>
          <w:footerReference r:id="rId6"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&#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JB4l/XAAAACQEAAA8AAAAAAAAAAQAgAAAAIgAAAGRy&#10;cy9kb3ducmV2LnhtbFBLAQIUABQAAAAIAIdO4kDX0OsjzQEAAI4DAAAOAAAAAAAAAAEAIAAAACYB&#10;AABkcnMvZTJvRG9jLnhtbFBLBQYAAAAABgAGAFkBAABlBQAAAAA=&#10;">
                <v:fill on="f" focussize="0,0"/>
                <v:stroke color="#000000" joinstyle="round"/>
                <v:imagedata o:title=""/>
                <o:lock v:ext="edit" aspectratio="f"/>
              </v:line>
            </w:pict>
          </mc:Fallback>
        </mc:AlternateContent>
      </w:r>
    </w:p>
    <w:p>
      <w:pPr>
        <w:pStyle w:val="107"/>
        <w:rPr>
          <w:rFonts w:hint="eastAsia" w:ascii="黑体" w:hAnsi="黑体" w:eastAsia="黑体" w:cs="黑体"/>
        </w:rPr>
      </w:pPr>
      <w:bookmarkStart w:id="15" w:name="_Toc3961"/>
      <w:r>
        <w:rPr>
          <w:rFonts w:hint="eastAsia" w:ascii="黑体" w:hAnsi="黑体" w:eastAsia="黑体" w:cs="黑体"/>
        </w:rPr>
        <w:t>目</w:t>
      </w:r>
      <w:bookmarkStart w:id="16" w:name="BKML"/>
      <w:r>
        <w:rPr>
          <w:rFonts w:hint="eastAsia" w:ascii="黑体" w:hAnsi="黑体" w:eastAsia="黑体" w:cs="黑体"/>
        </w:rPr>
        <w:t>  次</w:t>
      </w:r>
      <w:bookmarkEnd w:id="15"/>
      <w:bookmarkEnd w:id="16"/>
    </w:p>
    <w:p>
      <w:pPr>
        <w:pStyle w:val="18"/>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pPr>
      <w:r>
        <w:rPr>
          <w:rFonts w:hint="eastAsia" w:ascii="宋体" w:hAnsi="宋体" w:eastAsia="宋体" w:cs="宋体"/>
        </w:rPr>
        <w:fldChar w:fldCharType="begin"/>
      </w:r>
      <w:r>
        <w:rPr>
          <w:rFonts w:hint="eastAsia" w:ascii="宋体" w:hAnsi="宋体" w:eastAsia="宋体" w:cs="宋体"/>
        </w:rPr>
        <w:instrText xml:space="preserve">TOC \o "1-2" \h \u </w:instrText>
      </w:r>
      <w:r>
        <w:rPr>
          <w:rFonts w:hint="eastAsia" w:ascii="宋体" w:hAnsi="宋体" w:eastAsia="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_Toc7807 </w:instrText>
      </w:r>
      <w:r>
        <w:rPr>
          <w:rFonts w:hint="eastAsia" w:ascii="宋体" w:hAnsi="宋体" w:eastAsia="宋体" w:cs="宋体"/>
        </w:rPr>
        <w:fldChar w:fldCharType="separate"/>
      </w:r>
      <w:r>
        <w:rPr>
          <w:rFonts w:hint="eastAsia"/>
        </w:rPr>
        <w:t>前言</w:t>
      </w:r>
      <w:r>
        <w:tab/>
      </w:r>
      <w:r>
        <w:fldChar w:fldCharType="begin"/>
      </w:r>
      <w:r>
        <w:instrText xml:space="preserve"> PAGEREF _Toc7807 \h </w:instrText>
      </w:r>
      <w:r>
        <w:fldChar w:fldCharType="separate"/>
      </w:r>
      <w:r>
        <w:t>II</w:t>
      </w:r>
      <w:r>
        <w:fldChar w:fldCharType="end"/>
      </w:r>
      <w:r>
        <w:rPr>
          <w:rFonts w:hint="eastAsia" w:ascii="宋体" w:hAnsi="宋体" w:eastAsia="宋体" w:cs="宋体"/>
        </w:rPr>
        <w:fldChar w:fldCharType="end"/>
      </w:r>
    </w:p>
    <w:p>
      <w:pPr>
        <w:pStyle w:val="27"/>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_Toc19455 </w:instrText>
      </w:r>
      <w:r>
        <w:rPr>
          <w:rFonts w:hint="eastAsia" w:ascii="宋体" w:hAnsi="宋体" w:eastAsia="宋体" w:cs="宋体"/>
        </w:rPr>
        <w:fldChar w:fldCharType="separate"/>
      </w:r>
      <w:r>
        <w:rPr>
          <w:rFonts w:hint="eastAsia" w:ascii="宋体" w:hAnsi="宋体" w:eastAsia="宋体" w:cs="宋体"/>
          <w:i w:val="0"/>
          <w:szCs w:val="21"/>
        </w:rPr>
        <w:t xml:space="preserve">1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_Toc19455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7"/>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_Toc32598 </w:instrText>
      </w:r>
      <w:r>
        <w:rPr>
          <w:rFonts w:hint="eastAsia" w:ascii="宋体" w:hAnsi="宋体" w:eastAsia="宋体" w:cs="宋体"/>
        </w:rPr>
        <w:fldChar w:fldCharType="separate"/>
      </w:r>
      <w:r>
        <w:rPr>
          <w:rFonts w:hint="eastAsia" w:ascii="宋体" w:hAnsi="宋体" w:eastAsia="宋体" w:cs="宋体"/>
          <w:i w:val="0"/>
          <w:szCs w:val="21"/>
        </w:rPr>
        <w:t xml:space="preserve">2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_Toc32598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7"/>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_Toc9399 </w:instrText>
      </w:r>
      <w:r>
        <w:rPr>
          <w:rFonts w:hint="eastAsia" w:ascii="宋体" w:hAnsi="宋体" w:eastAsia="宋体" w:cs="宋体"/>
        </w:rPr>
        <w:fldChar w:fldCharType="separate"/>
      </w:r>
      <w:r>
        <w:rPr>
          <w:rFonts w:hint="eastAsia" w:ascii="宋体" w:hAnsi="宋体" w:eastAsia="宋体" w:cs="宋体"/>
          <w:i w:val="0"/>
          <w:szCs w:val="21"/>
        </w:rPr>
        <w:t xml:space="preserve">3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_Toc9399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7"/>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_Toc27090 </w:instrText>
      </w:r>
      <w:r>
        <w:rPr>
          <w:rFonts w:hint="eastAsia" w:ascii="宋体" w:hAnsi="宋体" w:eastAsia="宋体" w:cs="宋体"/>
        </w:rPr>
        <w:fldChar w:fldCharType="separate"/>
      </w:r>
      <w:r>
        <w:rPr>
          <w:rFonts w:hint="eastAsia" w:ascii="宋体" w:hAnsi="宋体" w:eastAsia="宋体" w:cs="宋体"/>
          <w:i w:val="0"/>
          <w:szCs w:val="21"/>
        </w:rPr>
        <w:t xml:space="preserve">4 </w:t>
      </w:r>
      <w:r>
        <w:rPr>
          <w:rFonts w:hint="eastAsia" w:ascii="宋体" w:hAnsi="宋体" w:eastAsia="宋体" w:cs="宋体"/>
        </w:rPr>
        <w:t>排放控制要求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_Toc27090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7"/>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_Toc24697 </w:instrText>
      </w:r>
      <w:r>
        <w:rPr>
          <w:rFonts w:hint="eastAsia" w:ascii="宋体" w:hAnsi="宋体" w:eastAsia="宋体" w:cs="宋体"/>
        </w:rPr>
        <w:fldChar w:fldCharType="separate"/>
      </w:r>
      <w:r>
        <w:rPr>
          <w:rFonts w:hint="eastAsia" w:ascii="宋体" w:hAnsi="宋体" w:eastAsia="宋体" w:cs="宋体"/>
          <w:i w:val="0"/>
          <w:szCs w:val="21"/>
        </w:rPr>
        <w:t xml:space="preserve">5 </w:t>
      </w:r>
      <w:r>
        <w:rPr>
          <w:rFonts w:hint="eastAsia" w:ascii="宋体" w:hAnsi="宋体" w:eastAsia="宋体" w:cs="宋体"/>
        </w:rPr>
        <w:t>污染物监测要求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_Toc24697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27"/>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_Toc14735 </w:instrText>
      </w:r>
      <w:r>
        <w:rPr>
          <w:rFonts w:hint="eastAsia" w:ascii="宋体" w:hAnsi="宋体" w:eastAsia="宋体" w:cs="宋体"/>
        </w:rPr>
        <w:fldChar w:fldCharType="separate"/>
      </w:r>
      <w:r>
        <w:rPr>
          <w:rFonts w:hint="eastAsia" w:ascii="宋体" w:hAnsi="宋体" w:eastAsia="宋体" w:cs="宋体"/>
          <w:i w:val="0"/>
          <w:szCs w:val="21"/>
        </w:rPr>
        <w:t xml:space="preserve">6 </w:t>
      </w:r>
      <w:r>
        <w:rPr>
          <w:rFonts w:hint="eastAsia" w:ascii="宋体" w:hAnsi="宋体" w:eastAsia="宋体" w:cs="宋体"/>
        </w:rPr>
        <w:t>达标判定要求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_Toc14735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pPr>
        <w:pStyle w:val="27"/>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pPr>
      <w:r>
        <w:rPr>
          <w:rFonts w:hint="eastAsia" w:ascii="宋体" w:hAnsi="宋体" w:eastAsia="宋体" w:cs="宋体"/>
        </w:rPr>
        <w:fldChar w:fldCharType="begin"/>
      </w:r>
      <w:r>
        <w:rPr>
          <w:rFonts w:hint="eastAsia" w:ascii="宋体" w:hAnsi="宋体" w:eastAsia="宋体" w:cs="宋体"/>
        </w:rPr>
        <w:instrText xml:space="preserve"> HYPERLINK \l _Toc2650 </w:instrText>
      </w:r>
      <w:r>
        <w:rPr>
          <w:rFonts w:hint="eastAsia" w:ascii="宋体" w:hAnsi="宋体" w:eastAsia="宋体" w:cs="宋体"/>
        </w:rPr>
        <w:fldChar w:fldCharType="separate"/>
      </w:r>
      <w:r>
        <w:rPr>
          <w:rFonts w:hint="eastAsia" w:ascii="宋体" w:hAnsi="宋体" w:eastAsia="宋体" w:cs="宋体"/>
          <w:i w:val="0"/>
          <w:szCs w:val="21"/>
        </w:rPr>
        <w:t xml:space="preserve">7 </w:t>
      </w:r>
      <w:r>
        <w:rPr>
          <w:rFonts w:hint="eastAsia" w:ascii="宋体" w:hAnsi="宋体" w:eastAsia="宋体" w:cs="宋体"/>
        </w:rPr>
        <w:t>实施与监督</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_Toc2650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fldChar w:fldCharType="end"/>
      </w:r>
    </w:p>
    <w:p>
      <w:pPr>
        <w:pStyle w:val="18"/>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pPr>
      <w:r>
        <w:rPr>
          <w:rFonts w:hint="eastAsia" w:ascii="宋体" w:hAnsi="宋体" w:eastAsia="宋体" w:cs="宋体"/>
        </w:rPr>
        <w:fldChar w:fldCharType="begin"/>
      </w:r>
      <w:r>
        <w:rPr>
          <w:rFonts w:hint="eastAsia" w:ascii="宋体" w:hAnsi="宋体" w:eastAsia="宋体" w:cs="宋体"/>
        </w:rPr>
        <w:instrText xml:space="preserve"> HYPERLINK \l _Toc2621 </w:instrText>
      </w:r>
      <w:r>
        <w:rPr>
          <w:rFonts w:hint="eastAsia" w:ascii="宋体" w:hAnsi="宋体" w:eastAsia="宋体" w:cs="宋体"/>
        </w:rPr>
        <w:fldChar w:fldCharType="separate"/>
      </w:r>
      <w:r>
        <w:rPr>
          <w:rFonts w:hint="eastAsia"/>
          <w:lang w:eastAsia="zh-CN"/>
        </w:rPr>
        <w:t>参考文献</w:t>
      </w:r>
      <w:r>
        <w:tab/>
      </w:r>
      <w:r>
        <w:fldChar w:fldCharType="begin"/>
      </w:r>
      <w:r>
        <w:instrText xml:space="preserve"> PAGEREF _Toc2621 \h </w:instrText>
      </w:r>
      <w:r>
        <w:fldChar w:fldCharType="separate"/>
      </w:r>
      <w:r>
        <w:t>6</w:t>
      </w:r>
      <w:r>
        <w:fldChar w:fldCharType="end"/>
      </w:r>
      <w:r>
        <w:rPr>
          <w:rFonts w:hint="eastAsia" w:ascii="宋体" w:hAnsi="宋体" w:eastAsia="宋体" w:cs="宋体"/>
        </w:rPr>
        <w:fldChar w:fldCharType="end"/>
      </w:r>
    </w:p>
    <w:p>
      <w:pPr>
        <w:pStyle w:val="1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hint="eastAsia"/>
        </w:rPr>
      </w:pPr>
      <w:r>
        <w:rPr>
          <w:rFonts w:hint="eastAsia" w:ascii="宋体" w:hAnsi="宋体" w:eastAsia="宋体" w:cs="宋体"/>
        </w:rPr>
        <w:fldChar w:fldCharType="end"/>
      </w:r>
    </w:p>
    <w:p>
      <w:pPr>
        <w:pStyle w:val="122"/>
        <w:rPr>
          <w:rFonts w:hint="eastAsia"/>
        </w:rPr>
      </w:pPr>
      <w:bookmarkStart w:id="17" w:name="_Toc7807"/>
      <w:bookmarkStart w:id="18" w:name="_Toc32508532"/>
      <w:r>
        <w:rPr>
          <w:rFonts w:hint="eastAsia"/>
        </w:rPr>
        <w:t>前</w:t>
      </w:r>
      <w:bookmarkStart w:id="19" w:name="BKQY"/>
      <w:r>
        <w:rPr>
          <w:rFonts w:hint="eastAsia" w:ascii="MS Mincho" w:hAnsi="MS Mincho" w:eastAsia="MS Mincho" w:cs="MS Mincho"/>
        </w:rPr>
        <w:t>  </w:t>
      </w:r>
      <w:r>
        <w:rPr>
          <w:rFonts w:hint="eastAsia"/>
        </w:rPr>
        <w:t>言</w:t>
      </w:r>
      <w:bookmarkEnd w:id="17"/>
      <w:bookmarkEnd w:id="18"/>
      <w:bookmarkEnd w:id="19"/>
    </w:p>
    <w:p>
      <w:pPr>
        <w:keepNext w:val="0"/>
        <w:keepLines w:val="0"/>
        <w:pageBreakBefore w:val="0"/>
        <w:widowControl/>
        <w:kinsoku/>
        <w:wordWrap/>
        <w:overflowPunct/>
        <w:topLinePunct w:val="0"/>
        <w:autoSpaceDE w:val="0"/>
        <w:autoSpaceDN w:val="0"/>
        <w:bidi w:val="0"/>
        <w:adjustRightInd/>
        <w:snapToGrid/>
        <w:spacing w:line="240" w:lineRule="auto"/>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rPr>
        <w:t>本</w:t>
      </w:r>
      <w:r>
        <w:rPr>
          <w:rFonts w:hint="eastAsia" w:ascii="宋体" w:hAnsi="宋体" w:eastAsia="宋体" w:cs="宋体"/>
          <w:kern w:val="0"/>
          <w:szCs w:val="21"/>
          <w:lang w:eastAsia="zh-CN"/>
        </w:rPr>
        <w:t>文件</w:t>
      </w:r>
      <w:r>
        <w:rPr>
          <w:rFonts w:hint="eastAsia" w:ascii="宋体" w:hAnsi="宋体" w:eastAsia="宋体" w:cs="宋体"/>
          <w:kern w:val="0"/>
          <w:szCs w:val="21"/>
        </w:rPr>
        <w:t>按照GB/T 1.1</w:t>
      </w:r>
      <w:r>
        <w:rPr>
          <w:rFonts w:hint="eastAsia" w:ascii="宋体" w:hAnsi="宋体" w:eastAsia="宋体" w:cs="宋体"/>
          <w:kern w:val="0"/>
          <w:szCs w:val="21"/>
          <w:lang w:eastAsia="zh-CN"/>
        </w:rPr>
        <w:t>—</w:t>
      </w:r>
      <w:r>
        <w:rPr>
          <w:rFonts w:hint="eastAsia" w:ascii="宋体" w:hAnsi="宋体" w:eastAsia="宋体" w:cs="宋体"/>
          <w:kern w:val="0"/>
          <w:szCs w:val="21"/>
        </w:rPr>
        <w:t>20</w:t>
      </w:r>
      <w:r>
        <w:rPr>
          <w:rFonts w:hint="eastAsia" w:ascii="宋体" w:hAnsi="宋体" w:eastAsia="宋体" w:cs="宋体"/>
          <w:kern w:val="0"/>
          <w:szCs w:val="21"/>
          <w:lang w:val="en-US" w:eastAsia="zh-CN"/>
        </w:rPr>
        <w:t>20《标准化工作导则  第1部分：标准化文件的结构和起草规则》的规定起草</w:t>
      </w:r>
      <w:r>
        <w:rPr>
          <w:rFonts w:hint="eastAsia" w:ascii="宋体" w:hAnsi="宋体" w:eastAsia="宋体" w:cs="宋体"/>
          <w:kern w:val="0"/>
          <w:szCs w:val="21"/>
        </w:rPr>
        <w:t>。</w:t>
      </w:r>
    </w:p>
    <w:p>
      <w:pPr>
        <w:keepNext w:val="0"/>
        <w:keepLines w:val="0"/>
        <w:pageBreakBefore w:val="0"/>
        <w:widowControl/>
        <w:kinsoku/>
        <w:wordWrap/>
        <w:overflowPunct/>
        <w:topLinePunct w:val="0"/>
        <w:autoSpaceDE w:val="0"/>
        <w:autoSpaceDN w:val="0"/>
        <w:bidi w:val="0"/>
        <w:adjustRightInd/>
        <w:snapToGrid/>
        <w:spacing w:line="240" w:lineRule="auto"/>
        <w:ind w:firstLine="420" w:firstLineChars="200"/>
        <w:textAlignment w:val="auto"/>
        <w:rPr>
          <w:rFonts w:hint="eastAsia"/>
          <w:kern w:val="0"/>
          <w:szCs w:val="21"/>
          <w:lang w:eastAsia="zh-CN"/>
        </w:rPr>
      </w:pPr>
      <w:r>
        <w:rPr>
          <w:rFonts w:hint="eastAsia"/>
          <w:kern w:val="0"/>
          <w:szCs w:val="21"/>
          <w:lang w:eastAsia="zh-CN"/>
        </w:rPr>
        <w:t>请注意本文件的某些内容可能涉及专利。本文件的发布机构不承担识别专利的责任。</w:t>
      </w:r>
    </w:p>
    <w:p>
      <w:pPr>
        <w:keepNext w:val="0"/>
        <w:keepLines w:val="0"/>
        <w:pageBreakBefore w:val="0"/>
        <w:widowControl/>
        <w:kinsoku/>
        <w:wordWrap/>
        <w:overflowPunct/>
        <w:topLinePunct w:val="0"/>
        <w:autoSpaceDE w:val="0"/>
        <w:autoSpaceDN w:val="0"/>
        <w:bidi w:val="0"/>
        <w:adjustRightInd/>
        <w:snapToGrid/>
        <w:spacing w:line="240" w:lineRule="auto"/>
        <w:ind w:firstLine="420" w:firstLineChars="200"/>
        <w:textAlignment w:val="auto"/>
        <w:rPr>
          <w:kern w:val="0"/>
          <w:szCs w:val="21"/>
        </w:rPr>
      </w:pPr>
      <w:r>
        <w:rPr>
          <w:rFonts w:hint="eastAsia"/>
          <w:kern w:val="0"/>
          <w:szCs w:val="21"/>
          <w:lang w:eastAsia="zh-CN"/>
        </w:rPr>
        <w:t>本文件</w:t>
      </w:r>
      <w:r>
        <w:rPr>
          <w:kern w:val="0"/>
          <w:szCs w:val="21"/>
        </w:rPr>
        <w:t>由江苏省生态环境厅提出并归口。</w:t>
      </w:r>
    </w:p>
    <w:p>
      <w:pPr>
        <w:keepNext w:val="0"/>
        <w:keepLines w:val="0"/>
        <w:pageBreakBefore w:val="0"/>
        <w:widowControl/>
        <w:kinsoku/>
        <w:wordWrap/>
        <w:overflowPunct/>
        <w:topLinePunct w:val="0"/>
        <w:autoSpaceDE w:val="0"/>
        <w:autoSpaceDN w:val="0"/>
        <w:bidi w:val="0"/>
        <w:adjustRightInd/>
        <w:snapToGrid/>
        <w:spacing w:line="240" w:lineRule="auto"/>
        <w:ind w:firstLine="420" w:firstLineChars="200"/>
        <w:textAlignment w:val="auto"/>
        <w:rPr>
          <w:kern w:val="0"/>
          <w:szCs w:val="21"/>
        </w:rPr>
      </w:pPr>
      <w:r>
        <w:rPr>
          <w:kern w:val="0"/>
          <w:szCs w:val="21"/>
        </w:rPr>
        <w:t>本</w:t>
      </w:r>
      <w:r>
        <w:rPr>
          <w:rFonts w:hint="eastAsia"/>
          <w:kern w:val="0"/>
          <w:szCs w:val="21"/>
          <w:lang w:eastAsia="zh-CN"/>
        </w:rPr>
        <w:t>文件</w:t>
      </w:r>
      <w:r>
        <w:rPr>
          <w:kern w:val="0"/>
          <w:szCs w:val="21"/>
        </w:rPr>
        <w:t>由江苏省人民</w:t>
      </w:r>
      <w:r>
        <w:rPr>
          <w:rFonts w:hint="eastAsia" w:ascii="宋体" w:hAnsi="宋体" w:eastAsia="宋体" w:cs="宋体"/>
          <w:kern w:val="0"/>
          <w:szCs w:val="21"/>
        </w:rPr>
        <w:t>政府于20</w:t>
      </w:r>
      <w:r>
        <w:rPr>
          <w:rFonts w:hint="eastAsia" w:ascii="宋体" w:hAnsi="宋体" w:cs="宋体"/>
          <w:kern w:val="0"/>
          <w:szCs w:val="21"/>
          <w:lang w:val="en-US" w:eastAsia="zh-CN"/>
        </w:rPr>
        <w:t>2</w:t>
      </w:r>
      <w:r>
        <w:rPr>
          <w:rFonts w:hint="eastAsia" w:ascii="宋体" w:hAnsi="宋体"/>
        </w:rPr>
        <w:t>□</w:t>
      </w:r>
      <w:r>
        <w:rPr>
          <w:rFonts w:hint="eastAsia" w:ascii="宋体" w:hAnsi="宋体" w:eastAsia="宋体" w:cs="宋体"/>
          <w:kern w:val="0"/>
          <w:szCs w:val="21"/>
        </w:rPr>
        <w:t>年</w:t>
      </w:r>
      <w:r>
        <w:rPr>
          <w:rFonts w:hint="eastAsia" w:ascii="宋体" w:hAnsi="宋体"/>
        </w:rPr>
        <w:t>□□</w:t>
      </w:r>
      <w:r>
        <w:rPr>
          <w:rFonts w:hint="eastAsia" w:ascii="宋体" w:hAnsi="宋体" w:eastAsia="宋体" w:cs="宋体"/>
          <w:kern w:val="0"/>
          <w:szCs w:val="21"/>
        </w:rPr>
        <w:t>月</w:t>
      </w:r>
      <w:r>
        <w:rPr>
          <w:rFonts w:hint="eastAsia" w:ascii="宋体" w:hAnsi="宋体"/>
        </w:rPr>
        <w:t>□□</w:t>
      </w:r>
      <w:r>
        <w:rPr>
          <w:rFonts w:hint="eastAsia" w:ascii="宋体" w:hAnsi="宋体" w:eastAsia="宋体" w:cs="宋体"/>
          <w:kern w:val="0"/>
          <w:szCs w:val="21"/>
        </w:rPr>
        <w:t>日批准</w:t>
      </w:r>
      <w:r>
        <w:rPr>
          <w:kern w:val="0"/>
          <w:szCs w:val="21"/>
        </w:rPr>
        <w:t>。</w:t>
      </w:r>
    </w:p>
    <w:p>
      <w:pPr>
        <w:pStyle w:val="22"/>
        <w:sectPr>
          <w:headerReference r:id="rId7" w:type="default"/>
          <w:footerReference r:id="rId8" w:type="default"/>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720" w:num="1"/>
          <w:formProt w:val="0"/>
          <w:docGrid w:type="lines" w:linePitch="312" w:charSpace="0"/>
        </w:sectPr>
      </w:pPr>
    </w:p>
    <w:p>
      <w:pPr>
        <w:pStyle w:val="107"/>
        <w:rPr>
          <w:rFonts w:hint="eastAsia"/>
        </w:rPr>
      </w:pPr>
      <w:bookmarkStart w:id="20" w:name="_Toc9137"/>
      <w:r>
        <w:rPr>
          <w:rFonts w:hint="eastAsia"/>
        </w:rPr>
        <w:t>燃</w:t>
      </w:r>
      <w:bookmarkStart w:id="21" w:name="StandardName"/>
      <w:r>
        <w:rPr>
          <w:rFonts w:hint="eastAsia"/>
        </w:rPr>
        <w:t>气电厂大气污染物排放标准</w:t>
      </w:r>
      <w:bookmarkEnd w:id="20"/>
      <w:bookmarkEnd w:id="21"/>
    </w:p>
    <w:p>
      <w:pPr>
        <w:pStyle w:val="87"/>
        <w:rPr>
          <w:rFonts w:hint="eastAsia"/>
        </w:rPr>
      </w:pPr>
      <w:bookmarkStart w:id="22" w:name="_Toc32508533"/>
      <w:bookmarkStart w:id="23" w:name="_Toc19455"/>
      <w:r>
        <w:rPr>
          <w:rFonts w:hint="eastAsia"/>
        </w:rPr>
        <w:t>范围</w:t>
      </w:r>
      <w:bookmarkEnd w:id="22"/>
      <w:bookmarkEnd w:id="23"/>
    </w:p>
    <w:p>
      <w:pPr>
        <w:pStyle w:val="22"/>
        <w:rPr>
          <w:rFonts w:ascii="Times New Roman"/>
        </w:rPr>
      </w:pPr>
      <w:r>
        <w:rPr>
          <w:rFonts w:ascii="Times New Roman"/>
        </w:rPr>
        <w:t>本</w:t>
      </w:r>
      <w:r>
        <w:rPr>
          <w:rFonts w:hint="eastAsia" w:ascii="Times New Roman"/>
          <w:lang w:eastAsia="zh-CN"/>
        </w:rPr>
        <w:t>文件</w:t>
      </w:r>
      <w:r>
        <w:rPr>
          <w:rFonts w:ascii="Times New Roman"/>
        </w:rPr>
        <w:t>规定了燃气电厂大气污染物排放</w:t>
      </w:r>
      <w:r>
        <w:rPr>
          <w:rFonts w:hint="eastAsia" w:ascii="Times New Roman"/>
          <w:lang w:eastAsia="zh-CN"/>
        </w:rPr>
        <w:t>控制</w:t>
      </w:r>
      <w:r>
        <w:rPr>
          <w:rFonts w:ascii="Times New Roman"/>
        </w:rPr>
        <w:t>、监测</w:t>
      </w:r>
      <w:r>
        <w:rPr>
          <w:rFonts w:hint="eastAsia" w:ascii="Times New Roman"/>
          <w:lang w:eastAsia="zh-CN"/>
        </w:rPr>
        <w:t>、达标判定和监督管理要求。</w:t>
      </w:r>
    </w:p>
    <w:p>
      <w:pPr>
        <w:pStyle w:val="22"/>
        <w:rPr>
          <w:rFonts w:hint="eastAsia" w:ascii="宋体" w:hAnsi="宋体" w:eastAsia="宋体" w:cs="宋体"/>
        </w:rPr>
      </w:pPr>
      <w:r>
        <w:rPr>
          <w:rFonts w:ascii="Times New Roman"/>
        </w:rPr>
        <w:t>本</w:t>
      </w:r>
      <w:r>
        <w:rPr>
          <w:rFonts w:hint="eastAsia" w:ascii="Times New Roman"/>
          <w:lang w:eastAsia="zh-CN"/>
        </w:rPr>
        <w:t>文件</w:t>
      </w:r>
      <w:r>
        <w:rPr>
          <w:rFonts w:ascii="Times New Roman"/>
        </w:rPr>
        <w:t>适用于现有燃气电厂的大气污染物排放管理，以</w:t>
      </w:r>
      <w:r>
        <w:rPr>
          <w:rFonts w:ascii="Times New Roman"/>
          <w:color w:val="auto"/>
        </w:rPr>
        <w:t>及燃气电厂</w:t>
      </w:r>
      <w:r>
        <w:rPr>
          <w:rFonts w:hint="eastAsia" w:ascii="Times New Roman"/>
          <w:color w:val="auto"/>
          <w:lang w:eastAsia="zh-CN"/>
        </w:rPr>
        <w:t>建设项目</w:t>
      </w:r>
      <w:r>
        <w:rPr>
          <w:rFonts w:ascii="Times New Roman"/>
          <w:color w:val="auto"/>
        </w:rPr>
        <w:t>的</w:t>
      </w:r>
      <w:r>
        <w:rPr>
          <w:rFonts w:ascii="Times New Roman"/>
        </w:rPr>
        <w:t>环境影响评价、环境保护工程设计、竣工环境</w:t>
      </w:r>
      <w:r>
        <w:rPr>
          <w:rFonts w:hint="eastAsia" w:ascii="宋体" w:hAnsi="宋体" w:eastAsia="宋体" w:cs="宋体"/>
        </w:rPr>
        <w:t>保护验收</w:t>
      </w:r>
      <w:r>
        <w:rPr>
          <w:rFonts w:hint="eastAsia" w:ascii="宋体" w:hAnsi="宋体" w:eastAsia="宋体" w:cs="宋体"/>
          <w:lang w:eastAsia="zh-CN"/>
        </w:rPr>
        <w:t>、排污许可</w:t>
      </w:r>
      <w:r>
        <w:rPr>
          <w:rFonts w:hint="eastAsia" w:ascii="宋体" w:hAnsi="宋体" w:eastAsia="宋体" w:cs="宋体"/>
        </w:rPr>
        <w:t>及其投产后的大气污染物排放管理。</w:t>
      </w:r>
    </w:p>
    <w:p>
      <w:pPr>
        <w:pStyle w:val="22"/>
        <w:ind w:firstLine="0" w:firstLineChars="0"/>
        <w:rPr>
          <w:rFonts w:hint="eastAsia" w:ascii="宋体" w:hAnsi="宋体" w:eastAsia="宋体" w:cs="宋体"/>
          <w:strike/>
          <w:color w:val="auto"/>
          <w:sz w:val="18"/>
          <w:szCs w:val="18"/>
        </w:rPr>
      </w:pPr>
      <w:r>
        <w:rPr>
          <w:rFonts w:hint="eastAsia" w:hAnsi="宋体" w:eastAsia="宋体" w:cs="宋体"/>
          <w:lang w:val="en-US" w:eastAsia="zh-CN"/>
        </w:rPr>
        <w:t xml:space="preserve">    </w:t>
      </w:r>
      <w:r>
        <w:rPr>
          <w:rFonts w:hint="eastAsia" w:ascii="宋体" w:hAnsi="宋体" w:eastAsia="宋体" w:cs="宋体"/>
          <w:lang w:eastAsia="zh-CN"/>
        </w:rPr>
        <w:t>本文件不适用于</w:t>
      </w:r>
      <w:r>
        <w:rPr>
          <w:rFonts w:hint="eastAsia" w:hAnsi="宋体" w:cs="宋体"/>
          <w:lang w:eastAsia="zh-CN"/>
        </w:rPr>
        <w:t>使用</w:t>
      </w:r>
      <w:r>
        <w:rPr>
          <w:rFonts w:hint="eastAsia" w:ascii="宋体" w:hAnsi="宋体" w:eastAsia="宋体" w:cs="宋体"/>
          <w:lang w:eastAsia="zh-CN"/>
        </w:rPr>
        <w:t>固定式内燃机、单机输出功率</w:t>
      </w:r>
      <w:r>
        <w:rPr>
          <w:rFonts w:hint="eastAsia" w:ascii="宋体" w:hAnsi="宋体" w:eastAsia="宋体" w:cs="宋体"/>
          <w:lang w:val="en-US" w:eastAsia="zh-CN"/>
        </w:rPr>
        <w:t>10 MW以上的固定式燃气轮机</w:t>
      </w:r>
      <w:r>
        <w:rPr>
          <w:rFonts w:hint="eastAsia" w:hAnsi="宋体" w:cs="宋体"/>
          <w:lang w:val="en-US" w:eastAsia="zh-CN"/>
        </w:rPr>
        <w:t>组的</w:t>
      </w:r>
      <w:r>
        <w:rPr>
          <w:rFonts w:hint="eastAsia" w:ascii="宋体" w:hAnsi="宋体" w:eastAsia="宋体" w:cs="宋体"/>
          <w:lang w:eastAsia="zh-CN"/>
        </w:rPr>
        <w:t>发电</w:t>
      </w:r>
      <w:r>
        <w:rPr>
          <w:rFonts w:hint="eastAsia" w:hAnsi="宋体" w:cs="宋体"/>
          <w:lang w:eastAsia="zh-CN"/>
        </w:rPr>
        <w:t>厂</w:t>
      </w:r>
      <w:r>
        <w:rPr>
          <w:rFonts w:hint="eastAsia" w:ascii="宋体" w:hAnsi="宋体" w:eastAsia="宋体" w:cs="宋体"/>
          <w:lang w:eastAsia="zh-CN"/>
        </w:rPr>
        <w:t>。</w:t>
      </w:r>
    </w:p>
    <w:p>
      <w:pPr>
        <w:pStyle w:val="87"/>
        <w:rPr>
          <w:rFonts w:hint="eastAsia"/>
        </w:rPr>
      </w:pPr>
      <w:bookmarkStart w:id="24" w:name="_Toc32598"/>
      <w:bookmarkStart w:id="25" w:name="_Toc32508534"/>
      <w:r>
        <w:rPr>
          <w:rFonts w:hint="eastAsia"/>
        </w:rPr>
        <w:t>规范性引用文件</w:t>
      </w:r>
      <w:bookmarkEnd w:id="24"/>
      <w:bookmarkEnd w:id="25"/>
    </w:p>
    <w:p>
      <w:pPr>
        <w:pStyle w:val="22"/>
        <w:rPr>
          <w:rFonts w:hint="eastAsia"/>
        </w:rPr>
      </w:pPr>
      <w:r>
        <w:rPr>
          <w:rFonts w:hint="eastAsia"/>
        </w:rPr>
        <w:t>下列文件</w:t>
      </w:r>
      <w:r>
        <w:rPr>
          <w:rFonts w:hint="eastAsia"/>
          <w:lang w:eastAsia="zh-CN"/>
        </w:rPr>
        <w:t>中的内容通过文中的规范性引用而构成本文件必不可少的条款。其中，注日期的引用文件，仅该日期对应的版本适用于本文件；不注日期的引用文件，其最新版本（</w:t>
      </w:r>
      <w:r>
        <w:rPr>
          <w:rFonts w:hint="eastAsia"/>
        </w:rPr>
        <w:t>包括所有的修改单）适用于本文件。</w:t>
      </w:r>
    </w:p>
    <w:p>
      <w:pPr>
        <w:pStyle w:val="22"/>
        <w:rPr>
          <w:rFonts w:hint="eastAsia" w:ascii="宋体" w:hAnsi="宋体" w:eastAsia="宋体" w:cs="宋体"/>
        </w:rPr>
      </w:pPr>
      <w:r>
        <w:rPr>
          <w:rFonts w:hint="eastAsia" w:ascii="宋体" w:hAnsi="宋体" w:eastAsia="宋体" w:cs="宋体"/>
        </w:rPr>
        <w:t>GB/T</w:t>
      </w:r>
      <w:r>
        <w:rPr>
          <w:rFonts w:hint="eastAsia" w:ascii="宋体" w:hAnsi="宋体" w:eastAsia="宋体" w:cs="宋体"/>
          <w:lang w:val="en-US" w:eastAsia="zh-CN"/>
        </w:rPr>
        <w:t xml:space="preserve"> </w:t>
      </w:r>
      <w:r>
        <w:rPr>
          <w:rFonts w:hint="eastAsia" w:ascii="宋体" w:hAnsi="宋体" w:eastAsia="宋体" w:cs="宋体"/>
        </w:rPr>
        <w:t>16157</w:t>
      </w:r>
      <w:r>
        <w:rPr>
          <w:rFonts w:hint="eastAsia" w:hAnsi="宋体" w:eastAsia="宋体" w:cs="宋体"/>
          <w:lang w:val="en-US" w:eastAsia="zh-CN"/>
        </w:rPr>
        <w:t xml:space="preserve">  </w:t>
      </w:r>
      <w:r>
        <w:rPr>
          <w:rFonts w:hint="eastAsia" w:ascii="宋体" w:hAnsi="宋体" w:eastAsia="宋体" w:cs="宋体"/>
        </w:rPr>
        <w:t>固定污染源排气中颗粒物测定与气态污染物采样方法</w:t>
      </w:r>
    </w:p>
    <w:p>
      <w:pPr>
        <w:pStyle w:val="22"/>
        <w:rPr>
          <w:rFonts w:hint="eastAsia" w:ascii="宋体" w:hAnsi="宋体" w:eastAsia="宋体" w:cs="宋体"/>
        </w:rPr>
      </w:pPr>
      <w:r>
        <w:rPr>
          <w:rFonts w:hint="eastAsia" w:ascii="宋体" w:hAnsi="宋体" w:eastAsia="宋体" w:cs="宋体"/>
        </w:rPr>
        <w:t>HJ</w:t>
      </w:r>
      <w:r>
        <w:rPr>
          <w:rFonts w:hint="eastAsia" w:ascii="宋体" w:hAnsi="宋体" w:eastAsia="宋体" w:cs="宋体"/>
          <w:lang w:val="en-US" w:eastAsia="zh-CN"/>
        </w:rPr>
        <w:t xml:space="preserve"> </w:t>
      </w:r>
      <w:r>
        <w:rPr>
          <w:rFonts w:hint="eastAsia" w:ascii="宋体" w:hAnsi="宋体" w:eastAsia="宋体" w:cs="宋体"/>
        </w:rPr>
        <w:t>57</w:t>
      </w:r>
      <w:r>
        <w:rPr>
          <w:rFonts w:hint="eastAsia" w:hAnsi="宋体" w:eastAsia="宋体" w:cs="宋体"/>
          <w:lang w:val="en-US" w:eastAsia="zh-CN"/>
        </w:rPr>
        <w:t xml:space="preserve">  </w:t>
      </w:r>
      <w:r>
        <w:rPr>
          <w:rFonts w:hint="eastAsia" w:ascii="宋体" w:hAnsi="宋体" w:eastAsia="宋体" w:cs="宋体"/>
        </w:rPr>
        <w:t>固定污染源废气</w:t>
      </w:r>
      <w:r>
        <w:rPr>
          <w:rFonts w:hint="eastAsia" w:hAnsi="宋体" w:eastAsia="宋体" w:cs="宋体"/>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二氧化硫的测定</w:t>
      </w:r>
      <w:r>
        <w:rPr>
          <w:rFonts w:hint="eastAsia" w:hAnsi="宋体" w:eastAsia="宋体" w:cs="宋体"/>
          <w:lang w:val="en-US" w:eastAsia="zh-CN"/>
        </w:rPr>
        <w:t xml:space="preserve">  </w:t>
      </w:r>
      <w:r>
        <w:rPr>
          <w:rFonts w:hint="eastAsia" w:ascii="宋体" w:hAnsi="宋体" w:eastAsia="宋体" w:cs="宋体"/>
        </w:rPr>
        <w:t>定电位电解法</w:t>
      </w:r>
    </w:p>
    <w:p>
      <w:pPr>
        <w:pStyle w:val="22"/>
        <w:rPr>
          <w:rFonts w:hint="eastAsia" w:ascii="宋体" w:hAnsi="宋体" w:eastAsia="宋体" w:cs="宋体"/>
        </w:rPr>
      </w:pPr>
      <w:r>
        <w:rPr>
          <w:rFonts w:hint="eastAsia" w:ascii="宋体" w:hAnsi="宋体" w:eastAsia="宋体" w:cs="宋体"/>
        </w:rPr>
        <w:t>HJ</w:t>
      </w:r>
      <w:r>
        <w:rPr>
          <w:rFonts w:hint="eastAsia" w:ascii="宋体" w:hAnsi="宋体" w:eastAsia="宋体" w:cs="宋体"/>
          <w:lang w:val="en-US" w:eastAsia="zh-CN"/>
        </w:rPr>
        <w:t xml:space="preserve"> </w:t>
      </w:r>
      <w:r>
        <w:rPr>
          <w:rFonts w:hint="eastAsia" w:ascii="宋体" w:hAnsi="宋体" w:eastAsia="宋体" w:cs="宋体"/>
        </w:rPr>
        <w:t>75</w:t>
      </w:r>
      <w:r>
        <w:rPr>
          <w:rFonts w:hint="eastAsia" w:hAnsi="宋体" w:eastAsia="宋体" w:cs="宋体"/>
          <w:lang w:val="en-US" w:eastAsia="zh-CN"/>
        </w:rPr>
        <w:t xml:space="preserve">  </w:t>
      </w:r>
      <w:r>
        <w:rPr>
          <w:rFonts w:hint="eastAsia" w:ascii="宋体" w:hAnsi="宋体" w:eastAsia="宋体" w:cs="宋体"/>
        </w:rPr>
        <w:t>固定污染源烟气（SO</w:t>
      </w:r>
      <w:r>
        <w:rPr>
          <w:rFonts w:hint="eastAsia" w:ascii="宋体" w:hAnsi="宋体" w:eastAsia="宋体" w:cs="宋体"/>
          <w:vertAlign w:val="subscript"/>
        </w:rPr>
        <w:t>2</w:t>
      </w:r>
      <w:r>
        <w:rPr>
          <w:rFonts w:hint="eastAsia" w:ascii="宋体" w:hAnsi="宋体" w:eastAsia="宋体" w:cs="宋体"/>
        </w:rPr>
        <w:t>、NO</w:t>
      </w:r>
      <w:r>
        <w:rPr>
          <w:rFonts w:hint="eastAsia" w:ascii="宋体" w:hAnsi="宋体" w:eastAsia="宋体" w:cs="宋体"/>
          <w:vertAlign w:val="subscript"/>
        </w:rPr>
        <w:t>X</w:t>
      </w:r>
      <w:r>
        <w:rPr>
          <w:rFonts w:hint="eastAsia" w:ascii="宋体" w:hAnsi="宋体" w:eastAsia="宋体" w:cs="宋体"/>
        </w:rPr>
        <w:t>、颗粒物）排放连续监测技术规范</w:t>
      </w:r>
    </w:p>
    <w:p>
      <w:pPr>
        <w:pStyle w:val="22"/>
        <w:rPr>
          <w:rFonts w:hint="eastAsia" w:ascii="宋体" w:hAnsi="宋体" w:eastAsia="宋体" w:cs="宋体"/>
          <w:lang w:val="en-US" w:eastAsia="zh-CN"/>
        </w:rPr>
      </w:pPr>
      <w:r>
        <w:rPr>
          <w:rFonts w:hint="eastAsia" w:hAnsi="宋体" w:eastAsia="宋体" w:cs="宋体"/>
          <w:lang w:val="en-US" w:eastAsia="zh-CN"/>
        </w:rPr>
        <w:t>HJ 76  固定污染源烟气</w:t>
      </w:r>
      <w:r>
        <w:rPr>
          <w:rFonts w:hint="eastAsia" w:ascii="宋体" w:hAnsi="宋体" w:eastAsia="宋体" w:cs="宋体"/>
        </w:rPr>
        <w:t>（SO</w:t>
      </w:r>
      <w:r>
        <w:rPr>
          <w:rFonts w:hint="eastAsia" w:ascii="宋体" w:hAnsi="宋体" w:eastAsia="宋体" w:cs="宋体"/>
          <w:vertAlign w:val="subscript"/>
        </w:rPr>
        <w:t>2</w:t>
      </w:r>
      <w:r>
        <w:rPr>
          <w:rFonts w:hint="eastAsia" w:ascii="宋体" w:hAnsi="宋体" w:eastAsia="宋体" w:cs="宋体"/>
        </w:rPr>
        <w:t>、NO</w:t>
      </w:r>
      <w:r>
        <w:rPr>
          <w:rFonts w:hint="eastAsia" w:ascii="宋体" w:hAnsi="宋体" w:eastAsia="宋体" w:cs="宋体"/>
          <w:vertAlign w:val="subscript"/>
        </w:rPr>
        <w:t>X</w:t>
      </w:r>
      <w:r>
        <w:rPr>
          <w:rFonts w:hint="eastAsia" w:ascii="宋体" w:hAnsi="宋体" w:eastAsia="宋体" w:cs="宋体"/>
        </w:rPr>
        <w:t>、颗粒物）</w:t>
      </w:r>
      <w:r>
        <w:rPr>
          <w:rFonts w:hint="eastAsia" w:hAnsi="宋体" w:eastAsia="宋体" w:cs="宋体"/>
          <w:lang w:eastAsia="zh-CN"/>
        </w:rPr>
        <w:t>排放连续监测系统技术要求及检测方法</w:t>
      </w:r>
    </w:p>
    <w:p>
      <w:pPr>
        <w:pStyle w:val="22"/>
        <w:rPr>
          <w:rFonts w:hint="eastAsia" w:ascii="宋体" w:hAnsi="宋体" w:eastAsia="宋体" w:cs="宋体"/>
        </w:rPr>
      </w:pPr>
      <w:r>
        <w:rPr>
          <w:rFonts w:hint="eastAsia" w:ascii="宋体" w:hAnsi="宋体" w:eastAsia="宋体" w:cs="宋体"/>
        </w:rPr>
        <w:t>HJ/T</w:t>
      </w:r>
      <w:r>
        <w:rPr>
          <w:rFonts w:hint="eastAsia" w:ascii="宋体" w:hAnsi="宋体" w:eastAsia="宋体" w:cs="宋体"/>
          <w:lang w:val="en-US" w:eastAsia="zh-CN"/>
        </w:rPr>
        <w:t xml:space="preserve"> </w:t>
      </w:r>
      <w:r>
        <w:rPr>
          <w:rFonts w:hint="eastAsia" w:ascii="宋体" w:hAnsi="宋体" w:eastAsia="宋体" w:cs="宋体"/>
        </w:rPr>
        <w:t>373</w:t>
      </w:r>
      <w:r>
        <w:rPr>
          <w:rFonts w:hint="eastAsia" w:hAnsi="宋体" w:eastAsia="宋体" w:cs="宋体"/>
          <w:lang w:val="en-US" w:eastAsia="zh-CN"/>
        </w:rPr>
        <w:t xml:space="preserve">  </w:t>
      </w:r>
      <w:r>
        <w:rPr>
          <w:rFonts w:hint="eastAsia" w:ascii="宋体" w:hAnsi="宋体" w:eastAsia="宋体" w:cs="宋体"/>
        </w:rPr>
        <w:t>固定污染源监测质量保证与质量控制技术规范</w:t>
      </w:r>
      <w:r>
        <w:rPr>
          <w:rFonts w:hint="eastAsia" w:hAnsi="宋体" w:eastAsia="宋体" w:cs="宋体"/>
          <w:lang w:eastAsia="zh-CN"/>
        </w:rPr>
        <w:t>（试行）</w:t>
      </w:r>
    </w:p>
    <w:p>
      <w:pPr>
        <w:pStyle w:val="22"/>
        <w:rPr>
          <w:rFonts w:hint="eastAsia" w:ascii="宋体" w:hAnsi="宋体" w:eastAsia="宋体" w:cs="宋体"/>
        </w:rPr>
      </w:pPr>
      <w:r>
        <w:rPr>
          <w:rFonts w:hint="eastAsia" w:ascii="宋体" w:hAnsi="宋体" w:eastAsia="宋体" w:cs="宋体"/>
        </w:rPr>
        <w:t>HJ/T</w:t>
      </w:r>
      <w:r>
        <w:rPr>
          <w:rFonts w:hint="eastAsia" w:ascii="宋体" w:hAnsi="宋体" w:eastAsia="宋体" w:cs="宋体"/>
          <w:lang w:val="en-US" w:eastAsia="zh-CN"/>
        </w:rPr>
        <w:t xml:space="preserve"> </w:t>
      </w:r>
      <w:r>
        <w:rPr>
          <w:rFonts w:hint="eastAsia" w:ascii="宋体" w:hAnsi="宋体" w:eastAsia="宋体" w:cs="宋体"/>
        </w:rPr>
        <w:t>397</w:t>
      </w:r>
      <w:r>
        <w:rPr>
          <w:rFonts w:hint="eastAsia" w:hAnsi="宋体" w:eastAsia="宋体" w:cs="宋体"/>
          <w:lang w:val="en-US" w:eastAsia="zh-CN"/>
        </w:rPr>
        <w:t xml:space="preserve">  </w:t>
      </w:r>
      <w:r>
        <w:rPr>
          <w:rFonts w:hint="eastAsia" w:ascii="宋体" w:hAnsi="宋体" w:eastAsia="宋体" w:cs="宋体"/>
        </w:rPr>
        <w:t>固定源废气监测技术规范</w:t>
      </w:r>
    </w:p>
    <w:p>
      <w:pPr>
        <w:pStyle w:val="22"/>
        <w:rPr>
          <w:rFonts w:hint="default" w:hAnsi="宋体" w:eastAsia="宋体" w:cs="宋体"/>
          <w:lang w:val="en-US" w:eastAsia="zh-CN"/>
        </w:rPr>
      </w:pPr>
      <w:r>
        <w:rPr>
          <w:rFonts w:hint="eastAsia" w:hAnsi="宋体" w:eastAsia="宋体" w:cs="宋体"/>
          <w:lang w:val="en-US" w:eastAsia="zh-CN"/>
        </w:rPr>
        <w:t>HJ 533  环境空气和废气  氨的测定  纳氏试剂分光光度法</w:t>
      </w:r>
    </w:p>
    <w:p>
      <w:pPr>
        <w:pStyle w:val="22"/>
        <w:rPr>
          <w:rFonts w:hint="eastAsia" w:ascii="宋体" w:hAnsi="宋体" w:eastAsia="宋体" w:cs="宋体"/>
        </w:rPr>
      </w:pPr>
      <w:r>
        <w:rPr>
          <w:rFonts w:hint="eastAsia" w:ascii="宋体" w:hAnsi="宋体" w:eastAsia="宋体" w:cs="宋体"/>
        </w:rPr>
        <w:t>HJ</w:t>
      </w:r>
      <w:r>
        <w:rPr>
          <w:rFonts w:hint="eastAsia" w:ascii="宋体" w:hAnsi="宋体" w:eastAsia="宋体" w:cs="宋体"/>
          <w:lang w:val="en-US" w:eastAsia="zh-CN"/>
        </w:rPr>
        <w:t xml:space="preserve"> </w:t>
      </w:r>
      <w:r>
        <w:rPr>
          <w:rFonts w:hint="eastAsia" w:ascii="宋体" w:hAnsi="宋体" w:eastAsia="宋体" w:cs="宋体"/>
        </w:rPr>
        <w:t>629</w:t>
      </w:r>
      <w:r>
        <w:rPr>
          <w:rFonts w:hint="eastAsia" w:hAnsi="宋体" w:eastAsia="宋体" w:cs="宋体"/>
          <w:lang w:val="en-US" w:eastAsia="zh-CN"/>
        </w:rPr>
        <w:t xml:space="preserve">  </w:t>
      </w:r>
      <w:r>
        <w:rPr>
          <w:rFonts w:hint="eastAsia" w:ascii="宋体" w:hAnsi="宋体" w:eastAsia="宋体" w:cs="宋体"/>
        </w:rPr>
        <w:t>固定污染源废气</w:t>
      </w:r>
      <w:r>
        <w:rPr>
          <w:rFonts w:hint="eastAsia" w:ascii="宋体" w:hAnsi="宋体" w:eastAsia="宋体" w:cs="宋体"/>
          <w:lang w:val="en-US" w:eastAsia="zh-CN"/>
        </w:rPr>
        <w:t xml:space="preserve"> </w:t>
      </w:r>
      <w:r>
        <w:rPr>
          <w:rFonts w:hint="eastAsia" w:hAnsi="宋体" w:eastAsia="宋体" w:cs="宋体"/>
          <w:lang w:val="en-US" w:eastAsia="zh-CN"/>
        </w:rPr>
        <w:t xml:space="preserve"> </w:t>
      </w:r>
      <w:r>
        <w:rPr>
          <w:rFonts w:hint="eastAsia" w:ascii="宋体" w:hAnsi="宋体" w:eastAsia="宋体" w:cs="宋体"/>
        </w:rPr>
        <w:t>二氧化硫的测定</w:t>
      </w:r>
      <w:r>
        <w:rPr>
          <w:rFonts w:hint="eastAsia" w:hAnsi="宋体" w:eastAsia="宋体" w:cs="宋体"/>
          <w:lang w:val="en-US" w:eastAsia="zh-CN"/>
        </w:rPr>
        <w:t xml:space="preserve">  </w:t>
      </w:r>
      <w:r>
        <w:rPr>
          <w:rFonts w:hint="eastAsia" w:ascii="宋体" w:hAnsi="宋体" w:eastAsia="宋体" w:cs="宋体"/>
        </w:rPr>
        <w:t>非分散红外吸收法</w:t>
      </w:r>
    </w:p>
    <w:p>
      <w:pPr>
        <w:pStyle w:val="22"/>
        <w:rPr>
          <w:rFonts w:hint="eastAsia" w:ascii="宋体" w:hAnsi="宋体" w:eastAsia="宋体" w:cs="宋体"/>
        </w:rPr>
      </w:pPr>
      <w:r>
        <w:rPr>
          <w:rFonts w:hint="eastAsia" w:ascii="宋体" w:hAnsi="宋体" w:eastAsia="宋体" w:cs="宋体"/>
        </w:rPr>
        <w:t>HJ</w:t>
      </w:r>
      <w:r>
        <w:rPr>
          <w:rFonts w:hint="eastAsia" w:ascii="宋体" w:hAnsi="宋体" w:eastAsia="宋体" w:cs="宋体"/>
          <w:lang w:val="en-US" w:eastAsia="zh-CN"/>
        </w:rPr>
        <w:t xml:space="preserve"> </w:t>
      </w:r>
      <w:r>
        <w:rPr>
          <w:rFonts w:hint="eastAsia" w:ascii="宋体" w:hAnsi="宋体" w:eastAsia="宋体" w:cs="宋体"/>
        </w:rPr>
        <w:t>692</w:t>
      </w:r>
      <w:r>
        <w:rPr>
          <w:rFonts w:hint="eastAsia" w:hAnsi="宋体" w:eastAsia="宋体" w:cs="宋体"/>
          <w:lang w:val="en-US" w:eastAsia="zh-CN"/>
        </w:rPr>
        <w:t xml:space="preserve">  </w:t>
      </w:r>
      <w:r>
        <w:rPr>
          <w:rFonts w:hint="eastAsia" w:ascii="宋体" w:hAnsi="宋体" w:eastAsia="宋体" w:cs="宋体"/>
        </w:rPr>
        <w:t>固定污染源废气</w:t>
      </w:r>
      <w:r>
        <w:rPr>
          <w:rFonts w:hint="eastAsia" w:ascii="宋体" w:hAnsi="宋体" w:eastAsia="宋体" w:cs="宋体"/>
          <w:lang w:val="en-US" w:eastAsia="zh-CN"/>
        </w:rPr>
        <w:t xml:space="preserve"> </w:t>
      </w:r>
      <w:r>
        <w:rPr>
          <w:rFonts w:hint="eastAsia" w:hAnsi="宋体" w:eastAsia="宋体" w:cs="宋体"/>
          <w:lang w:val="en-US" w:eastAsia="zh-CN"/>
        </w:rPr>
        <w:t xml:space="preserve"> </w:t>
      </w:r>
      <w:r>
        <w:rPr>
          <w:rFonts w:hint="eastAsia" w:ascii="宋体" w:hAnsi="宋体" w:eastAsia="宋体" w:cs="宋体"/>
        </w:rPr>
        <w:t>氮氧化物的测定</w:t>
      </w:r>
      <w:r>
        <w:rPr>
          <w:rFonts w:hint="eastAsia" w:hAnsi="宋体" w:eastAsia="宋体" w:cs="宋体"/>
          <w:lang w:val="en-US" w:eastAsia="zh-CN"/>
        </w:rPr>
        <w:t xml:space="preserve">  </w:t>
      </w:r>
      <w:r>
        <w:rPr>
          <w:rFonts w:hint="eastAsia" w:ascii="宋体" w:hAnsi="宋体" w:eastAsia="宋体" w:cs="宋体"/>
        </w:rPr>
        <w:t>非分散红外吸收法</w:t>
      </w:r>
    </w:p>
    <w:p>
      <w:pPr>
        <w:pStyle w:val="22"/>
        <w:rPr>
          <w:rFonts w:hint="eastAsia" w:ascii="宋体" w:hAnsi="宋体" w:eastAsia="宋体" w:cs="宋体"/>
        </w:rPr>
      </w:pPr>
      <w:r>
        <w:rPr>
          <w:rFonts w:hint="eastAsia" w:ascii="宋体" w:hAnsi="宋体" w:eastAsia="宋体" w:cs="宋体"/>
        </w:rPr>
        <w:t>HJ</w:t>
      </w:r>
      <w:r>
        <w:rPr>
          <w:rFonts w:hint="eastAsia" w:ascii="宋体" w:hAnsi="宋体" w:eastAsia="宋体" w:cs="宋体"/>
          <w:lang w:val="en-US" w:eastAsia="zh-CN"/>
        </w:rPr>
        <w:t xml:space="preserve"> </w:t>
      </w:r>
      <w:r>
        <w:rPr>
          <w:rFonts w:hint="eastAsia" w:ascii="宋体" w:hAnsi="宋体" w:eastAsia="宋体" w:cs="宋体"/>
        </w:rPr>
        <w:t>693</w:t>
      </w:r>
      <w:r>
        <w:rPr>
          <w:rFonts w:hint="eastAsia" w:hAnsi="宋体" w:eastAsia="宋体" w:cs="宋体"/>
          <w:lang w:val="en-US" w:eastAsia="zh-CN"/>
        </w:rPr>
        <w:t xml:space="preserve">  </w:t>
      </w:r>
      <w:r>
        <w:rPr>
          <w:rFonts w:hint="eastAsia" w:ascii="宋体" w:hAnsi="宋体" w:eastAsia="宋体" w:cs="宋体"/>
        </w:rPr>
        <w:t>固定污染源废气</w:t>
      </w:r>
      <w:r>
        <w:rPr>
          <w:rFonts w:hint="eastAsia" w:ascii="宋体" w:hAnsi="宋体" w:eastAsia="宋体" w:cs="宋体"/>
          <w:lang w:val="en-US" w:eastAsia="zh-CN"/>
        </w:rPr>
        <w:t xml:space="preserve"> </w:t>
      </w:r>
      <w:r>
        <w:rPr>
          <w:rFonts w:hint="eastAsia" w:hAnsi="宋体" w:eastAsia="宋体" w:cs="宋体"/>
          <w:lang w:val="en-US" w:eastAsia="zh-CN"/>
        </w:rPr>
        <w:t xml:space="preserve"> </w:t>
      </w:r>
      <w:r>
        <w:rPr>
          <w:rFonts w:hint="eastAsia" w:ascii="宋体" w:hAnsi="宋体" w:eastAsia="宋体" w:cs="宋体"/>
        </w:rPr>
        <w:t>氮氧化物的测定</w:t>
      </w:r>
      <w:r>
        <w:rPr>
          <w:rFonts w:hint="eastAsia" w:hAnsi="宋体" w:eastAsia="宋体" w:cs="宋体"/>
          <w:lang w:val="en-US" w:eastAsia="zh-CN"/>
        </w:rPr>
        <w:t xml:space="preserve">  </w:t>
      </w:r>
      <w:r>
        <w:rPr>
          <w:rFonts w:hint="eastAsia" w:ascii="宋体" w:hAnsi="宋体" w:eastAsia="宋体" w:cs="宋体"/>
        </w:rPr>
        <w:t>定电位电解法</w:t>
      </w:r>
    </w:p>
    <w:p>
      <w:pPr>
        <w:pStyle w:val="22"/>
        <w:rPr>
          <w:rFonts w:hint="default" w:ascii="宋体" w:hAnsi="宋体" w:eastAsia="宋体" w:cs="宋体"/>
          <w:lang w:val="en-US" w:eastAsia="zh-CN"/>
        </w:rPr>
      </w:pPr>
      <w:r>
        <w:rPr>
          <w:rFonts w:hint="eastAsia" w:hAnsi="宋体" w:eastAsia="宋体" w:cs="宋体"/>
          <w:lang w:val="en-US" w:eastAsia="zh-CN"/>
        </w:rPr>
        <w:t xml:space="preserve">HJ 819  </w:t>
      </w:r>
      <w:r>
        <w:rPr>
          <w:rFonts w:hint="eastAsia" w:ascii="宋体" w:hAnsi="宋体" w:eastAsia="宋体" w:cs="宋体"/>
        </w:rPr>
        <w:t>排污单位自行监测技术指南</w:t>
      </w:r>
      <w:r>
        <w:rPr>
          <w:rFonts w:hint="eastAsia" w:hAnsi="宋体" w:eastAsia="宋体" w:cs="宋体"/>
          <w:lang w:val="en-US" w:eastAsia="zh-CN"/>
        </w:rPr>
        <w:t xml:space="preserve">  总则</w:t>
      </w:r>
    </w:p>
    <w:p>
      <w:pPr>
        <w:pStyle w:val="22"/>
        <w:rPr>
          <w:rFonts w:hint="eastAsia" w:ascii="宋体" w:hAnsi="宋体" w:eastAsia="宋体" w:cs="宋体"/>
        </w:rPr>
      </w:pPr>
      <w:r>
        <w:rPr>
          <w:rFonts w:hint="eastAsia" w:ascii="宋体" w:hAnsi="宋体" w:eastAsia="宋体" w:cs="宋体"/>
        </w:rPr>
        <w:t>HJ</w:t>
      </w:r>
      <w:r>
        <w:rPr>
          <w:rFonts w:hint="eastAsia" w:ascii="宋体" w:hAnsi="宋体" w:eastAsia="宋体" w:cs="宋体"/>
          <w:lang w:val="en-US" w:eastAsia="zh-CN"/>
        </w:rPr>
        <w:t xml:space="preserve"> </w:t>
      </w:r>
      <w:r>
        <w:rPr>
          <w:rFonts w:hint="eastAsia" w:ascii="宋体" w:hAnsi="宋体" w:eastAsia="宋体" w:cs="宋体"/>
        </w:rPr>
        <w:t>820</w:t>
      </w:r>
      <w:r>
        <w:rPr>
          <w:rFonts w:hint="eastAsia" w:hAnsi="宋体" w:eastAsia="宋体" w:cs="宋体"/>
          <w:lang w:val="en-US" w:eastAsia="zh-CN"/>
        </w:rPr>
        <w:t xml:space="preserve">  </w:t>
      </w:r>
      <w:r>
        <w:rPr>
          <w:rFonts w:hint="eastAsia" w:ascii="宋体" w:hAnsi="宋体" w:eastAsia="宋体" w:cs="宋体"/>
        </w:rPr>
        <w:t>排污单位自行监测技术指南</w:t>
      </w:r>
      <w:r>
        <w:rPr>
          <w:rFonts w:hint="eastAsia" w:hAnsi="宋体" w:eastAsia="宋体" w:cs="宋体"/>
          <w:lang w:val="en-US" w:eastAsia="zh-CN"/>
        </w:rPr>
        <w:t xml:space="preserve">  </w:t>
      </w:r>
      <w:r>
        <w:rPr>
          <w:rFonts w:hint="eastAsia" w:ascii="宋体" w:hAnsi="宋体" w:eastAsia="宋体" w:cs="宋体"/>
        </w:rPr>
        <w:t>火力发电及锅炉</w:t>
      </w:r>
    </w:p>
    <w:p>
      <w:pPr>
        <w:pStyle w:val="22"/>
        <w:rPr>
          <w:rFonts w:hint="eastAsia" w:ascii="宋体" w:hAnsi="宋体" w:eastAsia="宋体" w:cs="宋体"/>
        </w:rPr>
      </w:pPr>
      <w:r>
        <w:rPr>
          <w:rFonts w:hint="eastAsia" w:ascii="宋体" w:hAnsi="宋体" w:eastAsia="宋体" w:cs="宋体"/>
        </w:rPr>
        <w:t>HJ</w:t>
      </w:r>
      <w:r>
        <w:rPr>
          <w:rFonts w:hint="eastAsia" w:ascii="宋体" w:hAnsi="宋体" w:eastAsia="宋体" w:cs="宋体"/>
          <w:lang w:val="en-US" w:eastAsia="zh-CN"/>
        </w:rPr>
        <w:t xml:space="preserve"> </w:t>
      </w:r>
      <w:r>
        <w:rPr>
          <w:rFonts w:hint="eastAsia" w:ascii="宋体" w:hAnsi="宋体" w:eastAsia="宋体" w:cs="宋体"/>
        </w:rPr>
        <w:t>836</w:t>
      </w:r>
      <w:r>
        <w:rPr>
          <w:rFonts w:hint="eastAsia" w:hAnsi="宋体" w:eastAsia="宋体" w:cs="宋体"/>
          <w:lang w:val="en-US" w:eastAsia="zh-CN"/>
        </w:rPr>
        <w:t xml:space="preserve">  </w:t>
      </w:r>
      <w:r>
        <w:rPr>
          <w:rFonts w:hint="eastAsia" w:ascii="宋体" w:hAnsi="宋体" w:eastAsia="宋体" w:cs="宋体"/>
        </w:rPr>
        <w:t>固定污染源废气</w:t>
      </w:r>
      <w:r>
        <w:rPr>
          <w:rFonts w:hint="eastAsia" w:hAnsi="宋体" w:eastAsia="宋体" w:cs="宋体"/>
          <w:lang w:val="en-US" w:eastAsia="zh-CN"/>
        </w:rPr>
        <w:t xml:space="preserve">  </w:t>
      </w:r>
      <w:r>
        <w:rPr>
          <w:rFonts w:hint="eastAsia" w:ascii="宋体" w:hAnsi="宋体" w:eastAsia="宋体" w:cs="宋体"/>
        </w:rPr>
        <w:t>低浓度颗粒物的测定</w:t>
      </w:r>
      <w:r>
        <w:rPr>
          <w:rFonts w:hint="eastAsia" w:ascii="宋体" w:hAnsi="宋体" w:eastAsia="宋体" w:cs="宋体"/>
          <w:lang w:val="en-US" w:eastAsia="zh-CN"/>
        </w:rPr>
        <w:t xml:space="preserve"> </w:t>
      </w:r>
      <w:r>
        <w:rPr>
          <w:rFonts w:hint="eastAsia" w:hAnsi="宋体" w:eastAsia="宋体" w:cs="宋体"/>
          <w:lang w:val="en-US" w:eastAsia="zh-CN"/>
        </w:rPr>
        <w:t xml:space="preserve"> </w:t>
      </w:r>
      <w:r>
        <w:rPr>
          <w:rFonts w:hint="eastAsia" w:ascii="宋体" w:hAnsi="宋体" w:eastAsia="宋体" w:cs="宋体"/>
        </w:rPr>
        <w:t>重量法</w:t>
      </w:r>
    </w:p>
    <w:p>
      <w:pPr>
        <w:pStyle w:val="22"/>
        <w:rPr>
          <w:rFonts w:hint="eastAsia" w:ascii="宋体" w:hAnsi="宋体" w:eastAsia="宋体" w:cs="宋体"/>
          <w:lang w:val="en-US" w:eastAsia="zh-CN"/>
        </w:rPr>
      </w:pPr>
      <w:r>
        <w:rPr>
          <w:rFonts w:hint="eastAsia" w:ascii="宋体" w:hAnsi="宋体" w:eastAsia="宋体" w:cs="宋体"/>
          <w:lang w:val="en-US" w:eastAsia="zh-CN"/>
        </w:rPr>
        <w:t>HJ 1131</w:t>
      </w:r>
      <w:r>
        <w:rPr>
          <w:rFonts w:hint="eastAsia" w:hAnsi="宋体" w:eastAsia="宋体" w:cs="宋体"/>
          <w:lang w:val="en-US" w:eastAsia="zh-CN"/>
        </w:rPr>
        <w:t xml:space="preserve">  </w:t>
      </w:r>
      <w:r>
        <w:rPr>
          <w:rFonts w:hint="eastAsia" w:ascii="宋体" w:hAnsi="宋体" w:eastAsia="宋体" w:cs="宋体"/>
          <w:lang w:val="en-US" w:eastAsia="zh-CN"/>
        </w:rPr>
        <w:t>固定污染源废气</w:t>
      </w:r>
      <w:r>
        <w:rPr>
          <w:rFonts w:hint="eastAsia" w:hAnsi="宋体" w:eastAsia="宋体" w:cs="宋体"/>
          <w:lang w:val="en-US" w:eastAsia="zh-CN"/>
        </w:rPr>
        <w:t xml:space="preserve">  </w:t>
      </w:r>
      <w:r>
        <w:rPr>
          <w:rFonts w:hint="eastAsia" w:ascii="宋体" w:hAnsi="宋体" w:eastAsia="宋体" w:cs="宋体"/>
          <w:lang w:val="en-US" w:eastAsia="zh-CN"/>
        </w:rPr>
        <w:t>二氧化硫的测定</w:t>
      </w:r>
      <w:r>
        <w:rPr>
          <w:rFonts w:hint="eastAsia" w:hAnsi="宋体" w:eastAsia="宋体" w:cs="宋体"/>
          <w:lang w:val="en-US" w:eastAsia="zh-CN"/>
        </w:rPr>
        <w:t xml:space="preserve">  </w:t>
      </w:r>
      <w:r>
        <w:rPr>
          <w:rFonts w:hint="eastAsia" w:ascii="宋体" w:hAnsi="宋体" w:eastAsia="宋体" w:cs="宋体"/>
          <w:lang w:val="en-US" w:eastAsia="zh-CN"/>
        </w:rPr>
        <w:t>便携式紫外吸收法</w:t>
      </w:r>
    </w:p>
    <w:p>
      <w:pPr>
        <w:pStyle w:val="22"/>
        <w:rPr>
          <w:rFonts w:hint="eastAsia" w:ascii="宋体" w:hAnsi="宋体" w:eastAsia="宋体" w:cs="宋体"/>
          <w:lang w:val="en-US" w:eastAsia="zh-CN"/>
        </w:rPr>
      </w:pPr>
      <w:r>
        <w:rPr>
          <w:rFonts w:hint="eastAsia" w:ascii="宋体" w:hAnsi="宋体" w:eastAsia="宋体" w:cs="宋体"/>
          <w:lang w:val="en-US" w:eastAsia="zh-CN"/>
        </w:rPr>
        <w:t>HJ 1132</w:t>
      </w:r>
      <w:r>
        <w:rPr>
          <w:rFonts w:hint="eastAsia" w:hAnsi="宋体" w:eastAsia="宋体" w:cs="宋体"/>
          <w:lang w:val="en-US" w:eastAsia="zh-CN"/>
        </w:rPr>
        <w:t xml:space="preserve">  </w:t>
      </w:r>
      <w:r>
        <w:rPr>
          <w:rFonts w:hint="eastAsia" w:ascii="宋体" w:hAnsi="宋体" w:eastAsia="宋体" w:cs="宋体"/>
          <w:lang w:val="en-US" w:eastAsia="zh-CN"/>
        </w:rPr>
        <w:t>固定污染源废气</w:t>
      </w:r>
      <w:r>
        <w:rPr>
          <w:rFonts w:hint="eastAsia" w:hAnsi="宋体" w:eastAsia="宋体" w:cs="宋体"/>
          <w:lang w:val="en-US" w:eastAsia="zh-CN"/>
        </w:rPr>
        <w:t xml:space="preserve">  </w:t>
      </w:r>
      <w:r>
        <w:rPr>
          <w:rFonts w:hint="eastAsia" w:ascii="宋体" w:hAnsi="宋体" w:eastAsia="宋体" w:cs="宋体"/>
          <w:lang w:val="en-US" w:eastAsia="zh-CN"/>
        </w:rPr>
        <w:t>氮氧化物的测定</w:t>
      </w:r>
      <w:r>
        <w:rPr>
          <w:rFonts w:hint="eastAsia" w:hAnsi="宋体" w:eastAsia="宋体" w:cs="宋体"/>
          <w:lang w:val="en-US" w:eastAsia="zh-CN"/>
        </w:rPr>
        <w:t xml:space="preserve">  </w:t>
      </w:r>
      <w:r>
        <w:rPr>
          <w:rFonts w:hint="eastAsia" w:ascii="宋体" w:hAnsi="宋体" w:eastAsia="宋体" w:cs="宋体"/>
          <w:lang w:val="en-US" w:eastAsia="zh-CN"/>
        </w:rPr>
        <w:t>便携式紫外吸收法</w:t>
      </w:r>
    </w:p>
    <w:p>
      <w:pPr>
        <w:pStyle w:val="22"/>
        <w:rPr>
          <w:rFonts w:hint="eastAsia" w:ascii="宋体" w:hAnsi="宋体" w:eastAsia="宋体" w:cs="宋体"/>
        </w:rPr>
      </w:pPr>
      <w:r>
        <w:rPr>
          <w:rFonts w:hint="eastAsia" w:ascii="宋体" w:hAnsi="宋体" w:eastAsia="宋体" w:cs="宋体"/>
        </w:rPr>
        <w:t>HJ</w:t>
      </w:r>
      <w:r>
        <w:rPr>
          <w:rFonts w:hint="eastAsia" w:ascii="宋体" w:hAnsi="宋体" w:eastAsia="宋体" w:cs="宋体"/>
          <w:lang w:val="en-US" w:eastAsia="zh-CN"/>
        </w:rPr>
        <w:t xml:space="preserve"> </w:t>
      </w:r>
      <w:r>
        <w:rPr>
          <w:rFonts w:hint="eastAsia" w:ascii="宋体" w:hAnsi="宋体" w:eastAsia="宋体" w:cs="宋体"/>
        </w:rPr>
        <w:t>2040</w:t>
      </w:r>
      <w:r>
        <w:rPr>
          <w:rFonts w:hint="eastAsia" w:hAnsi="宋体" w:eastAsia="宋体" w:cs="宋体"/>
          <w:lang w:val="en-US" w:eastAsia="zh-CN"/>
        </w:rPr>
        <w:t xml:space="preserve">  </w:t>
      </w:r>
      <w:r>
        <w:rPr>
          <w:rFonts w:hint="eastAsia" w:ascii="宋体" w:hAnsi="宋体" w:eastAsia="宋体" w:cs="宋体"/>
        </w:rPr>
        <w:t>火电厂烟气治理设施运行管理技术规范</w:t>
      </w:r>
    </w:p>
    <w:p>
      <w:pPr>
        <w:pStyle w:val="87"/>
        <w:rPr>
          <w:rFonts w:hint="eastAsia"/>
        </w:rPr>
      </w:pPr>
      <w:bookmarkStart w:id="26" w:name="_Toc9399"/>
      <w:bookmarkStart w:id="27" w:name="_Toc32508535"/>
      <w:r>
        <w:rPr>
          <w:rFonts w:hint="eastAsia"/>
        </w:rPr>
        <w:t>术语和定义</w:t>
      </w:r>
      <w:bookmarkEnd w:id="26"/>
      <w:bookmarkEnd w:id="27"/>
    </w:p>
    <w:p>
      <w:pPr>
        <w:pStyle w:val="22"/>
        <w:rPr>
          <w:rFonts w:hint="eastAsia"/>
        </w:rPr>
      </w:pPr>
      <w:r>
        <w:rPr>
          <w:rFonts w:hint="eastAsia"/>
        </w:rPr>
        <w:t>下列术语和定义适用于本文件。</w:t>
      </w:r>
    </w:p>
    <w:p>
      <w:pPr>
        <w:pStyle w:val="40"/>
        <w:rPr>
          <w:rFonts w:hint="eastAsia"/>
        </w:rPr>
      </w:pPr>
    </w:p>
    <w:p>
      <w:pPr>
        <w:pStyle w:val="40"/>
        <w:numPr>
          <w:ilvl w:val="0"/>
          <w:numId w:val="0"/>
        </w:numPr>
        <w:ind w:leftChars="0" w:firstLine="420" w:firstLineChars="200"/>
        <w:rPr>
          <w:rFonts w:hint="eastAsia"/>
        </w:rPr>
      </w:pPr>
      <w:r>
        <w:rPr>
          <w:rFonts w:hint="eastAsia"/>
        </w:rPr>
        <w:t>燃气电厂</w:t>
      </w:r>
      <w:r>
        <w:rPr>
          <w:rFonts w:hint="eastAsia"/>
          <w:lang w:val="en-US" w:eastAsia="zh-CN"/>
        </w:rPr>
        <w:t xml:space="preserve">  </w:t>
      </w:r>
      <w:r>
        <w:rPr>
          <w:rFonts w:hint="eastAsia"/>
        </w:rPr>
        <w:t>gas-fired power plant</w:t>
      </w:r>
    </w:p>
    <w:p>
      <w:pPr>
        <w:pStyle w:val="22"/>
      </w:pPr>
      <w:r>
        <w:rPr>
          <w:rFonts w:hint="eastAsia"/>
          <w:lang w:eastAsia="zh-CN"/>
        </w:rPr>
        <w:t>使用</w:t>
      </w:r>
      <w:r>
        <w:t>天然气</w:t>
      </w:r>
      <w:r>
        <w:rPr>
          <w:rFonts w:hint="eastAsia"/>
          <w:lang w:eastAsia="zh-CN"/>
        </w:rPr>
        <w:t>、高炉煤气、焦炉煤气、转炉煤气、沼气</w:t>
      </w:r>
      <w:r>
        <w:t>等气体燃料的发电厂。</w:t>
      </w:r>
    </w:p>
    <w:p>
      <w:pPr>
        <w:pStyle w:val="40"/>
        <w:rPr>
          <w:rFonts w:hint="eastAsia"/>
        </w:rPr>
      </w:pPr>
    </w:p>
    <w:p>
      <w:pPr>
        <w:pStyle w:val="40"/>
        <w:numPr>
          <w:ilvl w:val="0"/>
          <w:numId w:val="0"/>
        </w:numPr>
        <w:ind w:leftChars="0" w:firstLine="420" w:firstLineChars="200"/>
        <w:rPr>
          <w:rFonts w:hint="default"/>
          <w:color w:val="auto"/>
          <w:lang w:val="en-US"/>
        </w:rPr>
      </w:pPr>
      <w:r>
        <w:rPr>
          <w:rFonts w:hint="eastAsia"/>
          <w:color w:val="auto"/>
          <w:lang w:eastAsia="zh-CN"/>
        </w:rPr>
        <w:t>现有燃气电厂</w:t>
      </w:r>
      <w:r>
        <w:rPr>
          <w:rFonts w:hint="eastAsia"/>
          <w:color w:val="auto"/>
          <w:lang w:val="en-US" w:eastAsia="zh-CN"/>
        </w:rPr>
        <w:t xml:space="preserve">  </w:t>
      </w:r>
      <w:r>
        <w:rPr>
          <w:rFonts w:hint="eastAsia"/>
          <w:color w:val="auto"/>
        </w:rPr>
        <w:t>existing</w:t>
      </w:r>
      <w:r>
        <w:rPr>
          <w:rFonts w:hint="eastAsia"/>
          <w:color w:val="auto"/>
          <w:lang w:val="en-US" w:eastAsia="zh-CN"/>
        </w:rPr>
        <w:t xml:space="preserve"> gas-fired power plant</w:t>
      </w:r>
    </w:p>
    <w:p>
      <w:pPr>
        <w:pStyle w:val="22"/>
      </w:pPr>
      <w:r>
        <w:t>本</w:t>
      </w:r>
      <w:r>
        <w:rPr>
          <w:rFonts w:hint="eastAsia"/>
          <w:lang w:eastAsia="zh-CN"/>
        </w:rPr>
        <w:t>文件</w:t>
      </w:r>
      <w:r>
        <w:t>实施之日前，建成投产或环境影响评价文件已通过审批的燃气</w:t>
      </w:r>
      <w:r>
        <w:rPr>
          <w:rFonts w:hint="eastAsia"/>
          <w:lang w:eastAsia="zh-CN"/>
        </w:rPr>
        <w:t>电厂</w:t>
      </w:r>
      <w:r>
        <w:t>。</w:t>
      </w:r>
    </w:p>
    <w:p>
      <w:pPr>
        <w:pStyle w:val="22"/>
        <w:ind w:firstLine="489" w:firstLineChars="233"/>
      </w:pPr>
      <w:r>
        <w:rPr>
          <w:rFonts w:hint="eastAsia" w:ascii="宋体" w:hAnsi="宋体" w:eastAsia="宋体" w:cs="宋体"/>
          <w:lang w:val="en-US" w:eastAsia="zh-CN"/>
        </w:rPr>
        <w:t>[来源：</w:t>
      </w:r>
      <w:r>
        <w:rPr>
          <w:rFonts w:hint="eastAsia" w:hAnsi="宋体" w:eastAsia="宋体" w:cs="宋体"/>
          <w:lang w:val="en-US" w:eastAsia="zh-CN"/>
        </w:rPr>
        <w:t>GB</w:t>
      </w:r>
      <w:r>
        <w:rPr>
          <w:rFonts w:hint="eastAsia" w:ascii="宋体" w:hAnsi="宋体" w:eastAsia="宋体" w:cs="宋体"/>
          <w:lang w:val="en-US" w:eastAsia="zh-CN"/>
        </w:rPr>
        <w:t xml:space="preserve"> </w:t>
      </w:r>
      <w:r>
        <w:rPr>
          <w:rFonts w:hint="eastAsia" w:hAnsi="宋体" w:eastAsia="宋体" w:cs="宋体"/>
          <w:lang w:val="en-US" w:eastAsia="zh-CN"/>
        </w:rPr>
        <w:t>13223</w:t>
      </w:r>
      <w:r>
        <w:rPr>
          <w:rFonts w:hint="eastAsia" w:ascii="宋体" w:hAnsi="宋体" w:eastAsia="宋体" w:cs="宋体"/>
          <w:lang w:val="en-US" w:eastAsia="zh-CN"/>
        </w:rPr>
        <w:t>—20</w:t>
      </w:r>
      <w:r>
        <w:rPr>
          <w:rFonts w:hint="eastAsia" w:hAnsi="宋体" w:eastAsia="宋体" w:cs="宋体"/>
          <w:lang w:val="en-US" w:eastAsia="zh-CN"/>
        </w:rPr>
        <w:t>11</w:t>
      </w:r>
      <w:r>
        <w:rPr>
          <w:rFonts w:hint="eastAsia" w:ascii="宋体" w:hAnsi="宋体" w:eastAsia="宋体" w:cs="宋体"/>
          <w:lang w:val="en-US" w:eastAsia="zh-CN"/>
        </w:rPr>
        <w:t>，3.</w:t>
      </w:r>
      <w:r>
        <w:rPr>
          <w:rFonts w:hint="eastAsia" w:hAnsi="宋体" w:eastAsia="宋体" w:cs="宋体"/>
          <w:lang w:val="en-US" w:eastAsia="zh-CN"/>
        </w:rPr>
        <w:t>4，有修改</w:t>
      </w:r>
      <w:r>
        <w:rPr>
          <w:rFonts w:hint="eastAsia" w:ascii="宋体" w:hAnsi="宋体" w:eastAsia="宋体" w:cs="宋体"/>
          <w:lang w:val="en-US" w:eastAsia="zh-CN"/>
        </w:rPr>
        <w:t>]</w:t>
      </w:r>
    </w:p>
    <w:p>
      <w:pPr>
        <w:pStyle w:val="40"/>
        <w:rPr>
          <w:rFonts w:hint="eastAsia"/>
        </w:rPr>
      </w:pPr>
    </w:p>
    <w:p>
      <w:pPr>
        <w:pStyle w:val="40"/>
        <w:numPr>
          <w:ilvl w:val="0"/>
          <w:numId w:val="0"/>
        </w:numPr>
        <w:ind w:leftChars="0" w:firstLine="420" w:firstLineChars="200"/>
        <w:rPr>
          <w:rFonts w:hint="default"/>
          <w:color w:val="auto"/>
          <w:lang w:val="en-US"/>
        </w:rPr>
      </w:pPr>
      <w:r>
        <w:rPr>
          <w:rFonts w:hint="eastAsia"/>
          <w:color w:val="auto"/>
          <w:lang w:eastAsia="zh-CN"/>
        </w:rPr>
        <w:t>新建燃气电厂</w:t>
      </w:r>
      <w:r>
        <w:rPr>
          <w:rFonts w:hint="eastAsia"/>
          <w:color w:val="auto"/>
          <w:lang w:val="en-US" w:eastAsia="zh-CN"/>
        </w:rPr>
        <w:t xml:space="preserve">  </w:t>
      </w:r>
      <w:r>
        <w:rPr>
          <w:rFonts w:hint="eastAsia"/>
          <w:color w:val="auto"/>
        </w:rPr>
        <w:t xml:space="preserve">new </w:t>
      </w:r>
      <w:r>
        <w:rPr>
          <w:rFonts w:hint="eastAsia"/>
          <w:color w:val="auto"/>
          <w:lang w:val="en-US" w:eastAsia="zh-CN"/>
        </w:rPr>
        <w:t>gas-fired power plant</w:t>
      </w:r>
    </w:p>
    <w:p>
      <w:pPr>
        <w:pStyle w:val="22"/>
      </w:pPr>
      <w:r>
        <w:t>本</w:t>
      </w:r>
      <w:r>
        <w:rPr>
          <w:rFonts w:hint="eastAsia"/>
          <w:lang w:eastAsia="zh-CN"/>
        </w:rPr>
        <w:t>文件</w:t>
      </w:r>
      <w:r>
        <w:t>实施之日起，环境影响评价文件通过审批的新建、扩建和改建的燃气</w:t>
      </w:r>
      <w:r>
        <w:rPr>
          <w:rFonts w:hint="eastAsia"/>
          <w:lang w:eastAsia="zh-CN"/>
        </w:rPr>
        <w:t>电厂</w:t>
      </w:r>
      <w:r>
        <w:t>。</w:t>
      </w:r>
    </w:p>
    <w:p>
      <w:pPr>
        <w:pStyle w:val="22"/>
        <w:ind w:left="0" w:leftChars="0" w:firstLine="489" w:firstLineChars="233"/>
        <w:rPr>
          <w:rFonts w:hint="eastAsia" w:ascii="宋体" w:hAnsi="宋体" w:eastAsia="宋体" w:cs="宋体"/>
          <w:lang w:val="en-US" w:eastAsia="zh-CN"/>
        </w:rPr>
      </w:pPr>
      <w:r>
        <w:rPr>
          <w:rFonts w:hint="eastAsia" w:ascii="宋体" w:hAnsi="宋体" w:eastAsia="宋体" w:cs="宋体"/>
          <w:lang w:val="en-US" w:eastAsia="zh-CN"/>
        </w:rPr>
        <w:t>[来源：</w:t>
      </w:r>
      <w:r>
        <w:rPr>
          <w:rFonts w:hint="eastAsia" w:hAnsi="宋体" w:eastAsia="宋体" w:cs="宋体"/>
          <w:lang w:val="en-US" w:eastAsia="zh-CN"/>
        </w:rPr>
        <w:t>GB</w:t>
      </w:r>
      <w:r>
        <w:rPr>
          <w:rFonts w:hint="eastAsia" w:ascii="宋体" w:hAnsi="宋体" w:eastAsia="宋体" w:cs="宋体"/>
          <w:lang w:val="en-US" w:eastAsia="zh-CN"/>
        </w:rPr>
        <w:t xml:space="preserve"> </w:t>
      </w:r>
      <w:r>
        <w:rPr>
          <w:rFonts w:hint="eastAsia" w:hAnsi="宋体" w:eastAsia="宋体" w:cs="宋体"/>
          <w:lang w:val="en-US" w:eastAsia="zh-CN"/>
        </w:rPr>
        <w:t>13223</w:t>
      </w:r>
      <w:r>
        <w:rPr>
          <w:rFonts w:hint="eastAsia" w:ascii="宋体" w:hAnsi="宋体" w:eastAsia="宋体" w:cs="宋体"/>
          <w:lang w:val="en-US" w:eastAsia="zh-CN"/>
        </w:rPr>
        <w:t>—20</w:t>
      </w:r>
      <w:r>
        <w:rPr>
          <w:rFonts w:hint="eastAsia" w:hAnsi="宋体" w:eastAsia="宋体" w:cs="宋体"/>
          <w:lang w:val="en-US" w:eastAsia="zh-CN"/>
        </w:rPr>
        <w:t>11</w:t>
      </w:r>
      <w:r>
        <w:rPr>
          <w:rFonts w:hint="eastAsia" w:ascii="宋体" w:hAnsi="宋体" w:eastAsia="宋体" w:cs="宋体"/>
          <w:lang w:val="en-US" w:eastAsia="zh-CN"/>
        </w:rPr>
        <w:t>，3.</w:t>
      </w:r>
      <w:r>
        <w:rPr>
          <w:rFonts w:hint="eastAsia" w:hAnsi="宋体" w:eastAsia="宋体" w:cs="宋体"/>
          <w:lang w:val="en-US" w:eastAsia="zh-CN"/>
        </w:rPr>
        <w:t>5，有修改</w:t>
      </w:r>
      <w:r>
        <w:rPr>
          <w:rFonts w:hint="eastAsia" w:ascii="宋体" w:hAnsi="宋体" w:eastAsia="宋体" w:cs="宋体"/>
          <w:lang w:val="en-US" w:eastAsia="zh-CN"/>
        </w:rPr>
        <w:t>]</w:t>
      </w:r>
    </w:p>
    <w:p>
      <w:pPr>
        <w:pStyle w:val="40"/>
        <w:bidi w:val="0"/>
        <w:rPr>
          <w:rFonts w:hint="eastAsia"/>
        </w:rPr>
      </w:pPr>
    </w:p>
    <w:p>
      <w:pPr>
        <w:pStyle w:val="40"/>
        <w:numPr>
          <w:ilvl w:val="0"/>
          <w:numId w:val="0"/>
        </w:numPr>
        <w:ind w:leftChars="0" w:firstLine="420" w:firstLineChars="200"/>
        <w:rPr>
          <w:rFonts w:hint="default" w:hAnsi="Times New Roman" w:cs="Times New Roman"/>
          <w:lang w:val="en-US" w:eastAsia="zh-CN"/>
        </w:rPr>
      </w:pPr>
      <w:r>
        <w:rPr>
          <w:rFonts w:hint="eastAsia" w:hAnsi="Times New Roman" w:cs="Times New Roman"/>
          <w:lang w:eastAsia="zh-CN"/>
        </w:rPr>
        <w:t>氧含量</w:t>
      </w:r>
      <w:r>
        <w:rPr>
          <w:rFonts w:hint="eastAsia" w:hAnsi="Times New Roman" w:cs="Times New Roman"/>
          <w:lang w:val="en-US" w:eastAsia="zh-CN"/>
        </w:rPr>
        <w:t xml:space="preserve">  oxygen content</w:t>
      </w:r>
    </w:p>
    <w:p>
      <w:pPr>
        <w:pStyle w:val="22"/>
        <w:ind w:left="0" w:leftChars="0" w:firstLine="420" w:firstLineChars="200"/>
        <w:rPr>
          <w:rFonts w:ascii="Times New Roman"/>
        </w:rPr>
      </w:pPr>
      <w:r>
        <w:rPr>
          <w:rFonts w:ascii="Times New Roman"/>
        </w:rPr>
        <w:t>燃料燃烧时，烟气中含有的多余</w:t>
      </w:r>
      <w:r>
        <w:rPr>
          <w:rFonts w:hint="eastAsia" w:ascii="Times New Roman"/>
          <w:lang w:eastAsia="zh-CN"/>
        </w:rPr>
        <w:t>的</w:t>
      </w:r>
      <w:r>
        <w:rPr>
          <w:rFonts w:ascii="Times New Roman"/>
        </w:rPr>
        <w:t>自由氧，通常以干基容积百分数表示。</w:t>
      </w:r>
    </w:p>
    <w:p>
      <w:pPr>
        <w:pStyle w:val="22"/>
        <w:ind w:left="0" w:leftChars="0" w:firstLine="489" w:firstLineChars="233"/>
        <w:rPr>
          <w:rFonts w:hint="eastAsia" w:ascii="宋体" w:hAnsi="宋体" w:eastAsia="宋体" w:cs="宋体"/>
          <w:lang w:val="en-US" w:eastAsia="zh-CN"/>
        </w:rPr>
      </w:pPr>
      <w:r>
        <w:rPr>
          <w:rFonts w:hint="eastAsia" w:ascii="宋体" w:hAnsi="宋体" w:eastAsia="宋体" w:cs="宋体"/>
          <w:lang w:val="en-US" w:eastAsia="zh-CN"/>
        </w:rPr>
        <w:t>[来源：</w:t>
      </w:r>
      <w:r>
        <w:rPr>
          <w:rFonts w:hint="eastAsia" w:hAnsi="宋体" w:eastAsia="宋体" w:cs="宋体"/>
          <w:lang w:val="en-US" w:eastAsia="zh-CN"/>
        </w:rPr>
        <w:t>GB</w:t>
      </w:r>
      <w:r>
        <w:rPr>
          <w:rFonts w:hint="eastAsia" w:ascii="宋体" w:hAnsi="宋体" w:eastAsia="宋体" w:cs="宋体"/>
          <w:lang w:val="en-US" w:eastAsia="zh-CN"/>
        </w:rPr>
        <w:t xml:space="preserve"> </w:t>
      </w:r>
      <w:r>
        <w:rPr>
          <w:rFonts w:hint="eastAsia" w:hAnsi="宋体" w:eastAsia="宋体" w:cs="宋体"/>
          <w:lang w:val="en-US" w:eastAsia="zh-CN"/>
        </w:rPr>
        <w:t>13223</w:t>
      </w:r>
      <w:r>
        <w:rPr>
          <w:rFonts w:hint="eastAsia" w:ascii="宋体" w:hAnsi="宋体" w:eastAsia="宋体" w:cs="宋体"/>
          <w:lang w:val="en-US" w:eastAsia="zh-CN"/>
        </w:rPr>
        <w:t>—20</w:t>
      </w:r>
      <w:r>
        <w:rPr>
          <w:rFonts w:hint="eastAsia" w:hAnsi="宋体" w:eastAsia="宋体" w:cs="宋体"/>
          <w:lang w:val="en-US" w:eastAsia="zh-CN"/>
        </w:rPr>
        <w:t>11</w:t>
      </w:r>
      <w:r>
        <w:rPr>
          <w:rFonts w:hint="eastAsia" w:ascii="宋体" w:hAnsi="宋体" w:eastAsia="宋体" w:cs="宋体"/>
          <w:lang w:val="en-US" w:eastAsia="zh-CN"/>
        </w:rPr>
        <w:t>，3.</w:t>
      </w:r>
      <w:r>
        <w:rPr>
          <w:rFonts w:hint="eastAsia" w:hAnsi="宋体" w:eastAsia="宋体" w:cs="宋体"/>
          <w:lang w:val="en-US" w:eastAsia="zh-CN"/>
        </w:rPr>
        <w:t>3</w:t>
      </w:r>
      <w:r>
        <w:rPr>
          <w:rFonts w:hint="eastAsia" w:ascii="宋体" w:hAnsi="宋体" w:eastAsia="宋体" w:cs="宋体"/>
          <w:lang w:val="en-US" w:eastAsia="zh-CN"/>
        </w:rPr>
        <w:t>]</w:t>
      </w:r>
    </w:p>
    <w:p>
      <w:pPr>
        <w:pStyle w:val="40"/>
        <w:bidi w:val="0"/>
        <w:rPr>
          <w:rFonts w:hint="eastAsia"/>
        </w:rPr>
      </w:pPr>
    </w:p>
    <w:p>
      <w:pPr>
        <w:pStyle w:val="40"/>
        <w:numPr>
          <w:ilvl w:val="0"/>
          <w:numId w:val="0"/>
        </w:numPr>
        <w:bidi w:val="0"/>
        <w:ind w:leftChars="0" w:firstLine="420" w:firstLineChars="200"/>
        <w:rPr>
          <w:rFonts w:hint="default" w:eastAsia="黑体"/>
          <w:lang w:val="en-US" w:eastAsia="zh-CN"/>
        </w:rPr>
      </w:pPr>
      <w:r>
        <w:rPr>
          <w:rFonts w:hint="eastAsia"/>
          <w:lang w:eastAsia="zh-CN"/>
        </w:rPr>
        <w:t>基准氧含量</w:t>
      </w:r>
      <w:r>
        <w:rPr>
          <w:rFonts w:hint="eastAsia"/>
          <w:lang w:val="en-US" w:eastAsia="zh-CN"/>
        </w:rPr>
        <w:t xml:space="preserve">  benchmark</w:t>
      </w:r>
      <w:r>
        <w:rPr>
          <w:rFonts w:hint="eastAsia"/>
        </w:rPr>
        <w:t xml:space="preserve"> oxygen</w:t>
      </w:r>
      <w:r>
        <w:rPr>
          <w:rFonts w:hint="eastAsia"/>
          <w:lang w:val="en-US" w:eastAsia="zh-CN"/>
        </w:rPr>
        <w:t xml:space="preserve"> content</w:t>
      </w:r>
    </w:p>
    <w:p>
      <w:pPr>
        <w:pStyle w:val="22"/>
        <w:ind w:left="0" w:leftChars="0" w:firstLine="420" w:firstLineChars="200"/>
        <w:rPr>
          <w:rFonts w:hint="eastAsia"/>
          <w:lang w:eastAsia="zh-CN"/>
        </w:rPr>
      </w:pPr>
      <w:r>
        <w:rPr>
          <w:rFonts w:hint="eastAsia"/>
          <w:lang w:eastAsia="zh-CN"/>
        </w:rPr>
        <w:t>用于折算燃烧源大气污染物排放浓度而规定的含氧量的基准值。</w:t>
      </w:r>
    </w:p>
    <w:p>
      <w:pPr>
        <w:pStyle w:val="22"/>
        <w:ind w:left="0" w:leftChars="0" w:firstLine="489" w:firstLineChars="233"/>
        <w:rPr>
          <w:rFonts w:hint="eastAsia"/>
          <w:lang w:eastAsia="zh-CN"/>
        </w:rPr>
      </w:pPr>
      <w:r>
        <w:rPr>
          <w:rFonts w:hint="eastAsia" w:ascii="宋体" w:hAnsi="宋体" w:eastAsia="宋体" w:cs="宋体"/>
          <w:lang w:val="en-US" w:eastAsia="zh-CN"/>
        </w:rPr>
        <w:t>[来源：</w:t>
      </w:r>
      <w:r>
        <w:rPr>
          <w:rFonts w:hint="eastAsia" w:hAnsi="宋体" w:eastAsia="宋体" w:cs="宋体"/>
          <w:lang w:val="en-US" w:eastAsia="zh-CN"/>
        </w:rPr>
        <w:t>HJ</w:t>
      </w:r>
      <w:r>
        <w:rPr>
          <w:rFonts w:hint="eastAsia" w:ascii="宋体" w:hAnsi="宋体" w:eastAsia="宋体" w:cs="宋体"/>
          <w:lang w:val="en-US" w:eastAsia="zh-CN"/>
        </w:rPr>
        <w:t xml:space="preserve"> </w:t>
      </w:r>
      <w:r>
        <w:rPr>
          <w:rFonts w:hint="eastAsia" w:hAnsi="宋体" w:eastAsia="宋体" w:cs="宋体"/>
          <w:lang w:val="en-US" w:eastAsia="zh-CN"/>
        </w:rPr>
        <w:t>945.1</w:t>
      </w:r>
      <w:r>
        <w:rPr>
          <w:rFonts w:hint="eastAsia" w:ascii="宋体" w:hAnsi="宋体" w:eastAsia="宋体" w:cs="宋体"/>
          <w:lang w:val="en-US" w:eastAsia="zh-CN"/>
        </w:rPr>
        <w:t>—</w:t>
      </w:r>
      <w:r>
        <w:rPr>
          <w:rFonts w:hint="eastAsia" w:hAnsi="宋体" w:eastAsia="宋体" w:cs="宋体"/>
          <w:lang w:val="en-US" w:eastAsia="zh-CN"/>
        </w:rPr>
        <w:t>2018</w:t>
      </w:r>
      <w:r>
        <w:rPr>
          <w:rFonts w:hint="eastAsia" w:ascii="宋体" w:hAnsi="宋体" w:eastAsia="宋体" w:cs="宋体"/>
          <w:lang w:val="en-US" w:eastAsia="zh-CN"/>
        </w:rPr>
        <w:t>，3.</w:t>
      </w:r>
      <w:r>
        <w:rPr>
          <w:rFonts w:hint="eastAsia" w:hAnsi="宋体" w:eastAsia="宋体" w:cs="宋体"/>
          <w:lang w:val="en-US" w:eastAsia="zh-CN"/>
        </w:rPr>
        <w:t>12</w:t>
      </w:r>
      <w:r>
        <w:rPr>
          <w:rFonts w:hint="eastAsia" w:ascii="宋体" w:hAnsi="宋体" w:eastAsia="宋体" w:cs="宋体"/>
          <w:lang w:val="en-US" w:eastAsia="zh-CN"/>
        </w:rPr>
        <w:t>]</w:t>
      </w:r>
    </w:p>
    <w:p>
      <w:pPr>
        <w:pStyle w:val="40"/>
        <w:rPr>
          <w:rFonts w:hint="eastAsia"/>
        </w:rPr>
      </w:pPr>
    </w:p>
    <w:p>
      <w:pPr>
        <w:pStyle w:val="40"/>
        <w:numPr>
          <w:ilvl w:val="0"/>
          <w:numId w:val="0"/>
        </w:numPr>
        <w:ind w:leftChars="0" w:firstLine="420" w:firstLineChars="200"/>
        <w:rPr>
          <w:rFonts w:hint="default" w:eastAsia="黑体"/>
          <w:highlight w:val="none"/>
          <w:lang w:val="en-US" w:eastAsia="zh-CN"/>
        </w:rPr>
      </w:pPr>
      <w:r>
        <w:rPr>
          <w:rFonts w:hint="eastAsia"/>
          <w:highlight w:val="none"/>
          <w:lang w:eastAsia="zh-CN"/>
        </w:rPr>
        <w:t>标准状态</w:t>
      </w:r>
      <w:r>
        <w:rPr>
          <w:rFonts w:hint="eastAsia"/>
          <w:highlight w:val="none"/>
          <w:lang w:val="en-US" w:eastAsia="zh-CN"/>
        </w:rPr>
        <w:t xml:space="preserve">  standard condition</w:t>
      </w:r>
    </w:p>
    <w:p>
      <w:pPr>
        <w:pStyle w:val="22"/>
        <w:rPr>
          <w:rFonts w:hint="eastAsia"/>
          <w:lang w:eastAsia="zh-CN"/>
        </w:rPr>
      </w:pPr>
      <w:r>
        <w:rPr>
          <w:rFonts w:hint="eastAsia"/>
          <w:color w:val="auto"/>
        </w:rPr>
        <w:t>温度</w:t>
      </w:r>
      <w:r>
        <w:rPr>
          <w:rFonts w:hint="eastAsia"/>
          <w:color w:val="auto"/>
          <w:lang w:eastAsia="zh-CN"/>
        </w:rPr>
        <w:t>为</w:t>
      </w:r>
      <w:r>
        <w:rPr>
          <w:rFonts w:hint="eastAsia" w:ascii="宋体" w:hAnsi="宋体" w:eastAsia="宋体" w:cs="宋体"/>
          <w:color w:val="auto"/>
        </w:rPr>
        <w:t>273</w:t>
      </w:r>
      <w:r>
        <w:rPr>
          <w:rFonts w:hint="eastAsia" w:hAnsi="宋体" w:eastAsia="宋体" w:cs="宋体"/>
          <w:color w:val="auto"/>
          <w:lang w:val="en-US" w:eastAsia="zh-CN"/>
        </w:rPr>
        <w:t>.15</w:t>
      </w:r>
      <w:r>
        <w:rPr>
          <w:rFonts w:hint="eastAsia" w:ascii="宋体" w:hAnsi="宋体" w:eastAsia="宋体" w:cs="宋体"/>
          <w:color w:val="auto"/>
          <w:lang w:val="en-US" w:eastAsia="zh-CN"/>
        </w:rPr>
        <w:t xml:space="preserve"> </w:t>
      </w:r>
      <w:r>
        <w:rPr>
          <w:rFonts w:hint="eastAsia" w:ascii="宋体" w:hAnsi="宋体" w:eastAsia="宋体" w:cs="宋体"/>
          <w:color w:val="auto"/>
        </w:rPr>
        <w:t>K</w:t>
      </w:r>
      <w:r>
        <w:rPr>
          <w:rFonts w:hint="eastAsia" w:hAnsi="宋体" w:eastAsia="宋体" w:cs="宋体"/>
          <w:color w:val="auto"/>
          <w:lang w:eastAsia="zh-CN"/>
        </w:rPr>
        <w:t>、</w:t>
      </w:r>
      <w:r>
        <w:rPr>
          <w:rFonts w:hint="eastAsia" w:ascii="宋体" w:hAnsi="宋体" w:eastAsia="宋体" w:cs="宋体"/>
          <w:color w:val="auto"/>
        </w:rPr>
        <w:t>压力</w:t>
      </w:r>
      <w:r>
        <w:rPr>
          <w:rFonts w:hint="eastAsia" w:hAnsi="宋体" w:eastAsia="宋体" w:cs="宋体"/>
          <w:color w:val="auto"/>
          <w:lang w:eastAsia="zh-CN"/>
        </w:rPr>
        <w:t>为</w:t>
      </w:r>
      <w:r>
        <w:rPr>
          <w:rFonts w:hint="eastAsia" w:ascii="宋体" w:hAnsi="宋体" w:eastAsia="宋体" w:cs="宋体"/>
          <w:color w:val="auto"/>
        </w:rPr>
        <w:t>101</w:t>
      </w:r>
      <w:r>
        <w:rPr>
          <w:rFonts w:hint="eastAsia" w:hAnsi="宋体" w:eastAsia="宋体" w:cs="宋体"/>
          <w:color w:val="auto"/>
          <w:lang w:val="en-US" w:eastAsia="zh-CN"/>
        </w:rPr>
        <w:t>.</w:t>
      </w:r>
      <w:r>
        <w:rPr>
          <w:rFonts w:hint="eastAsia" w:ascii="宋体" w:hAnsi="宋体" w:eastAsia="宋体" w:cs="宋体"/>
          <w:color w:val="auto"/>
        </w:rPr>
        <w:t>325</w:t>
      </w:r>
      <w:r>
        <w:rPr>
          <w:rFonts w:hint="eastAsia" w:hAnsi="宋体" w:eastAsia="宋体" w:cs="宋体"/>
          <w:color w:val="auto"/>
          <w:lang w:val="en-US" w:eastAsia="zh-CN"/>
        </w:rPr>
        <w:t xml:space="preserve"> k</w:t>
      </w:r>
      <w:r>
        <w:rPr>
          <w:rFonts w:hint="eastAsia" w:ascii="宋体" w:hAnsi="宋体" w:eastAsia="宋体" w:cs="宋体"/>
          <w:color w:val="auto"/>
        </w:rPr>
        <w:t>Pa</w:t>
      </w:r>
      <w:r>
        <w:rPr>
          <w:rFonts w:hint="eastAsia" w:hAnsi="宋体" w:eastAsia="宋体" w:cs="宋体"/>
          <w:color w:val="auto"/>
          <w:lang w:eastAsia="zh-CN"/>
        </w:rPr>
        <w:t>时</w:t>
      </w:r>
      <w:r>
        <w:rPr>
          <w:rFonts w:hint="eastAsia"/>
          <w:lang w:eastAsia="zh-CN"/>
        </w:rPr>
        <w:t>的状态。</w:t>
      </w:r>
    </w:p>
    <w:p>
      <w:pPr>
        <w:pStyle w:val="22"/>
        <w:rPr>
          <w:rFonts w:hint="eastAsia" w:ascii="Times New Roman"/>
          <w:strike w:val="0"/>
          <w:sz w:val="21"/>
          <w:szCs w:val="21"/>
          <w:lang w:eastAsia="zh-CN"/>
        </w:rPr>
      </w:pPr>
      <w:r>
        <w:rPr>
          <w:rFonts w:hint="eastAsia" w:ascii="黑体" w:hAnsi="黑体" w:eastAsia="黑体" w:cs="黑体"/>
          <w:sz w:val="18"/>
          <w:szCs w:val="18"/>
          <w:lang w:val="en-US" w:eastAsia="zh-CN"/>
        </w:rPr>
        <w:t>注：</w:t>
      </w:r>
      <w:r>
        <w:rPr>
          <w:rFonts w:ascii="Times New Roman"/>
          <w:strike w:val="0"/>
          <w:sz w:val="18"/>
          <w:szCs w:val="18"/>
          <w:highlight w:val="none"/>
        </w:rPr>
        <w:t>本文件</w:t>
      </w:r>
      <w:r>
        <w:rPr>
          <w:rFonts w:hint="default" w:ascii="Times New Roman"/>
          <w:strike w:val="0"/>
          <w:sz w:val="18"/>
          <w:szCs w:val="18"/>
          <w:highlight w:val="none"/>
          <w:lang w:eastAsia="zh-CN"/>
        </w:rPr>
        <w:t>规定的大气污染物排放浓度限值均以标准状态下的干气体为基准。</w:t>
      </w:r>
    </w:p>
    <w:p>
      <w:pPr>
        <w:pStyle w:val="22"/>
        <w:rPr>
          <w:rFonts w:hint="eastAsia" w:ascii="Times New Roman"/>
          <w:sz w:val="18"/>
          <w:szCs w:val="18"/>
          <w:lang w:eastAsia="zh-CN"/>
        </w:rPr>
      </w:pPr>
      <w:r>
        <w:rPr>
          <w:rFonts w:hint="eastAsia"/>
          <w:lang w:eastAsia="zh-CN"/>
        </w:rPr>
        <w:t>［来源：</w:t>
      </w:r>
      <w:r>
        <w:rPr>
          <w:rFonts w:hint="eastAsia"/>
          <w:lang w:val="en-US" w:eastAsia="zh-CN"/>
        </w:rPr>
        <w:t>GB 39726—2020，3.28</w:t>
      </w:r>
      <w:r>
        <w:rPr>
          <w:rFonts w:hint="eastAsia"/>
          <w:lang w:eastAsia="zh-CN"/>
        </w:rPr>
        <w:t>］</w:t>
      </w:r>
    </w:p>
    <w:p>
      <w:pPr>
        <w:pStyle w:val="40"/>
        <w:bidi w:val="0"/>
        <w:rPr>
          <w:rFonts w:hint="default"/>
          <w:lang w:val="en-US" w:eastAsia="zh-CN"/>
        </w:rPr>
      </w:pPr>
    </w:p>
    <w:p>
      <w:pPr>
        <w:pStyle w:val="40"/>
        <w:numPr>
          <w:ilvl w:val="0"/>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无组织排放  fugitive emission</w:t>
      </w:r>
    </w:p>
    <w:p>
      <w:pPr>
        <w:pStyle w:val="22"/>
        <w:rPr>
          <w:rFonts w:hint="eastAsia" w:hAnsi="Times New Roman" w:cs="Times New Roman"/>
          <w:lang w:val="en-US" w:eastAsia="zh-CN"/>
        </w:rPr>
      </w:pPr>
      <w:r>
        <w:rPr>
          <w:rFonts w:hint="eastAsia" w:ascii="宋体" w:hAnsi="Times New Roman" w:eastAsia="宋体" w:cs="Times New Roman"/>
          <w:lang w:val="en-US" w:eastAsia="zh-CN"/>
        </w:rPr>
        <w:t>大气污染物</w:t>
      </w:r>
      <w:r>
        <w:rPr>
          <w:rFonts w:hint="eastAsia" w:hAnsi="Times New Roman" w:eastAsia="宋体" w:cs="Times New Roman"/>
          <w:lang w:val="en-US" w:eastAsia="zh-CN"/>
        </w:rPr>
        <w:t>不经过排气筒的无规则排放，包括开放式作业场所逸散，以及通过缝隙、通风口、敞开门窗和类似开口（孔）的排放等</w:t>
      </w:r>
      <w:r>
        <w:rPr>
          <w:rFonts w:hint="eastAsia" w:hAnsi="Times New Roman" w:cs="Times New Roman"/>
          <w:lang w:val="en-US" w:eastAsia="zh-CN"/>
        </w:rPr>
        <w:t>。</w:t>
      </w:r>
    </w:p>
    <w:p>
      <w:pPr>
        <w:pStyle w:val="22"/>
        <w:rPr>
          <w:rFonts w:hint="eastAsia" w:hAnsi="Times New Roman" w:cs="Times New Roman"/>
          <w:lang w:val="en-US" w:eastAsia="zh-CN"/>
        </w:rPr>
      </w:pPr>
      <w:r>
        <w:rPr>
          <w:rFonts w:ascii="宋体" w:hAnsi="宋体"/>
          <w:kern w:val="0"/>
          <w:szCs w:val="21"/>
        </w:rPr>
        <w:t>[</w:t>
      </w:r>
      <w:r>
        <w:rPr>
          <w:rFonts w:hint="eastAsia" w:ascii="宋体" w:hAnsi="宋体"/>
          <w:kern w:val="0"/>
          <w:szCs w:val="21"/>
        </w:rPr>
        <w:t>来源：</w:t>
      </w:r>
      <w:r>
        <w:rPr>
          <w:rFonts w:ascii="宋体" w:hAnsi="宋体"/>
          <w:kern w:val="0"/>
          <w:szCs w:val="21"/>
          <w:highlight w:val="none"/>
        </w:rPr>
        <w:t>GB 3</w:t>
      </w:r>
      <w:r>
        <w:rPr>
          <w:rFonts w:hint="eastAsia" w:ascii="宋体" w:hAnsi="宋体"/>
          <w:kern w:val="0"/>
          <w:szCs w:val="21"/>
          <w:highlight w:val="none"/>
          <w:lang w:eastAsia="zh-CN"/>
        </w:rPr>
        <w:t>9</w:t>
      </w:r>
      <w:r>
        <w:rPr>
          <w:rFonts w:hint="eastAsia" w:ascii="宋体" w:hAnsi="宋体"/>
          <w:kern w:val="0"/>
          <w:szCs w:val="21"/>
          <w:highlight w:val="none"/>
          <w:lang w:val="en-US" w:eastAsia="zh-CN"/>
        </w:rPr>
        <w:t>726</w:t>
      </w:r>
      <w:r>
        <w:rPr>
          <w:rFonts w:hint="eastAsia" w:ascii="宋体" w:hAnsi="宋体"/>
          <w:kern w:val="0"/>
          <w:szCs w:val="21"/>
          <w:highlight w:val="none"/>
          <w:lang w:eastAsia="zh-CN"/>
        </w:rPr>
        <w:t>—</w:t>
      </w:r>
      <w:r>
        <w:rPr>
          <w:rFonts w:ascii="宋体" w:hAnsi="宋体"/>
          <w:kern w:val="0"/>
          <w:szCs w:val="21"/>
          <w:highlight w:val="none"/>
        </w:rPr>
        <w:t>20</w:t>
      </w:r>
      <w:r>
        <w:rPr>
          <w:rFonts w:hint="eastAsia" w:ascii="宋体" w:hAnsi="宋体"/>
          <w:kern w:val="0"/>
          <w:szCs w:val="21"/>
          <w:highlight w:val="none"/>
          <w:lang w:val="en-US" w:eastAsia="zh-CN"/>
        </w:rPr>
        <w:t>20</w:t>
      </w:r>
      <w:r>
        <w:rPr>
          <w:rFonts w:hint="eastAsia" w:ascii="宋体" w:hAnsi="宋体"/>
          <w:kern w:val="0"/>
          <w:szCs w:val="21"/>
        </w:rPr>
        <w:t>，</w:t>
      </w:r>
      <w:r>
        <w:rPr>
          <w:rFonts w:ascii="宋体" w:hAnsi="宋体"/>
          <w:kern w:val="0"/>
          <w:szCs w:val="21"/>
        </w:rPr>
        <w:t>3.</w:t>
      </w:r>
      <w:r>
        <w:rPr>
          <w:rFonts w:hint="eastAsia" w:hAnsi="宋体"/>
          <w:kern w:val="0"/>
          <w:szCs w:val="21"/>
          <w:lang w:val="en-US" w:eastAsia="zh-CN"/>
        </w:rPr>
        <w:t>22</w:t>
      </w:r>
      <w:r>
        <w:rPr>
          <w:rFonts w:ascii="宋体" w:hAnsi="宋体"/>
          <w:kern w:val="0"/>
          <w:szCs w:val="21"/>
        </w:rPr>
        <w:t>]</w:t>
      </w:r>
    </w:p>
    <w:p>
      <w:pPr>
        <w:pStyle w:val="40"/>
        <w:bidi w:val="0"/>
        <w:rPr>
          <w:rFonts w:hint="default"/>
          <w:lang w:val="en-US" w:eastAsia="zh-CN"/>
        </w:rPr>
      </w:pPr>
    </w:p>
    <w:p>
      <w:pPr>
        <w:pStyle w:val="40"/>
        <w:numPr>
          <w:ilvl w:val="0"/>
          <w:numId w:val="0"/>
        </w:numPr>
        <w:ind w:leftChars="0" w:firstLine="420" w:firstLineChars="200"/>
        <w:rPr>
          <w:rFonts w:hint="eastAsia" w:hAnsi="Times New Roman" w:cs="Times New Roman"/>
          <w:highlight w:val="none"/>
          <w:lang w:val="en-US" w:eastAsia="zh-CN"/>
        </w:rPr>
      </w:pPr>
      <w:r>
        <w:rPr>
          <w:rFonts w:hint="eastAsia" w:hAnsi="Times New Roman" w:cs="Times New Roman"/>
          <w:highlight w:val="none"/>
          <w:lang w:val="en-US" w:eastAsia="zh-CN"/>
        </w:rPr>
        <w:t xml:space="preserve">密闭  </w:t>
      </w:r>
      <w:r>
        <w:rPr>
          <w:rFonts w:hint="eastAsia"/>
          <w:highlight w:val="none"/>
        </w:rPr>
        <w:t>airtight</w:t>
      </w:r>
    </w:p>
    <w:p>
      <w:pPr>
        <w:ind w:firstLine="420" w:firstLineChars="200"/>
        <w:rPr>
          <w:rFonts w:hint="eastAsia" w:hAnsi="Times New Roman" w:cs="Times New Roman"/>
          <w:highlight w:val="none"/>
          <w:lang w:val="en-US" w:eastAsia="zh-CN"/>
        </w:rPr>
      </w:pPr>
      <w:r>
        <w:rPr>
          <w:rFonts w:hint="default"/>
          <w:highlight w:val="none"/>
          <w:lang w:val="en-US" w:eastAsia="zh-CN"/>
        </w:rPr>
        <w:t>污染物质</w:t>
      </w:r>
      <w:r>
        <w:rPr>
          <w:rFonts w:hint="eastAsia"/>
          <w:highlight w:val="none"/>
          <w:lang w:val="en-US" w:eastAsia="zh-CN"/>
        </w:rPr>
        <w:t>不与环境空气接触，或通过密封材料、密封设备与环境空气隔离的状态或作业方式</w:t>
      </w:r>
      <w:r>
        <w:rPr>
          <w:rFonts w:hint="eastAsia" w:hAnsi="Times New Roman" w:cs="Times New Roman"/>
          <w:highlight w:val="none"/>
          <w:lang w:val="en-US" w:eastAsia="zh-CN"/>
        </w:rPr>
        <w:t>。</w:t>
      </w:r>
    </w:p>
    <w:p>
      <w:pPr>
        <w:tabs>
          <w:tab w:val="center" w:pos="4201"/>
          <w:tab w:val="right" w:leader="dot" w:pos="9298"/>
        </w:tabs>
        <w:ind w:firstLine="420" w:firstLineChars="200"/>
        <w:rPr>
          <w:rFonts w:hint="eastAsia" w:hAnsi="Times New Roman" w:cs="Times New Roman"/>
          <w:highlight w:val="none"/>
          <w:lang w:val="en-US" w:eastAsia="zh-CN"/>
        </w:rPr>
      </w:pPr>
      <w:r>
        <w:rPr>
          <w:rFonts w:ascii="宋体" w:hAnsi="宋体"/>
          <w:kern w:val="0"/>
          <w:szCs w:val="21"/>
          <w:highlight w:val="none"/>
        </w:rPr>
        <w:t>[</w:t>
      </w:r>
      <w:r>
        <w:rPr>
          <w:rFonts w:hint="eastAsia" w:ascii="宋体" w:hAnsi="宋体"/>
          <w:kern w:val="0"/>
          <w:szCs w:val="21"/>
          <w:highlight w:val="none"/>
        </w:rPr>
        <w:t>来源：</w:t>
      </w:r>
      <w:r>
        <w:rPr>
          <w:rFonts w:ascii="宋体" w:hAnsi="宋体"/>
          <w:kern w:val="0"/>
          <w:szCs w:val="21"/>
          <w:highlight w:val="none"/>
        </w:rPr>
        <w:t>GB 3</w:t>
      </w:r>
      <w:r>
        <w:rPr>
          <w:rFonts w:hint="eastAsia" w:ascii="宋体" w:hAnsi="宋体"/>
          <w:kern w:val="0"/>
          <w:szCs w:val="21"/>
          <w:highlight w:val="none"/>
          <w:lang w:eastAsia="zh-CN"/>
        </w:rPr>
        <w:t>9</w:t>
      </w:r>
      <w:r>
        <w:rPr>
          <w:rFonts w:hint="eastAsia" w:ascii="宋体" w:hAnsi="宋体"/>
          <w:kern w:val="0"/>
          <w:szCs w:val="21"/>
          <w:highlight w:val="none"/>
          <w:lang w:val="en-US" w:eastAsia="zh-CN"/>
        </w:rPr>
        <w:t>726</w:t>
      </w:r>
      <w:r>
        <w:rPr>
          <w:rFonts w:hint="eastAsia" w:ascii="宋体" w:hAnsi="宋体"/>
          <w:kern w:val="0"/>
          <w:szCs w:val="21"/>
          <w:highlight w:val="none"/>
          <w:lang w:eastAsia="zh-CN"/>
        </w:rPr>
        <w:t>—</w:t>
      </w:r>
      <w:r>
        <w:rPr>
          <w:rFonts w:ascii="宋体" w:hAnsi="宋体"/>
          <w:kern w:val="0"/>
          <w:szCs w:val="21"/>
          <w:highlight w:val="none"/>
        </w:rPr>
        <w:t>20</w:t>
      </w:r>
      <w:r>
        <w:rPr>
          <w:rFonts w:hint="eastAsia" w:ascii="宋体" w:hAnsi="宋体"/>
          <w:kern w:val="0"/>
          <w:szCs w:val="21"/>
          <w:highlight w:val="none"/>
          <w:lang w:val="en-US" w:eastAsia="zh-CN"/>
        </w:rPr>
        <w:t>20</w:t>
      </w:r>
      <w:r>
        <w:rPr>
          <w:rFonts w:hint="eastAsia" w:ascii="宋体" w:hAnsi="宋体"/>
          <w:kern w:val="0"/>
          <w:szCs w:val="21"/>
          <w:highlight w:val="none"/>
        </w:rPr>
        <w:t>，</w:t>
      </w:r>
      <w:r>
        <w:rPr>
          <w:rFonts w:ascii="宋体" w:hAnsi="宋体"/>
          <w:kern w:val="0"/>
          <w:szCs w:val="21"/>
          <w:highlight w:val="none"/>
        </w:rPr>
        <w:t>3.</w:t>
      </w:r>
      <w:r>
        <w:rPr>
          <w:rFonts w:hint="eastAsia" w:ascii="宋体" w:hAnsi="宋体"/>
          <w:kern w:val="0"/>
          <w:szCs w:val="21"/>
          <w:highlight w:val="none"/>
          <w:lang w:val="en-US" w:eastAsia="zh-CN"/>
        </w:rPr>
        <w:t>23</w:t>
      </w:r>
      <w:r>
        <w:rPr>
          <w:rFonts w:hint="eastAsia" w:ascii="宋体" w:hAnsi="宋体" w:eastAsia="宋体" w:cs="宋体"/>
          <w:highlight w:val="none"/>
          <w:lang w:val="en-US" w:eastAsia="zh-CN"/>
        </w:rPr>
        <w:t>，有修改</w:t>
      </w:r>
      <w:r>
        <w:rPr>
          <w:rFonts w:ascii="宋体" w:hAnsi="宋体"/>
          <w:kern w:val="0"/>
          <w:szCs w:val="21"/>
          <w:highlight w:val="none"/>
        </w:rPr>
        <w:t>]</w:t>
      </w:r>
    </w:p>
    <w:p>
      <w:pPr>
        <w:pStyle w:val="87"/>
        <w:rPr>
          <w:rFonts w:hint="eastAsia"/>
        </w:rPr>
      </w:pPr>
      <w:bookmarkStart w:id="28" w:name="_Toc428"/>
      <w:bookmarkStart w:id="29" w:name="_Toc27090"/>
      <w:bookmarkStart w:id="30" w:name="_Toc32508536"/>
      <w:r>
        <w:rPr>
          <w:rFonts w:hint="eastAsia"/>
        </w:rPr>
        <w:t>排放控制要求</w:t>
      </w:r>
      <w:bookmarkEnd w:id="28"/>
      <w:bookmarkEnd w:id="29"/>
      <w:bookmarkEnd w:id="30"/>
    </w:p>
    <w:p>
      <w:pPr>
        <w:pStyle w:val="40"/>
        <w:tabs>
          <w:tab w:val="center" w:pos="4201"/>
          <w:tab w:val="right" w:leader="dot" w:pos="9298"/>
        </w:tabs>
        <w:rPr>
          <w:rFonts w:hint="eastAsia"/>
        </w:rPr>
      </w:pPr>
      <w:r>
        <w:rPr>
          <w:rFonts w:hint="eastAsia"/>
          <w:lang w:eastAsia="zh-CN"/>
        </w:rPr>
        <w:t>有组织排放控制要求</w:t>
      </w:r>
    </w:p>
    <w:p>
      <w:pPr>
        <w:pStyle w:val="102"/>
        <w:rPr>
          <w:rFonts w:hint="eastAsia" w:ascii="宋体" w:hAnsi="宋体" w:eastAsia="宋体" w:cs="宋体"/>
          <w:color w:val="auto"/>
        </w:rPr>
      </w:pPr>
      <w:r>
        <w:rPr>
          <w:rFonts w:hint="eastAsia" w:ascii="宋体" w:hAnsi="宋体" w:eastAsia="宋体" w:cs="宋体"/>
          <w:color w:val="auto"/>
          <w:lang w:eastAsia="zh-CN"/>
        </w:rPr>
        <w:t>自本文件实施之日起，</w:t>
      </w:r>
      <w:r>
        <w:rPr>
          <w:rFonts w:hint="eastAsia" w:ascii="宋体" w:hAnsi="宋体" w:eastAsia="宋体" w:cs="宋体"/>
          <w:color w:val="auto"/>
        </w:rPr>
        <w:t>新建</w:t>
      </w:r>
      <w:r>
        <w:rPr>
          <w:rFonts w:hint="eastAsia" w:ascii="宋体" w:hAnsi="宋体" w:eastAsia="宋体" w:cs="宋体"/>
          <w:color w:val="auto"/>
          <w:lang w:eastAsia="zh-CN"/>
        </w:rPr>
        <w:t>燃气电厂</w:t>
      </w:r>
      <w:r>
        <w:rPr>
          <w:rFonts w:hint="eastAsia" w:ascii="宋体" w:hAnsi="宋体" w:eastAsia="宋体" w:cs="宋体"/>
          <w:color w:val="auto"/>
        </w:rPr>
        <w:t>执行表1</w:t>
      </w:r>
      <w:r>
        <w:rPr>
          <w:rFonts w:hint="eastAsia" w:ascii="宋体" w:hAnsi="宋体" w:eastAsia="宋体" w:cs="宋体"/>
          <w:color w:val="auto"/>
          <w:lang w:eastAsia="zh-CN"/>
        </w:rPr>
        <w:t>中规定的</w:t>
      </w:r>
      <w:r>
        <w:rPr>
          <w:rFonts w:hint="eastAsia" w:ascii="宋体" w:hAnsi="宋体" w:eastAsia="宋体" w:cs="宋体"/>
          <w:color w:val="auto"/>
        </w:rPr>
        <w:t>排放</w:t>
      </w:r>
      <w:r>
        <w:rPr>
          <w:rFonts w:hint="eastAsia" w:ascii="宋体" w:hAnsi="宋体" w:eastAsia="宋体" w:cs="宋体"/>
          <w:color w:val="auto"/>
          <w:lang w:eastAsia="zh-CN"/>
        </w:rPr>
        <w:t>浓度</w:t>
      </w:r>
      <w:r>
        <w:rPr>
          <w:rFonts w:hint="eastAsia" w:ascii="宋体" w:hAnsi="宋体" w:eastAsia="宋体" w:cs="宋体"/>
          <w:color w:val="auto"/>
        </w:rPr>
        <w:t>限值。</w:t>
      </w:r>
    </w:p>
    <w:p>
      <w:pPr>
        <w:pStyle w:val="102"/>
        <w:rPr>
          <w:rFonts w:hint="eastAsia" w:ascii="宋体" w:hAnsi="宋体" w:eastAsia="宋体" w:cs="宋体"/>
          <w:color w:val="auto"/>
        </w:rPr>
      </w:pPr>
      <w:r>
        <w:rPr>
          <w:rFonts w:hint="eastAsia" w:ascii="宋体" w:hAnsi="宋体" w:eastAsia="宋体" w:cs="宋体"/>
          <w:color w:val="auto"/>
          <w:lang w:eastAsia="zh-CN"/>
        </w:rPr>
        <w:t>自本文件实施之</w:t>
      </w:r>
      <w:r>
        <w:rPr>
          <w:rFonts w:hint="eastAsia" w:hAnsi="宋体" w:cs="宋体"/>
          <w:color w:val="auto"/>
          <w:lang w:eastAsia="zh-CN"/>
        </w:rPr>
        <w:t>日起</w:t>
      </w:r>
      <w:r>
        <w:rPr>
          <w:rFonts w:hint="eastAsia" w:hAnsi="宋体" w:cs="宋体"/>
          <w:color w:val="auto"/>
          <w:lang w:val="en-US" w:eastAsia="zh-CN"/>
        </w:rPr>
        <w:t>6个月后</w:t>
      </w:r>
      <w:r>
        <w:rPr>
          <w:rFonts w:hint="eastAsia" w:ascii="宋体" w:hAnsi="宋体" w:eastAsia="宋体" w:cs="宋体"/>
          <w:color w:val="auto"/>
          <w:lang w:eastAsia="zh-CN"/>
        </w:rPr>
        <w:t>，现有燃气电厂</w:t>
      </w:r>
      <w:r>
        <w:rPr>
          <w:rFonts w:hint="eastAsia" w:ascii="宋体" w:hAnsi="宋体" w:eastAsia="宋体" w:cs="宋体"/>
          <w:color w:val="auto"/>
        </w:rPr>
        <w:t>执行表1</w:t>
      </w:r>
      <w:r>
        <w:rPr>
          <w:rFonts w:hint="eastAsia" w:ascii="宋体" w:hAnsi="宋体" w:eastAsia="宋体" w:cs="宋体"/>
          <w:color w:val="auto"/>
          <w:lang w:eastAsia="zh-CN"/>
        </w:rPr>
        <w:t>中规定的排放浓度限值。</w:t>
      </w:r>
    </w:p>
    <w:p>
      <w:pPr>
        <w:pStyle w:val="65"/>
        <w:rPr>
          <w:rFonts w:hint="eastAsia"/>
        </w:rPr>
      </w:pPr>
      <w:r>
        <w:rPr>
          <w:rFonts w:hint="eastAsia"/>
        </w:rPr>
        <w:t>燃气电厂大气污染物排放浓度限值</w:t>
      </w:r>
    </w:p>
    <w:p>
      <w:pPr>
        <w:pStyle w:val="54"/>
        <w:numPr>
          <w:ilvl w:val="0"/>
          <w:numId w:val="0"/>
        </w:numPr>
        <w:jc w:val="right"/>
        <w:rPr>
          <w:rFonts w:hint="eastAsia"/>
          <w:sz w:val="18"/>
          <w:szCs w:val="18"/>
        </w:rPr>
      </w:pPr>
      <w:r>
        <w:rPr>
          <w:rFonts w:hint="eastAsia"/>
          <w:sz w:val="18"/>
          <w:szCs w:val="18"/>
        </w:rPr>
        <w:t>单位：</w:t>
      </w:r>
      <w:r>
        <w:rPr>
          <w:rFonts w:hint="eastAsia" w:ascii="宋体" w:hAnsi="宋体" w:eastAsia="宋体" w:cs="宋体"/>
          <w:sz w:val="18"/>
          <w:szCs w:val="18"/>
        </w:rPr>
        <w:t>mg/m</w:t>
      </w:r>
      <w:r>
        <w:rPr>
          <w:rFonts w:hint="eastAsia" w:ascii="宋体" w:hAnsi="宋体" w:eastAsia="宋体" w:cs="宋体"/>
          <w:sz w:val="18"/>
          <w:szCs w:val="18"/>
          <w:vertAlign w:val="superscript"/>
        </w:rPr>
        <w:t>3</w:t>
      </w:r>
    </w:p>
    <w:tbl>
      <w:tblPr>
        <w:tblStyle w:val="31"/>
        <w:tblW w:w="5005"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849"/>
        <w:gridCol w:w="3423"/>
        <w:gridCol w:w="1702"/>
        <w:gridCol w:w="29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top"/>
          </w:tcPr>
          <w:p>
            <w:pPr>
              <w:jc w:val="center"/>
              <w:rPr>
                <w:rFonts w:hint="eastAsia" w:eastAsia="宋体"/>
                <w:sz w:val="18"/>
                <w:szCs w:val="21"/>
                <w:lang w:val="en-US" w:eastAsia="zh-CN"/>
              </w:rPr>
            </w:pPr>
            <w:r>
              <w:rPr>
                <w:rFonts w:hint="eastAsia" w:eastAsia="宋体"/>
                <w:sz w:val="18"/>
                <w:szCs w:val="21"/>
                <w:lang w:val="en-US" w:eastAsia="zh-CN"/>
              </w:rPr>
              <w:t>序号</w:t>
            </w:r>
          </w:p>
        </w:tc>
        <w:tc>
          <w:tcPr>
            <w:tcW w:w="2229" w:type="pct"/>
            <w:gridSpan w:val="2"/>
            <w:noWrap w:val="0"/>
            <w:vAlign w:val="top"/>
          </w:tcPr>
          <w:p>
            <w:pPr>
              <w:jc w:val="center"/>
              <w:rPr>
                <w:sz w:val="18"/>
                <w:szCs w:val="21"/>
              </w:rPr>
            </w:pPr>
            <w:r>
              <w:rPr>
                <w:sz w:val="18"/>
                <w:szCs w:val="21"/>
              </w:rPr>
              <w:t>污染物</w:t>
            </w:r>
            <w:r>
              <w:rPr>
                <w:rFonts w:hint="eastAsia"/>
                <w:sz w:val="18"/>
                <w:szCs w:val="21"/>
                <w:lang w:val="en-US" w:eastAsia="zh-CN"/>
              </w:rPr>
              <w:t>项目</w:t>
            </w:r>
          </w:p>
        </w:tc>
        <w:tc>
          <w:tcPr>
            <w:tcW w:w="888" w:type="pct"/>
            <w:noWrap w:val="0"/>
            <w:vAlign w:val="top"/>
          </w:tcPr>
          <w:p>
            <w:pPr>
              <w:jc w:val="center"/>
              <w:rPr>
                <w:rFonts w:hint="eastAsia" w:ascii="宋体" w:hAnsi="宋体" w:eastAsia="宋体" w:cs="宋体"/>
                <w:sz w:val="18"/>
                <w:szCs w:val="21"/>
                <w:lang w:eastAsia="zh-CN"/>
              </w:rPr>
            </w:pPr>
            <w:r>
              <w:rPr>
                <w:rFonts w:hint="eastAsia" w:ascii="宋体" w:hAnsi="宋体" w:eastAsia="宋体" w:cs="宋体"/>
                <w:sz w:val="18"/>
                <w:szCs w:val="21"/>
                <w:lang w:eastAsia="zh-CN"/>
              </w:rPr>
              <w:t>限值</w:t>
            </w:r>
          </w:p>
        </w:tc>
        <w:tc>
          <w:tcPr>
            <w:tcW w:w="1520" w:type="pct"/>
            <w:noWrap w:val="0"/>
            <w:vAlign w:val="center"/>
          </w:tcPr>
          <w:p>
            <w:pPr>
              <w:jc w:val="center"/>
              <w:rPr>
                <w:sz w:val="18"/>
              </w:rPr>
            </w:pPr>
            <w:r>
              <w:rPr>
                <w:sz w:val="18"/>
                <w:szCs w:val="21"/>
              </w:rPr>
              <w:t>污染物</w:t>
            </w:r>
            <w:r>
              <w:rPr>
                <w:rFonts w:hint="eastAsia"/>
                <w:sz w:val="18"/>
                <w:szCs w:val="21"/>
                <w:lang w:eastAsia="zh-CN"/>
              </w:rPr>
              <w:t>排放</w:t>
            </w:r>
            <w:r>
              <w:rPr>
                <w:sz w:val="18"/>
                <w:szCs w:val="21"/>
              </w:rPr>
              <w:t>监控位置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top"/>
          </w:tcPr>
          <w:p>
            <w:pPr>
              <w:jc w:val="center"/>
              <w:rPr>
                <w:rFonts w:hint="eastAsia" w:ascii="宋体" w:hAnsi="宋体" w:eastAsia="宋体" w:cs="宋体"/>
                <w:sz w:val="18"/>
                <w:szCs w:val="21"/>
                <w:lang w:val="en-US" w:eastAsia="zh-CN"/>
              </w:rPr>
            </w:pPr>
            <w:r>
              <w:rPr>
                <w:rFonts w:hint="eastAsia" w:ascii="宋体" w:hAnsi="宋体" w:eastAsia="宋体" w:cs="宋体"/>
                <w:sz w:val="18"/>
                <w:szCs w:val="21"/>
                <w:lang w:val="en-US" w:eastAsia="zh-CN"/>
              </w:rPr>
              <w:t>1</w:t>
            </w:r>
          </w:p>
        </w:tc>
        <w:tc>
          <w:tcPr>
            <w:tcW w:w="2229" w:type="pct"/>
            <w:gridSpan w:val="2"/>
            <w:noWrap w:val="0"/>
            <w:vAlign w:val="top"/>
          </w:tcPr>
          <w:p>
            <w:pPr>
              <w:jc w:val="center"/>
              <w:rPr>
                <w:sz w:val="18"/>
                <w:szCs w:val="21"/>
              </w:rPr>
            </w:pPr>
            <w:r>
              <w:rPr>
                <w:sz w:val="18"/>
                <w:szCs w:val="21"/>
              </w:rPr>
              <w:t>颗粒物</w:t>
            </w:r>
          </w:p>
        </w:tc>
        <w:tc>
          <w:tcPr>
            <w:tcW w:w="888" w:type="pct"/>
            <w:noWrap w:val="0"/>
            <w:vAlign w:val="top"/>
          </w:tcPr>
          <w:p>
            <w:pPr>
              <w:jc w:val="center"/>
              <w:rPr>
                <w:rFonts w:hint="eastAsia" w:ascii="宋体" w:hAnsi="宋体" w:eastAsia="宋体" w:cs="宋体"/>
                <w:sz w:val="18"/>
                <w:szCs w:val="21"/>
              </w:rPr>
            </w:pPr>
            <w:r>
              <w:rPr>
                <w:rFonts w:hint="eastAsia" w:ascii="宋体" w:hAnsi="宋体" w:eastAsia="宋体" w:cs="宋体"/>
                <w:sz w:val="18"/>
                <w:szCs w:val="21"/>
              </w:rPr>
              <w:t>5</w:t>
            </w:r>
          </w:p>
        </w:tc>
        <w:tc>
          <w:tcPr>
            <w:tcW w:w="1520" w:type="pct"/>
            <w:vMerge w:val="restart"/>
            <w:noWrap w:val="0"/>
            <w:vAlign w:val="center"/>
          </w:tcPr>
          <w:p>
            <w:pPr>
              <w:jc w:val="center"/>
              <w:rPr>
                <w:rFonts w:hint="eastAsia" w:eastAsia="宋体"/>
                <w:sz w:val="18"/>
                <w:lang w:val="en-US" w:eastAsia="zh-CN"/>
              </w:rPr>
            </w:pPr>
            <w:r>
              <w:rPr>
                <w:sz w:val="18"/>
                <w:szCs w:val="21"/>
              </w:rPr>
              <w:t>烟囱或烟道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top"/>
          </w:tcPr>
          <w:p>
            <w:pPr>
              <w:jc w:val="center"/>
              <w:rPr>
                <w:rFonts w:hint="eastAsia" w:ascii="宋体" w:hAnsi="宋体" w:eastAsia="宋体" w:cs="宋体"/>
                <w:sz w:val="18"/>
                <w:szCs w:val="21"/>
                <w:lang w:val="en-US" w:eastAsia="zh-CN"/>
              </w:rPr>
            </w:pPr>
            <w:r>
              <w:rPr>
                <w:rFonts w:hint="eastAsia" w:ascii="宋体" w:hAnsi="宋体" w:eastAsia="宋体" w:cs="宋体"/>
                <w:sz w:val="18"/>
                <w:szCs w:val="21"/>
                <w:lang w:val="en-US" w:eastAsia="zh-CN"/>
              </w:rPr>
              <w:t>2</w:t>
            </w:r>
          </w:p>
        </w:tc>
        <w:tc>
          <w:tcPr>
            <w:tcW w:w="2229" w:type="pct"/>
            <w:gridSpan w:val="2"/>
            <w:noWrap w:val="0"/>
            <w:vAlign w:val="top"/>
          </w:tcPr>
          <w:p>
            <w:pPr>
              <w:jc w:val="center"/>
              <w:rPr>
                <w:sz w:val="18"/>
                <w:szCs w:val="21"/>
              </w:rPr>
            </w:pPr>
            <w:r>
              <w:rPr>
                <w:sz w:val="18"/>
                <w:szCs w:val="21"/>
              </w:rPr>
              <w:t>二氧化硫</w:t>
            </w:r>
          </w:p>
        </w:tc>
        <w:tc>
          <w:tcPr>
            <w:tcW w:w="888" w:type="pct"/>
            <w:noWrap w:val="0"/>
            <w:vAlign w:val="top"/>
          </w:tcPr>
          <w:p>
            <w:pPr>
              <w:jc w:val="center"/>
              <w:rPr>
                <w:rFonts w:hint="eastAsia" w:ascii="宋体" w:hAnsi="宋体" w:eastAsia="宋体" w:cs="宋体"/>
                <w:sz w:val="18"/>
                <w:szCs w:val="21"/>
              </w:rPr>
            </w:pPr>
            <w:r>
              <w:rPr>
                <w:rFonts w:hint="eastAsia" w:ascii="宋体" w:hAnsi="宋体" w:eastAsia="宋体" w:cs="宋体"/>
                <w:sz w:val="18"/>
                <w:szCs w:val="21"/>
              </w:rPr>
              <w:t>35</w:t>
            </w:r>
          </w:p>
        </w:tc>
        <w:tc>
          <w:tcPr>
            <w:tcW w:w="1520" w:type="pct"/>
            <w:vMerge w:val="continue"/>
            <w:noWrap w:val="0"/>
            <w:vAlign w:val="center"/>
          </w:tcPr>
          <w:p>
            <w:pPr>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top"/>
          </w:tcPr>
          <w:p>
            <w:pPr>
              <w:jc w:val="center"/>
              <w:rPr>
                <w:rFonts w:hint="eastAsia" w:ascii="宋体" w:hAnsi="宋体" w:eastAsia="宋体" w:cs="宋体"/>
                <w:sz w:val="18"/>
                <w:szCs w:val="21"/>
                <w:lang w:val="en-US" w:eastAsia="zh-CN"/>
              </w:rPr>
            </w:pPr>
            <w:r>
              <w:rPr>
                <w:rFonts w:hint="eastAsia" w:ascii="宋体" w:hAnsi="宋体" w:eastAsia="宋体" w:cs="宋体"/>
                <w:sz w:val="18"/>
                <w:szCs w:val="21"/>
                <w:lang w:val="en-US" w:eastAsia="zh-CN"/>
              </w:rPr>
              <w:t>3</w:t>
            </w:r>
          </w:p>
        </w:tc>
        <w:tc>
          <w:tcPr>
            <w:tcW w:w="2229" w:type="pct"/>
            <w:gridSpan w:val="2"/>
            <w:noWrap w:val="0"/>
            <w:vAlign w:val="top"/>
          </w:tcPr>
          <w:p>
            <w:pPr>
              <w:jc w:val="center"/>
              <w:rPr>
                <w:sz w:val="18"/>
                <w:szCs w:val="21"/>
              </w:rPr>
            </w:pPr>
            <w:r>
              <w:rPr>
                <w:sz w:val="18"/>
                <w:szCs w:val="21"/>
              </w:rPr>
              <w:t>氮氧化物</w:t>
            </w:r>
            <w:r>
              <w:rPr>
                <w:rFonts w:hint="eastAsia" w:ascii="宋体" w:hAnsi="宋体" w:eastAsia="宋体" w:cs="宋体"/>
                <w:sz w:val="18"/>
                <w:szCs w:val="21"/>
              </w:rPr>
              <w:t>（以NO</w:t>
            </w:r>
            <w:r>
              <w:rPr>
                <w:rFonts w:hint="eastAsia" w:ascii="宋体" w:hAnsi="宋体" w:eastAsia="宋体" w:cs="宋体"/>
                <w:sz w:val="18"/>
                <w:szCs w:val="21"/>
                <w:vertAlign w:val="subscript"/>
              </w:rPr>
              <w:t>2</w:t>
            </w:r>
            <w:r>
              <w:rPr>
                <w:rFonts w:hint="eastAsia" w:ascii="宋体" w:hAnsi="宋体" w:eastAsia="宋体" w:cs="宋体"/>
                <w:sz w:val="18"/>
                <w:szCs w:val="21"/>
              </w:rPr>
              <w:t>计</w:t>
            </w:r>
            <w:r>
              <w:rPr>
                <w:sz w:val="18"/>
                <w:szCs w:val="21"/>
              </w:rPr>
              <w:t>）</w:t>
            </w:r>
          </w:p>
        </w:tc>
        <w:tc>
          <w:tcPr>
            <w:tcW w:w="888" w:type="pct"/>
            <w:noWrap w:val="0"/>
            <w:vAlign w:val="top"/>
          </w:tcPr>
          <w:p>
            <w:pPr>
              <w:jc w:val="center"/>
              <w:rPr>
                <w:rFonts w:hint="eastAsia" w:ascii="宋体" w:hAnsi="宋体" w:eastAsia="宋体" w:cs="宋体"/>
                <w:sz w:val="18"/>
                <w:szCs w:val="21"/>
              </w:rPr>
            </w:pPr>
            <w:r>
              <w:rPr>
                <w:rFonts w:hint="eastAsia" w:ascii="宋体" w:hAnsi="宋体" w:eastAsia="宋体" w:cs="宋体"/>
                <w:sz w:val="18"/>
                <w:szCs w:val="21"/>
                <w:lang w:val="en-US" w:eastAsia="zh-CN"/>
              </w:rPr>
              <w:t>5</w:t>
            </w:r>
            <w:r>
              <w:rPr>
                <w:rFonts w:hint="eastAsia" w:ascii="宋体" w:hAnsi="宋体" w:eastAsia="宋体" w:cs="宋体"/>
                <w:sz w:val="18"/>
                <w:szCs w:val="21"/>
              </w:rPr>
              <w:t>0</w:t>
            </w:r>
          </w:p>
        </w:tc>
        <w:tc>
          <w:tcPr>
            <w:tcW w:w="1520" w:type="pct"/>
            <w:vMerge w:val="continue"/>
            <w:noWrap w:val="0"/>
            <w:vAlign w:val="center"/>
          </w:tcPr>
          <w:p>
            <w:pPr>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61" w:type="pct"/>
            <w:vMerge w:val="restart"/>
            <w:noWrap w:val="0"/>
            <w:vAlign w:val="center"/>
          </w:tcPr>
          <w:p>
            <w:pPr>
              <w:jc w:val="center"/>
              <w:rPr>
                <w:rFonts w:hint="eastAsia" w:ascii="宋体" w:hAnsi="宋体" w:eastAsia="宋体" w:cs="宋体"/>
                <w:sz w:val="18"/>
                <w:szCs w:val="21"/>
                <w:lang w:val="en-US" w:eastAsia="zh-CN"/>
              </w:rPr>
            </w:pPr>
            <w:r>
              <w:rPr>
                <w:rFonts w:hint="eastAsia" w:ascii="宋体" w:hAnsi="宋体" w:eastAsia="宋体" w:cs="宋体"/>
                <w:sz w:val="18"/>
                <w:szCs w:val="21"/>
                <w:lang w:val="en-US" w:eastAsia="zh-CN"/>
              </w:rPr>
              <w:t>4</w:t>
            </w:r>
          </w:p>
        </w:tc>
        <w:tc>
          <w:tcPr>
            <w:tcW w:w="443" w:type="pct"/>
            <w:vMerge w:val="restart"/>
            <w:noWrap w:val="0"/>
            <w:vAlign w:val="center"/>
          </w:tcPr>
          <w:p>
            <w:pPr>
              <w:jc w:val="center"/>
              <w:rPr>
                <w:rFonts w:hint="eastAsia"/>
                <w:sz w:val="18"/>
                <w:szCs w:val="21"/>
                <w:lang w:eastAsia="zh-CN"/>
              </w:rPr>
            </w:pPr>
            <w:r>
              <w:rPr>
                <w:rFonts w:hint="eastAsia"/>
                <w:sz w:val="18"/>
                <w:szCs w:val="21"/>
                <w:lang w:eastAsia="zh-CN"/>
              </w:rPr>
              <w:t>氨</w:t>
            </w:r>
          </w:p>
        </w:tc>
        <w:tc>
          <w:tcPr>
            <w:tcW w:w="1786" w:type="pct"/>
            <w:noWrap w:val="0"/>
            <w:vAlign w:val="center"/>
          </w:tcPr>
          <w:p>
            <w:pPr>
              <w:jc w:val="center"/>
              <w:rPr>
                <w:rFonts w:hint="eastAsia"/>
                <w:sz w:val="18"/>
                <w:szCs w:val="21"/>
                <w:lang w:eastAsia="zh-CN"/>
              </w:rPr>
            </w:pPr>
            <w:r>
              <w:rPr>
                <w:rFonts w:hint="eastAsia" w:ascii="宋体" w:hAnsi="宋体" w:cs="宋体"/>
                <w:sz w:val="18"/>
                <w:szCs w:val="18"/>
                <w:highlight w:val="none"/>
                <w:lang w:val="en-US" w:eastAsia="zh-CN"/>
              </w:rPr>
              <w:t>采用</w:t>
            </w:r>
            <w:r>
              <w:rPr>
                <w:rFonts w:hint="eastAsia" w:ascii="宋体" w:hAnsi="宋体" w:eastAsia="宋体" w:cs="宋体"/>
                <w:sz w:val="18"/>
                <w:szCs w:val="21"/>
                <w:lang w:val="en-US" w:eastAsia="zh-CN"/>
              </w:rPr>
              <w:t>选择性催化还原（SCR）脱硝工艺</w:t>
            </w:r>
          </w:p>
        </w:tc>
        <w:tc>
          <w:tcPr>
            <w:tcW w:w="888" w:type="pct"/>
            <w:noWrap w:val="0"/>
            <w:vAlign w:val="top"/>
          </w:tcPr>
          <w:p>
            <w:pPr>
              <w:jc w:val="center"/>
              <w:rPr>
                <w:rFonts w:hint="eastAsia" w:ascii="宋体" w:hAnsi="宋体" w:eastAsia="宋体" w:cs="宋体"/>
                <w:sz w:val="18"/>
                <w:szCs w:val="21"/>
                <w:lang w:val="en-US" w:eastAsia="zh-CN"/>
              </w:rPr>
            </w:pPr>
            <w:r>
              <w:rPr>
                <w:rFonts w:hint="eastAsia" w:ascii="宋体" w:hAnsi="宋体" w:eastAsia="宋体" w:cs="宋体"/>
                <w:sz w:val="18"/>
                <w:szCs w:val="21"/>
                <w:lang w:val="en-US" w:eastAsia="zh-CN"/>
              </w:rPr>
              <w:t>2.</w:t>
            </w:r>
            <w:r>
              <w:rPr>
                <w:rFonts w:hint="eastAsia" w:ascii="宋体" w:hAnsi="宋体" w:cs="宋体"/>
                <w:sz w:val="18"/>
                <w:szCs w:val="21"/>
                <w:lang w:val="en-US" w:eastAsia="zh-CN"/>
              </w:rPr>
              <w:t>28</w:t>
            </w:r>
          </w:p>
        </w:tc>
        <w:tc>
          <w:tcPr>
            <w:tcW w:w="1520" w:type="pct"/>
            <w:vMerge w:val="continue"/>
            <w:noWrap w:val="0"/>
            <w:vAlign w:val="center"/>
          </w:tcPr>
          <w:p>
            <w:pPr>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61" w:type="pct"/>
            <w:vMerge w:val="continue"/>
            <w:noWrap w:val="0"/>
            <w:vAlign w:val="center"/>
          </w:tcPr>
          <w:p>
            <w:pPr>
              <w:jc w:val="center"/>
            </w:pPr>
          </w:p>
        </w:tc>
        <w:tc>
          <w:tcPr>
            <w:tcW w:w="443" w:type="pct"/>
            <w:vMerge w:val="continue"/>
            <w:noWrap w:val="0"/>
            <w:vAlign w:val="center"/>
          </w:tcPr>
          <w:p>
            <w:pPr>
              <w:jc w:val="center"/>
            </w:pPr>
          </w:p>
        </w:tc>
        <w:tc>
          <w:tcPr>
            <w:tcW w:w="1786" w:type="pct"/>
            <w:noWrap w:val="0"/>
            <w:vAlign w:val="center"/>
          </w:tcPr>
          <w:p>
            <w:pPr>
              <w:jc w:val="center"/>
            </w:pPr>
            <w:r>
              <w:rPr>
                <w:rFonts w:hint="eastAsia" w:ascii="宋体" w:hAnsi="宋体" w:cs="宋体"/>
                <w:sz w:val="18"/>
                <w:szCs w:val="18"/>
                <w:highlight w:val="none"/>
                <w:lang w:val="en-US" w:eastAsia="zh-CN"/>
              </w:rPr>
              <w:t>采用</w:t>
            </w:r>
            <w:r>
              <w:rPr>
                <w:rFonts w:hint="eastAsia" w:ascii="宋体" w:hAnsi="宋体" w:eastAsia="宋体" w:cs="宋体"/>
                <w:sz w:val="18"/>
                <w:szCs w:val="21"/>
                <w:lang w:val="en-US" w:eastAsia="zh-CN"/>
              </w:rPr>
              <w:t>择性非催化还原（SNCR）脱硝工艺</w:t>
            </w:r>
          </w:p>
        </w:tc>
        <w:tc>
          <w:tcPr>
            <w:tcW w:w="888" w:type="pct"/>
            <w:noWrap w:val="0"/>
            <w:vAlign w:val="top"/>
          </w:tcPr>
          <w:p>
            <w:pPr>
              <w:jc w:val="center"/>
            </w:pPr>
            <w:r>
              <w:rPr>
                <w:rFonts w:hint="eastAsia" w:ascii="宋体" w:hAnsi="宋体" w:eastAsia="宋体" w:cs="宋体"/>
                <w:sz w:val="18"/>
                <w:szCs w:val="21"/>
                <w:lang w:val="en-US" w:eastAsia="zh-CN"/>
              </w:rPr>
              <w:t>8</w:t>
            </w:r>
          </w:p>
        </w:tc>
        <w:tc>
          <w:tcPr>
            <w:tcW w:w="1520" w:type="pct"/>
            <w:vMerge w:val="continue"/>
            <w:noWrap w:val="0"/>
            <w:vAlign w:val="center"/>
          </w:tcPr>
          <w:p>
            <w:pPr>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61" w:type="pct"/>
            <w:vMerge w:val="continue"/>
            <w:noWrap w:val="0"/>
            <w:vAlign w:val="center"/>
          </w:tcPr>
          <w:p>
            <w:pPr>
              <w:jc w:val="center"/>
            </w:pPr>
          </w:p>
        </w:tc>
        <w:tc>
          <w:tcPr>
            <w:tcW w:w="443" w:type="pct"/>
            <w:vMerge w:val="continue"/>
            <w:noWrap w:val="0"/>
            <w:vAlign w:val="center"/>
          </w:tcPr>
          <w:p>
            <w:pPr>
              <w:jc w:val="center"/>
            </w:pPr>
          </w:p>
        </w:tc>
        <w:tc>
          <w:tcPr>
            <w:tcW w:w="1786" w:type="pct"/>
            <w:noWrap w:val="0"/>
            <w:vAlign w:val="center"/>
          </w:tcPr>
          <w:p>
            <w:pPr>
              <w:jc w:val="center"/>
            </w:pPr>
            <w:r>
              <w:rPr>
                <w:rFonts w:hint="eastAsia" w:ascii="宋体" w:hAnsi="宋体" w:cs="宋体"/>
                <w:sz w:val="18"/>
                <w:szCs w:val="18"/>
                <w:highlight w:val="none"/>
                <w:lang w:val="en-US" w:eastAsia="zh-CN"/>
              </w:rPr>
              <w:t>采用</w:t>
            </w:r>
            <w:r>
              <w:rPr>
                <w:rFonts w:hint="eastAsia" w:ascii="宋体" w:hAnsi="宋体" w:eastAsia="宋体" w:cs="宋体"/>
                <w:sz w:val="18"/>
                <w:szCs w:val="21"/>
                <w:lang w:val="en-US" w:eastAsia="zh-CN"/>
              </w:rPr>
              <w:t>SNCR—SCR脱硝工艺</w:t>
            </w:r>
          </w:p>
        </w:tc>
        <w:tc>
          <w:tcPr>
            <w:tcW w:w="888" w:type="pct"/>
            <w:noWrap w:val="0"/>
            <w:vAlign w:val="top"/>
          </w:tcPr>
          <w:p>
            <w:pPr>
              <w:jc w:val="center"/>
            </w:pPr>
            <w:r>
              <w:rPr>
                <w:rFonts w:hint="eastAsia" w:ascii="宋体" w:hAnsi="宋体" w:eastAsia="宋体" w:cs="宋体"/>
                <w:sz w:val="18"/>
                <w:szCs w:val="21"/>
                <w:lang w:val="en-US" w:eastAsia="zh-CN"/>
              </w:rPr>
              <w:t>3.8</w:t>
            </w:r>
          </w:p>
        </w:tc>
        <w:tc>
          <w:tcPr>
            <w:tcW w:w="1520" w:type="pct"/>
            <w:vMerge w:val="continue"/>
            <w:noWrap w:val="0"/>
            <w:vAlign w:val="center"/>
          </w:tcPr>
          <w:p>
            <w:pPr>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61" w:type="pct"/>
            <w:vMerge w:val="continue"/>
            <w:noWrap w:val="0"/>
            <w:vAlign w:val="center"/>
          </w:tcPr>
          <w:p>
            <w:pPr>
              <w:jc w:val="center"/>
            </w:pPr>
          </w:p>
        </w:tc>
        <w:tc>
          <w:tcPr>
            <w:tcW w:w="443" w:type="pct"/>
            <w:vMerge w:val="continue"/>
            <w:noWrap w:val="0"/>
            <w:vAlign w:val="center"/>
          </w:tcPr>
          <w:p>
            <w:pPr>
              <w:jc w:val="center"/>
            </w:pPr>
          </w:p>
        </w:tc>
        <w:tc>
          <w:tcPr>
            <w:tcW w:w="1786" w:type="pct"/>
            <w:noWrap w:val="0"/>
            <w:vAlign w:val="center"/>
          </w:tcPr>
          <w:p>
            <w:pPr>
              <w:jc w:val="center"/>
            </w:pPr>
            <w:r>
              <w:rPr>
                <w:rFonts w:hint="eastAsia" w:ascii="宋体" w:hAnsi="宋体" w:cs="宋体"/>
                <w:sz w:val="18"/>
                <w:szCs w:val="18"/>
                <w:highlight w:val="none"/>
                <w:lang w:val="en-US" w:eastAsia="zh-CN"/>
              </w:rPr>
              <w:t>采用</w:t>
            </w:r>
            <w:r>
              <w:rPr>
                <w:rFonts w:hint="eastAsia" w:ascii="宋体" w:hAnsi="宋体" w:eastAsia="宋体" w:cs="宋体"/>
                <w:sz w:val="18"/>
                <w:szCs w:val="21"/>
                <w:lang w:val="en-US" w:eastAsia="zh-CN"/>
              </w:rPr>
              <w:t>氨法脱硫工艺</w:t>
            </w:r>
          </w:p>
        </w:tc>
        <w:tc>
          <w:tcPr>
            <w:tcW w:w="888" w:type="pct"/>
            <w:noWrap w:val="0"/>
            <w:vAlign w:val="top"/>
          </w:tcPr>
          <w:p>
            <w:pPr>
              <w:jc w:val="center"/>
            </w:pPr>
            <w:r>
              <w:rPr>
                <w:rFonts w:hint="eastAsia" w:ascii="宋体" w:hAnsi="宋体" w:eastAsia="宋体" w:cs="宋体"/>
                <w:sz w:val="18"/>
                <w:szCs w:val="21"/>
                <w:lang w:val="en-US" w:eastAsia="zh-CN"/>
              </w:rPr>
              <w:t>2</w:t>
            </w:r>
          </w:p>
        </w:tc>
        <w:tc>
          <w:tcPr>
            <w:tcW w:w="1520" w:type="pct"/>
            <w:vMerge w:val="continue"/>
            <w:noWrap w:val="0"/>
            <w:vAlign w:val="center"/>
          </w:tcPr>
          <w:p>
            <w:pPr>
              <w:jc w:val="center"/>
            </w:pPr>
          </w:p>
        </w:tc>
      </w:tr>
    </w:tbl>
    <w:p>
      <w:pPr>
        <w:rPr>
          <w:rFonts w:hint="eastAsia"/>
        </w:rPr>
      </w:pPr>
    </w:p>
    <w:p>
      <w:pPr>
        <w:pStyle w:val="102"/>
        <w:rPr>
          <w:rFonts w:hint="eastAsia" w:ascii="宋体" w:hAnsi="宋体" w:eastAsia="宋体" w:cs="宋体"/>
        </w:rPr>
      </w:pPr>
      <w:r>
        <w:rPr>
          <w:rFonts w:hint="eastAsia" w:ascii="宋体" w:hAnsi="宋体" w:eastAsia="宋体" w:cs="宋体"/>
        </w:rPr>
        <w:t>燃气电厂烟气治理设施运行、检修和维护管理应符合HJ 2040的要求</w:t>
      </w:r>
      <w:r>
        <w:rPr>
          <w:rFonts w:hint="eastAsia" w:ascii="宋体" w:hAnsi="宋体" w:eastAsia="宋体" w:cs="宋体"/>
          <w:lang w:eastAsia="zh-CN"/>
        </w:rPr>
        <w:t>。</w:t>
      </w:r>
    </w:p>
    <w:p>
      <w:pPr>
        <w:pStyle w:val="102"/>
        <w:rPr>
          <w:rFonts w:hint="eastAsia" w:ascii="宋体" w:hAnsi="宋体" w:eastAsia="宋体" w:cs="宋体"/>
        </w:rPr>
      </w:pPr>
      <w:r>
        <w:rPr>
          <w:rFonts w:hint="eastAsia" w:ascii="宋体" w:hAnsi="宋体" w:eastAsia="宋体" w:cs="宋体"/>
          <w:lang w:val="en-US" w:eastAsia="zh-CN"/>
        </w:rPr>
        <w:t>当</w:t>
      </w:r>
      <w:r>
        <w:rPr>
          <w:rFonts w:hint="eastAsia" w:ascii="宋体" w:hAnsi="宋体" w:eastAsia="宋体" w:cs="宋体"/>
        </w:rPr>
        <w:t>执行不同排放</w:t>
      </w:r>
      <w:r>
        <w:rPr>
          <w:rFonts w:hint="eastAsia" w:ascii="宋体" w:hAnsi="宋体" w:eastAsia="宋体" w:cs="宋体"/>
          <w:lang w:val="en-US" w:eastAsia="zh-CN"/>
        </w:rPr>
        <w:t>控制要求的废气合并排气筒排放时，应在废气混合前进行监测，并执行相应的排放控制要求；若可选择的监控位置只能对混合后的废气进行监测，则应按各排放控制要求中最严格的规定执行</w:t>
      </w:r>
      <w:r>
        <w:rPr>
          <w:rFonts w:hint="eastAsia" w:ascii="宋体" w:hAnsi="宋体" w:eastAsia="宋体" w:cs="宋体"/>
        </w:rPr>
        <w:t>。</w:t>
      </w:r>
    </w:p>
    <w:p>
      <w:pPr>
        <w:pStyle w:val="40"/>
        <w:bidi w:val="0"/>
        <w:rPr>
          <w:rFonts w:hint="eastAsia"/>
          <w:color w:val="auto"/>
        </w:rPr>
      </w:pPr>
      <w:r>
        <w:rPr>
          <w:rFonts w:hint="eastAsia"/>
          <w:color w:val="auto"/>
          <w:lang w:eastAsia="zh-CN"/>
        </w:rPr>
        <w:t>无组织排放控制要求</w:t>
      </w:r>
    </w:p>
    <w:p>
      <w:pPr>
        <w:pStyle w:val="102"/>
        <w:rPr>
          <w:rFonts w:hint="eastAsia" w:ascii="宋体" w:hAnsi="宋体" w:eastAsia="宋体" w:cs="宋体"/>
          <w:color w:val="auto"/>
        </w:rPr>
      </w:pPr>
      <w:r>
        <w:rPr>
          <w:rFonts w:hint="eastAsia" w:ascii="宋体" w:hAnsi="宋体" w:eastAsia="宋体" w:cs="宋体"/>
          <w:color w:val="auto"/>
        </w:rPr>
        <w:t>粉状</w:t>
      </w:r>
      <w:r>
        <w:rPr>
          <w:rFonts w:hint="eastAsia" w:hAnsi="宋体" w:cs="宋体"/>
          <w:color w:val="auto"/>
          <w:lang w:eastAsia="zh-CN"/>
        </w:rPr>
        <w:t>物</w:t>
      </w:r>
      <w:r>
        <w:rPr>
          <w:rFonts w:hint="eastAsia" w:ascii="宋体" w:hAnsi="宋体" w:eastAsia="宋体" w:cs="宋体"/>
          <w:color w:val="auto"/>
        </w:rPr>
        <w:t>料的储存、卸载、输送、制备等过程应</w:t>
      </w:r>
      <w:r>
        <w:rPr>
          <w:rFonts w:hint="eastAsia" w:ascii="宋体" w:hAnsi="宋体" w:eastAsia="宋体" w:cs="宋体"/>
          <w:color w:val="auto"/>
          <w:highlight w:val="none"/>
        </w:rPr>
        <w:t>密闭</w:t>
      </w:r>
      <w:r>
        <w:rPr>
          <w:rFonts w:hint="eastAsia" w:hAnsi="宋体" w:cs="宋体"/>
          <w:color w:val="auto"/>
          <w:highlight w:val="none"/>
          <w:lang w:eastAsia="zh-CN"/>
        </w:rPr>
        <w:t>或封闭</w:t>
      </w:r>
      <w:r>
        <w:rPr>
          <w:rFonts w:hint="eastAsia" w:ascii="宋体" w:hAnsi="宋体" w:eastAsia="宋体" w:cs="宋体"/>
          <w:color w:val="auto"/>
        </w:rPr>
        <w:t>，产尘点应配备除</w:t>
      </w:r>
      <w:r>
        <w:rPr>
          <w:rFonts w:hint="eastAsia" w:hAnsi="宋体" w:cs="宋体"/>
          <w:color w:val="auto"/>
          <w:lang w:eastAsia="zh-CN"/>
        </w:rPr>
        <w:t>（抑）</w:t>
      </w:r>
      <w:r>
        <w:rPr>
          <w:rFonts w:hint="eastAsia" w:ascii="宋体" w:hAnsi="宋体" w:eastAsia="宋体" w:cs="宋体"/>
          <w:color w:val="auto"/>
        </w:rPr>
        <w:t>尘设施。</w:t>
      </w:r>
    </w:p>
    <w:p>
      <w:pPr>
        <w:pStyle w:val="102"/>
        <w:rPr>
          <w:rFonts w:hint="eastAsia" w:ascii="黑体"/>
          <w:color w:val="auto"/>
        </w:rPr>
      </w:pPr>
      <w:r>
        <w:rPr>
          <w:rFonts w:hint="eastAsia" w:ascii="黑体"/>
          <w:color w:val="auto"/>
        </w:rPr>
        <w:t>氨的储存、卸载、输送、制备等过程应</w:t>
      </w:r>
      <w:r>
        <w:rPr>
          <w:rFonts w:hint="eastAsia" w:ascii="黑体"/>
          <w:color w:val="auto"/>
          <w:lang w:eastAsia="zh-CN"/>
        </w:rPr>
        <w:t>采取</w:t>
      </w:r>
      <w:r>
        <w:rPr>
          <w:rFonts w:hint="eastAsia" w:ascii="黑体"/>
          <w:color w:val="auto"/>
          <w:highlight w:val="none"/>
        </w:rPr>
        <w:t>密闭</w:t>
      </w:r>
      <w:r>
        <w:rPr>
          <w:rFonts w:hint="eastAsia" w:ascii="黑体"/>
          <w:color w:val="auto"/>
          <w:highlight w:val="none"/>
          <w:lang w:eastAsia="zh-CN"/>
        </w:rPr>
        <w:t>或防泄漏措施</w:t>
      </w:r>
      <w:r>
        <w:rPr>
          <w:rFonts w:hint="eastAsia" w:ascii="黑体"/>
          <w:color w:val="auto"/>
        </w:rPr>
        <w:t>。</w:t>
      </w:r>
    </w:p>
    <w:p>
      <w:pPr>
        <w:pStyle w:val="102"/>
        <w:rPr>
          <w:rFonts w:hint="eastAsia" w:ascii="宋体" w:hAnsi="宋体" w:eastAsia="宋体" w:cs="宋体"/>
          <w:color w:val="auto"/>
        </w:rPr>
      </w:pPr>
      <w:r>
        <w:rPr>
          <w:rFonts w:hint="eastAsia" w:ascii="宋体" w:hAnsi="宋体" w:eastAsia="宋体" w:cs="宋体"/>
          <w:color w:val="auto"/>
        </w:rPr>
        <w:t>厂区道路应硬化，</w:t>
      </w:r>
      <w:r>
        <w:rPr>
          <w:rFonts w:hint="eastAsia" w:ascii="宋体" w:hAnsi="宋体" w:eastAsia="宋体" w:cs="宋体"/>
          <w:color w:val="auto"/>
          <w:lang w:val="en-US" w:eastAsia="zh-CN"/>
        </w:rPr>
        <w:t>并</w:t>
      </w:r>
      <w:r>
        <w:rPr>
          <w:rFonts w:hint="eastAsia" w:ascii="宋体" w:hAnsi="宋体" w:eastAsia="宋体" w:cs="宋体"/>
          <w:color w:val="auto"/>
        </w:rPr>
        <w:t>保持清洁。</w:t>
      </w:r>
    </w:p>
    <w:p>
      <w:pPr>
        <w:pStyle w:val="102"/>
        <w:rPr>
          <w:rFonts w:hint="eastAsia" w:ascii="宋体" w:hAnsi="宋体" w:eastAsia="宋体" w:cs="宋体"/>
          <w:color w:val="auto"/>
        </w:rPr>
      </w:pPr>
      <w:r>
        <w:rPr>
          <w:rFonts w:hint="default"/>
          <w:lang w:val="en-US" w:eastAsia="zh-CN"/>
        </w:rPr>
        <w:t>燃</w:t>
      </w:r>
      <w:r>
        <w:rPr>
          <w:rFonts w:hint="eastAsia"/>
          <w:lang w:val="en-US" w:eastAsia="zh-CN"/>
        </w:rPr>
        <w:t>气</w:t>
      </w:r>
      <w:r>
        <w:rPr>
          <w:rFonts w:hint="default"/>
          <w:lang w:val="en-US" w:eastAsia="zh-CN"/>
        </w:rPr>
        <w:t>电厂</w:t>
      </w:r>
      <w:r>
        <w:rPr>
          <w:rFonts w:hint="eastAsia"/>
          <w:lang w:val="en-US" w:eastAsia="zh-CN"/>
        </w:rPr>
        <w:t>应</w:t>
      </w:r>
      <w:r>
        <w:rPr>
          <w:rFonts w:hint="eastAsia"/>
        </w:rPr>
        <w:t>通过工艺改进等其他措施实现等效或更优的无组织排放控制目标。</w:t>
      </w:r>
      <w:r>
        <w:rPr>
          <w:rFonts w:hint="eastAsia" w:ascii="宋体" w:hAnsi="宋体" w:eastAsia="宋体" w:cs="宋体"/>
          <w:color w:val="auto"/>
        </w:rPr>
        <w:t>因安全因素或特殊工艺要求不能满足本文件规定的无组织排放控制要求，应采取其他等效污染控制措施。</w:t>
      </w:r>
    </w:p>
    <w:p>
      <w:pPr>
        <w:pStyle w:val="40"/>
        <w:rPr>
          <w:rFonts w:hint="default"/>
          <w:color w:val="auto"/>
        </w:rPr>
      </w:pPr>
      <w:r>
        <w:rPr>
          <w:rFonts w:hint="default"/>
          <w:color w:val="auto"/>
          <w:lang w:eastAsia="zh-CN"/>
        </w:rPr>
        <w:t>运行与记录</w:t>
      </w:r>
    </w:p>
    <w:p>
      <w:pPr>
        <w:pStyle w:val="102"/>
        <w:rPr>
          <w:rFonts w:hint="eastAsia" w:ascii="宋体" w:hAnsi="宋体" w:eastAsia="宋体" w:cs="宋体"/>
          <w:color w:val="auto"/>
          <w:highlight w:val="none"/>
        </w:rPr>
      </w:pPr>
      <w:r>
        <w:rPr>
          <w:rFonts w:hint="eastAsia" w:ascii="宋体" w:hAnsi="宋体" w:eastAsia="宋体" w:cs="宋体"/>
          <w:color w:val="auto"/>
          <w:highlight w:val="none"/>
        </w:rPr>
        <w:t>废气污染治理设施应与生产工艺设备同步运行。废气</w:t>
      </w:r>
      <w:r>
        <w:rPr>
          <w:rFonts w:hint="eastAsia" w:hAnsi="宋体" w:cs="宋体"/>
          <w:color w:val="auto"/>
          <w:highlight w:val="none"/>
          <w:lang w:eastAsia="zh-CN"/>
        </w:rPr>
        <w:t>污染治理设施</w:t>
      </w:r>
      <w:r>
        <w:rPr>
          <w:rFonts w:hint="eastAsia" w:ascii="宋体" w:hAnsi="宋体" w:eastAsia="宋体" w:cs="宋体"/>
          <w:color w:val="auto"/>
          <w:highlight w:val="none"/>
        </w:rPr>
        <w:t>发生故障或检修时，对应的生产工艺设备应停止运行，待检修完毕后同步投入使用。</w:t>
      </w:r>
    </w:p>
    <w:p>
      <w:pPr>
        <w:pStyle w:val="102"/>
        <w:rPr>
          <w:rFonts w:hint="eastAsia" w:ascii="宋体" w:hAnsi="宋体" w:eastAsia="宋体" w:cs="宋体"/>
          <w:color w:val="auto"/>
        </w:rPr>
      </w:pPr>
      <w:r>
        <w:rPr>
          <w:rFonts w:hint="eastAsia" w:ascii="宋体" w:hAnsi="宋体" w:eastAsia="宋体" w:cs="宋体"/>
          <w:color w:val="auto"/>
          <w:lang w:eastAsia="zh-CN"/>
        </w:rPr>
        <w:t>燃气电厂应</w:t>
      </w:r>
      <w:r>
        <w:rPr>
          <w:rFonts w:hint="eastAsia" w:ascii="宋体" w:hAnsi="宋体" w:eastAsia="宋体" w:cs="宋体"/>
          <w:color w:val="auto"/>
        </w:rPr>
        <w:t>记录废气污染治理设施及无组织排放控制措施的主要运行信息，</w:t>
      </w:r>
      <w:r>
        <w:rPr>
          <w:rFonts w:hint="eastAsia" w:ascii="宋体" w:hAnsi="宋体" w:eastAsia="宋体" w:cs="宋体"/>
          <w:color w:val="auto"/>
          <w:lang w:val="en-US" w:eastAsia="zh-CN"/>
        </w:rPr>
        <w:t>包括</w:t>
      </w:r>
      <w:r>
        <w:rPr>
          <w:rFonts w:hint="eastAsia" w:ascii="宋体" w:hAnsi="宋体" w:eastAsia="宋体" w:cs="宋体"/>
          <w:color w:val="auto"/>
        </w:rPr>
        <w:t>运行时间、废气处理量</w:t>
      </w:r>
      <w:r>
        <w:rPr>
          <w:rFonts w:hint="eastAsia" w:hAnsi="宋体" w:cs="宋体"/>
          <w:color w:val="auto"/>
          <w:lang w:eastAsia="zh-CN"/>
        </w:rPr>
        <w:t>、污染治理设施关键运行参数</w:t>
      </w:r>
      <w:r>
        <w:rPr>
          <w:rFonts w:hint="eastAsia" w:ascii="宋体" w:hAnsi="宋体" w:eastAsia="宋体" w:cs="宋体"/>
          <w:color w:val="auto"/>
        </w:rPr>
        <w:t>等</w:t>
      </w:r>
      <w:r>
        <w:rPr>
          <w:rFonts w:hint="eastAsia" w:ascii="宋体" w:hAnsi="宋体" w:eastAsia="宋体" w:cs="宋体"/>
          <w:color w:val="auto"/>
          <w:lang w:eastAsia="zh-CN"/>
        </w:rPr>
        <w:t>。</w:t>
      </w:r>
    </w:p>
    <w:p>
      <w:pPr>
        <w:pStyle w:val="87"/>
        <w:rPr>
          <w:rFonts w:hint="eastAsia"/>
        </w:rPr>
      </w:pPr>
      <w:bookmarkStart w:id="31" w:name="_Toc24697"/>
      <w:bookmarkStart w:id="32" w:name="_Toc32508537"/>
      <w:r>
        <w:rPr>
          <w:rFonts w:hint="eastAsia"/>
        </w:rPr>
        <w:t>污染物监测要求</w:t>
      </w:r>
      <w:bookmarkEnd w:id="31"/>
      <w:bookmarkEnd w:id="32"/>
    </w:p>
    <w:p>
      <w:pPr>
        <w:pStyle w:val="54"/>
        <w:bidi w:val="0"/>
        <w:rPr>
          <w:rFonts w:hint="eastAsia"/>
        </w:rPr>
      </w:pPr>
      <w:r>
        <w:rPr>
          <w:rFonts w:hint="eastAsia"/>
          <w:color w:val="auto"/>
          <w:lang w:val="en-US" w:eastAsia="zh-CN"/>
        </w:rPr>
        <w:t>燃气电厂</w:t>
      </w:r>
      <w:r>
        <w:rPr>
          <w:rFonts w:hint="eastAsia"/>
          <w:color w:val="auto"/>
          <w:highlight w:val="none"/>
          <w:lang w:val="en-US" w:eastAsia="zh-CN"/>
        </w:rPr>
        <w:t>应</w:t>
      </w:r>
      <w:r>
        <w:rPr>
          <w:rFonts w:hint="default"/>
          <w:color w:val="auto"/>
          <w:highlight w:val="none"/>
          <w:lang w:val="en-US" w:eastAsia="zh-CN"/>
        </w:rPr>
        <w:t>按照</w:t>
      </w:r>
      <w:r>
        <w:rPr>
          <w:rFonts w:hint="eastAsia"/>
          <w:color w:val="auto"/>
          <w:highlight w:val="none"/>
          <w:lang w:val="en-US" w:eastAsia="zh-CN"/>
        </w:rPr>
        <w:t>有关</w:t>
      </w:r>
      <w:r>
        <w:rPr>
          <w:rFonts w:hint="default"/>
          <w:color w:val="auto"/>
          <w:highlight w:val="none"/>
          <w:lang w:val="en-US" w:eastAsia="zh-CN"/>
        </w:rPr>
        <w:t>法律法规</w:t>
      </w:r>
      <w:r>
        <w:rPr>
          <w:rFonts w:hint="eastAsia"/>
          <w:color w:val="auto"/>
          <w:highlight w:val="none"/>
          <w:lang w:val="en-US" w:eastAsia="zh-CN"/>
        </w:rPr>
        <w:t>、《环境监测管理办法》、HJ 819、HJ 820和排污许可等</w:t>
      </w:r>
      <w:r>
        <w:rPr>
          <w:rFonts w:hint="eastAsia"/>
          <w:color w:val="auto"/>
          <w:highlight w:val="none"/>
          <w:lang w:eastAsia="zh-CN"/>
        </w:rPr>
        <w:t>规定</w:t>
      </w:r>
      <w:r>
        <w:rPr>
          <w:rFonts w:hint="eastAsia"/>
          <w:color w:val="auto"/>
        </w:rPr>
        <w:t>，建立监测制度，制定监测方案，对大气污染物排放状况开展自行监测，保存原始监测记录，并公开相关</w:t>
      </w:r>
      <w:r>
        <w:rPr>
          <w:rFonts w:hint="eastAsia"/>
        </w:rPr>
        <w:t>信息。</w:t>
      </w:r>
    </w:p>
    <w:p>
      <w:pPr>
        <w:pStyle w:val="54"/>
        <w:bidi w:val="0"/>
        <w:rPr>
          <w:rFonts w:hint="eastAsia"/>
        </w:rPr>
      </w:pPr>
      <w:r>
        <w:rPr>
          <w:rFonts w:hint="eastAsia"/>
        </w:rPr>
        <w:t>对排放烟气的采样，应根据监测污染物的种类，在规定的污染物排放监控位置进行。</w:t>
      </w:r>
      <w:r>
        <w:rPr>
          <w:rFonts w:hint="eastAsia"/>
          <w:lang w:eastAsia="zh-CN"/>
        </w:rPr>
        <w:t>燃气电厂</w:t>
      </w:r>
      <w:r>
        <w:rPr>
          <w:rFonts w:hint="eastAsia"/>
        </w:rPr>
        <w:t>应</w:t>
      </w:r>
      <w:r>
        <w:rPr>
          <w:rFonts w:hint="eastAsia"/>
          <w:lang w:val="en-US" w:eastAsia="zh-CN"/>
        </w:rPr>
        <w:t>按照</w:t>
      </w:r>
      <w:r>
        <w:rPr>
          <w:rFonts w:hint="eastAsia"/>
        </w:rPr>
        <w:t>GB/T 16157、HJ/T 397</w:t>
      </w:r>
      <w:r>
        <w:rPr>
          <w:rFonts w:hint="eastAsia"/>
          <w:lang w:eastAsia="zh-CN"/>
        </w:rPr>
        <w:t>、</w:t>
      </w:r>
      <w:r>
        <w:rPr>
          <w:rFonts w:hint="eastAsia"/>
        </w:rPr>
        <w:t>HJ 75</w:t>
      </w:r>
      <w:r>
        <w:rPr>
          <w:rFonts w:hint="eastAsia"/>
          <w:lang w:eastAsia="zh-CN"/>
        </w:rPr>
        <w:t>、</w:t>
      </w:r>
      <w:r>
        <w:rPr>
          <w:rFonts w:hint="eastAsia"/>
          <w:lang w:val="en-US" w:eastAsia="zh-CN"/>
        </w:rPr>
        <w:t>HJ 76</w:t>
      </w:r>
      <w:r>
        <w:rPr>
          <w:rFonts w:hint="eastAsia"/>
        </w:rPr>
        <w:t>的规定设置永久性监测孔和采样平台，并设置规范的排污口标志。</w:t>
      </w:r>
    </w:p>
    <w:p>
      <w:pPr>
        <w:pStyle w:val="54"/>
        <w:bidi w:val="0"/>
        <w:rPr>
          <w:rFonts w:hint="eastAsia"/>
        </w:rPr>
      </w:pPr>
      <w:r>
        <w:rPr>
          <w:rFonts w:hint="eastAsia"/>
          <w:lang w:val="en-US" w:eastAsia="zh-CN"/>
        </w:rPr>
        <w:t>燃气电厂依据</w:t>
      </w:r>
      <w:r>
        <w:rPr>
          <w:rFonts w:hint="eastAsia"/>
        </w:rPr>
        <w:t>《污染源自动监控管理办法》的规定</w:t>
      </w:r>
      <w:r>
        <w:rPr>
          <w:rFonts w:hint="eastAsia"/>
          <w:lang w:eastAsia="zh-CN"/>
        </w:rPr>
        <w:t>，</w:t>
      </w:r>
      <w:r>
        <w:rPr>
          <w:rFonts w:hint="eastAsia"/>
          <w:lang w:val="en-US" w:eastAsia="zh-CN"/>
        </w:rPr>
        <w:t>应按</w:t>
      </w:r>
      <w:r>
        <w:rPr>
          <w:rFonts w:hint="eastAsia"/>
          <w:color w:val="auto"/>
          <w:lang w:val="en-US" w:eastAsia="zh-CN"/>
        </w:rPr>
        <w:t>照</w:t>
      </w:r>
      <w:r>
        <w:rPr>
          <w:rFonts w:hint="eastAsia"/>
          <w:color w:val="auto"/>
        </w:rPr>
        <w:t>HJ 75</w:t>
      </w:r>
      <w:r>
        <w:rPr>
          <w:rFonts w:hint="eastAsia"/>
          <w:color w:val="auto"/>
          <w:lang w:eastAsia="zh-CN"/>
        </w:rPr>
        <w:t>、</w:t>
      </w:r>
      <w:r>
        <w:rPr>
          <w:rFonts w:hint="eastAsia"/>
          <w:color w:val="auto"/>
          <w:lang w:val="en-US" w:eastAsia="zh-CN"/>
        </w:rPr>
        <w:t>HJ 76</w:t>
      </w:r>
      <w:r>
        <w:rPr>
          <w:rFonts w:hint="eastAsia"/>
          <w:lang w:val="en-US" w:eastAsia="zh-CN"/>
        </w:rPr>
        <w:t>的要求</w:t>
      </w:r>
      <w:r>
        <w:rPr>
          <w:rFonts w:hint="eastAsia"/>
        </w:rPr>
        <w:t>安装、调试、验收、运行及管理污染物排放自动监控设备。</w:t>
      </w:r>
    </w:p>
    <w:p>
      <w:pPr>
        <w:pStyle w:val="54"/>
        <w:bidi w:val="0"/>
        <w:rPr>
          <w:rFonts w:hint="eastAsia"/>
        </w:rPr>
      </w:pPr>
      <w:r>
        <w:rPr>
          <w:rFonts w:hint="eastAsia"/>
        </w:rPr>
        <w:t>对</w:t>
      </w:r>
      <w:r>
        <w:rPr>
          <w:rFonts w:hint="eastAsia"/>
          <w:lang w:eastAsia="zh-CN"/>
        </w:rPr>
        <w:t>燃气电厂</w:t>
      </w:r>
      <w:r>
        <w:rPr>
          <w:rFonts w:hint="eastAsia"/>
        </w:rPr>
        <w:t>大气污染物排放情况进行监测的采样方法、采样频次、采样时间和运行负荷等要求，</w:t>
      </w:r>
      <w:r>
        <w:rPr>
          <w:rFonts w:hint="eastAsia"/>
          <w:lang w:val="en-US" w:eastAsia="zh-CN"/>
        </w:rPr>
        <w:t>按照</w:t>
      </w:r>
      <w:r>
        <w:rPr>
          <w:rFonts w:hint="eastAsia"/>
        </w:rPr>
        <w:t>GB/T 16157、HJ/T 397、HJ 836</w:t>
      </w:r>
      <w:r>
        <w:rPr>
          <w:rFonts w:hint="eastAsia"/>
          <w:lang w:eastAsia="zh-CN"/>
        </w:rPr>
        <w:t>等</w:t>
      </w:r>
      <w:r>
        <w:rPr>
          <w:rFonts w:hint="eastAsia"/>
        </w:rPr>
        <w:t>的规定执行。</w:t>
      </w:r>
    </w:p>
    <w:p>
      <w:pPr>
        <w:pStyle w:val="54"/>
        <w:bidi w:val="0"/>
        <w:rPr>
          <w:rFonts w:hint="eastAsia"/>
        </w:rPr>
      </w:pPr>
      <w:r>
        <w:rPr>
          <w:rFonts w:hint="eastAsia"/>
          <w:lang w:eastAsia="zh-CN"/>
        </w:rPr>
        <w:t>燃气电厂</w:t>
      </w:r>
      <w:r>
        <w:rPr>
          <w:rFonts w:hint="eastAsia"/>
        </w:rPr>
        <w:t>大气污染物监测</w:t>
      </w:r>
      <w:r>
        <w:rPr>
          <w:rFonts w:hint="eastAsia"/>
          <w:lang w:eastAsia="zh-CN"/>
        </w:rPr>
        <w:t>的</w:t>
      </w:r>
      <w:r>
        <w:rPr>
          <w:rFonts w:hint="eastAsia"/>
        </w:rPr>
        <w:t>质量保证和质量控制</w:t>
      </w:r>
      <w:r>
        <w:rPr>
          <w:rFonts w:hint="eastAsia"/>
          <w:lang w:eastAsia="zh-CN"/>
        </w:rPr>
        <w:t>，</w:t>
      </w:r>
      <w:r>
        <w:rPr>
          <w:rFonts w:hint="eastAsia"/>
        </w:rPr>
        <w:t>应</w:t>
      </w:r>
      <w:r>
        <w:rPr>
          <w:rFonts w:hint="eastAsia"/>
          <w:lang w:val="en-US" w:eastAsia="zh-CN"/>
        </w:rPr>
        <w:t>按照</w:t>
      </w:r>
      <w:r>
        <w:rPr>
          <w:rFonts w:hint="eastAsia"/>
        </w:rPr>
        <w:t>HJ/T 373</w:t>
      </w:r>
      <w:r>
        <w:rPr>
          <w:rFonts w:hint="eastAsia"/>
          <w:lang w:eastAsia="zh-CN"/>
        </w:rPr>
        <w:t>、</w:t>
      </w:r>
      <w:r>
        <w:rPr>
          <w:rFonts w:hint="eastAsia"/>
          <w:lang w:val="en-US" w:eastAsia="zh-CN"/>
        </w:rPr>
        <w:t>HJ/T 397</w:t>
      </w:r>
      <w:r>
        <w:rPr>
          <w:rFonts w:hint="eastAsia"/>
        </w:rPr>
        <w:t>的要求进行。</w:t>
      </w:r>
    </w:p>
    <w:p>
      <w:pPr>
        <w:pStyle w:val="54"/>
        <w:bidi w:val="0"/>
        <w:rPr>
          <w:rFonts w:hint="eastAsia"/>
        </w:rPr>
      </w:pPr>
      <w:r>
        <w:rPr>
          <w:rFonts w:hint="eastAsia"/>
          <w:lang w:eastAsia="zh-CN"/>
        </w:rPr>
        <w:t>燃气电厂</w:t>
      </w:r>
      <w:r>
        <w:rPr>
          <w:rFonts w:hint="eastAsia"/>
        </w:rPr>
        <w:t>大气污染物</w:t>
      </w:r>
      <w:r>
        <w:rPr>
          <w:rFonts w:hint="eastAsia"/>
          <w:lang w:eastAsia="zh-CN"/>
        </w:rPr>
        <w:t>排放</w:t>
      </w:r>
      <w:r>
        <w:rPr>
          <w:rFonts w:hint="eastAsia"/>
        </w:rPr>
        <w:t>浓度的</w:t>
      </w:r>
      <w:r>
        <w:rPr>
          <w:rFonts w:hint="eastAsia"/>
          <w:lang w:val="en-US" w:eastAsia="zh-CN"/>
        </w:rPr>
        <w:t>手工监测方法应</w:t>
      </w:r>
      <w:bookmarkStart w:id="39" w:name="_GoBack"/>
      <w:bookmarkEnd w:id="39"/>
      <w:r>
        <w:rPr>
          <w:rFonts w:hint="eastAsia"/>
          <w:lang w:val="en-US" w:eastAsia="zh-CN"/>
        </w:rPr>
        <w:t>符合表2的规定，在线监测技术规范应符合表3的规定</w:t>
      </w:r>
      <w:r>
        <w:rPr>
          <w:rFonts w:hint="eastAsia"/>
        </w:rPr>
        <w:t>。本</w:t>
      </w:r>
      <w:r>
        <w:rPr>
          <w:rFonts w:hint="eastAsia"/>
          <w:lang w:eastAsia="zh-CN"/>
        </w:rPr>
        <w:t>文件</w:t>
      </w:r>
      <w:r>
        <w:rPr>
          <w:rFonts w:hint="eastAsia"/>
        </w:rPr>
        <w:t>实施后国家发布的污染物监测方法标准，如适用性满足要求，同样适用于本</w:t>
      </w:r>
      <w:r>
        <w:rPr>
          <w:rFonts w:hint="eastAsia"/>
          <w:lang w:eastAsia="zh-CN"/>
        </w:rPr>
        <w:t>文件</w:t>
      </w:r>
      <w:r>
        <w:rPr>
          <w:rFonts w:hint="eastAsia"/>
        </w:rPr>
        <w:t>相应污染物的测定。</w:t>
      </w:r>
    </w:p>
    <w:p>
      <w:pPr>
        <w:pStyle w:val="65"/>
        <w:rPr>
          <w:rFonts w:hint="eastAsia"/>
        </w:rPr>
      </w:pPr>
      <w:r>
        <w:rPr>
          <w:rFonts w:hint="eastAsia"/>
        </w:rPr>
        <w:t>大气污染物</w:t>
      </w:r>
      <w:r>
        <w:rPr>
          <w:rFonts w:hint="eastAsia"/>
          <w:lang w:eastAsia="zh-CN"/>
        </w:rPr>
        <w:t>排放浓度手工监测</w:t>
      </w:r>
      <w:r>
        <w:rPr>
          <w:rFonts w:hint="eastAsia"/>
        </w:rPr>
        <w:t>方法</w:t>
      </w:r>
      <w:r>
        <w:rPr>
          <w:rFonts w:hint="eastAsia"/>
          <w:lang w:eastAsia="zh-CN"/>
        </w:rPr>
        <w:t>标准</w:t>
      </w:r>
    </w:p>
    <w:tbl>
      <w:tblPr>
        <w:tblStyle w:val="31"/>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6219"/>
        <w:gridCol w:w="12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817" w:type="dxa"/>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序号</w:t>
            </w:r>
          </w:p>
        </w:tc>
        <w:tc>
          <w:tcPr>
            <w:tcW w:w="1276" w:type="dxa"/>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项目</w:t>
            </w:r>
          </w:p>
        </w:tc>
        <w:tc>
          <w:tcPr>
            <w:tcW w:w="6219" w:type="dxa"/>
            <w:noWrap w:val="0"/>
            <w:vAlign w:val="center"/>
          </w:tcPr>
          <w:p>
            <w:pPr>
              <w:jc w:val="center"/>
              <w:rPr>
                <w:rFonts w:hint="eastAsia" w:ascii="宋体" w:hAnsi="宋体" w:eastAsia="宋体" w:cs="宋体"/>
                <w:sz w:val="18"/>
                <w:szCs w:val="21"/>
                <w:highlight w:val="none"/>
                <w:lang w:eastAsia="zh-CN"/>
              </w:rPr>
            </w:pPr>
            <w:r>
              <w:rPr>
                <w:rFonts w:hint="eastAsia" w:ascii="宋体" w:hAnsi="宋体" w:eastAsia="宋体" w:cs="宋体"/>
                <w:sz w:val="18"/>
                <w:szCs w:val="21"/>
                <w:highlight w:val="none"/>
              </w:rPr>
              <w:t>方法</w:t>
            </w:r>
            <w:r>
              <w:rPr>
                <w:rFonts w:hint="eastAsia" w:ascii="宋体" w:hAnsi="宋体" w:eastAsia="宋体" w:cs="宋体"/>
                <w:sz w:val="18"/>
                <w:szCs w:val="21"/>
                <w:highlight w:val="none"/>
                <w:lang w:eastAsia="zh-CN"/>
              </w:rPr>
              <w:t>标准名称</w:t>
            </w:r>
          </w:p>
        </w:tc>
        <w:tc>
          <w:tcPr>
            <w:tcW w:w="1258" w:type="dxa"/>
            <w:noWrap w:val="0"/>
            <w:vAlign w:val="center"/>
          </w:tcPr>
          <w:p>
            <w:pPr>
              <w:jc w:val="center"/>
              <w:rPr>
                <w:rFonts w:hint="eastAsia" w:ascii="宋体" w:hAnsi="宋体" w:eastAsia="宋体" w:cs="宋体"/>
                <w:sz w:val="18"/>
                <w:highlight w:val="none"/>
                <w:lang w:eastAsia="zh-CN"/>
              </w:rPr>
            </w:pPr>
            <w:r>
              <w:rPr>
                <w:rFonts w:hint="eastAsia" w:ascii="宋体" w:hAnsi="宋体" w:eastAsia="宋体" w:cs="宋体"/>
                <w:sz w:val="18"/>
                <w:szCs w:val="18"/>
                <w:highlight w:val="none"/>
                <w:lang w:eastAsia="zh-CN"/>
              </w:rPr>
              <w:t>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817" w:type="dxa"/>
            <w:vMerge w:val="restart"/>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lang w:val="en-US" w:eastAsia="zh-CN"/>
              </w:rPr>
              <w:t>1</w:t>
            </w:r>
          </w:p>
        </w:tc>
        <w:tc>
          <w:tcPr>
            <w:tcW w:w="1276" w:type="dxa"/>
            <w:vMerge w:val="restart"/>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lang w:eastAsia="zh-CN"/>
              </w:rPr>
              <w:t>颗粒物</w:t>
            </w:r>
          </w:p>
        </w:tc>
        <w:tc>
          <w:tcPr>
            <w:tcW w:w="6219" w:type="dxa"/>
            <w:noWrap w:val="0"/>
            <w:vAlign w:val="center"/>
          </w:tcPr>
          <w:p>
            <w:pPr>
              <w:jc w:val="both"/>
              <w:rPr>
                <w:rFonts w:hint="eastAsia" w:ascii="宋体" w:hAnsi="宋体" w:eastAsia="宋体" w:cs="宋体"/>
                <w:sz w:val="18"/>
                <w:szCs w:val="21"/>
                <w:highlight w:val="none"/>
              </w:rPr>
            </w:pPr>
            <w:r>
              <w:rPr>
                <w:rFonts w:hint="eastAsia" w:ascii="宋体" w:hAnsi="宋体" w:eastAsia="宋体" w:cs="宋体"/>
                <w:sz w:val="18"/>
                <w:szCs w:val="21"/>
                <w:highlight w:val="none"/>
              </w:rPr>
              <w:t>固定污染源排气中颗粒物测定与气态污染物采样方法</w:t>
            </w:r>
          </w:p>
        </w:tc>
        <w:tc>
          <w:tcPr>
            <w:tcW w:w="1258" w:type="dxa"/>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GB</w:t>
            </w:r>
            <w:r>
              <w:rPr>
                <w:rFonts w:hint="eastAsia" w:ascii="宋体" w:hAnsi="宋体" w:cs="宋体"/>
                <w:sz w:val="18"/>
                <w:szCs w:val="18"/>
                <w:highlight w:val="none"/>
                <w:lang w:val="en-US" w:eastAsia="zh-CN"/>
              </w:rPr>
              <w:t>/T</w:t>
            </w:r>
            <w:r>
              <w:rPr>
                <w:rFonts w:hint="eastAsia" w:ascii="宋体" w:hAnsi="宋体" w:eastAsia="宋体" w:cs="宋体"/>
                <w:sz w:val="18"/>
                <w:szCs w:val="18"/>
                <w:highlight w:val="none"/>
                <w:lang w:val="en-US" w:eastAsia="zh-CN"/>
              </w:rPr>
              <w:t xml:space="preserve"> 16157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pPr>
              <w:jc w:val="center"/>
              <w:rPr>
                <w:rFonts w:hint="eastAsia" w:ascii="宋体" w:hAnsi="宋体" w:eastAsia="宋体" w:cs="宋体"/>
                <w:sz w:val="18"/>
                <w:szCs w:val="21"/>
                <w:highlight w:val="none"/>
              </w:rPr>
            </w:pPr>
          </w:p>
        </w:tc>
        <w:tc>
          <w:tcPr>
            <w:tcW w:w="1276" w:type="dxa"/>
            <w:vMerge w:val="continue"/>
            <w:noWrap w:val="0"/>
            <w:vAlign w:val="center"/>
          </w:tcPr>
          <w:p>
            <w:pPr>
              <w:jc w:val="center"/>
              <w:rPr>
                <w:rFonts w:hint="eastAsia" w:ascii="宋体" w:hAnsi="宋体" w:eastAsia="宋体" w:cs="宋体"/>
                <w:sz w:val="18"/>
                <w:szCs w:val="21"/>
                <w:highlight w:val="none"/>
              </w:rPr>
            </w:pPr>
          </w:p>
        </w:tc>
        <w:tc>
          <w:tcPr>
            <w:tcW w:w="6219" w:type="dxa"/>
            <w:noWrap w:val="0"/>
            <w:vAlign w:val="center"/>
          </w:tcPr>
          <w:p>
            <w:pPr>
              <w:jc w:val="both"/>
              <w:rPr>
                <w:rFonts w:hint="eastAsia" w:ascii="宋体" w:hAnsi="宋体" w:eastAsia="宋体" w:cs="宋体"/>
                <w:sz w:val="18"/>
                <w:szCs w:val="18"/>
                <w:highlight w:val="none"/>
              </w:rPr>
            </w:pPr>
            <w:r>
              <w:rPr>
                <w:rFonts w:hint="eastAsia" w:ascii="宋体" w:hAnsi="宋体" w:eastAsia="宋体" w:cs="宋体"/>
                <w:sz w:val="18"/>
                <w:szCs w:val="18"/>
              </w:rPr>
              <w:t xml:space="preserve">固定污染源废气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低浓度颗粒物的测定</w:t>
            </w:r>
            <w:r>
              <w:rPr>
                <w:rFonts w:hint="eastAsia" w:ascii="宋体" w:hAnsi="宋体" w:eastAsia="宋体" w:cs="宋体"/>
                <w:sz w:val="18"/>
                <w:szCs w:val="18"/>
                <w:lang w:val="en-US" w:eastAsia="zh-CN"/>
              </w:rPr>
              <w:t xml:space="preserve">  </w:t>
            </w:r>
            <w:r>
              <w:rPr>
                <w:rFonts w:hint="eastAsia" w:ascii="宋体" w:hAnsi="宋体" w:eastAsia="宋体" w:cs="宋体"/>
                <w:sz w:val="18"/>
                <w:szCs w:val="18"/>
                <w:highlight w:val="none"/>
              </w:rPr>
              <w:t>重量法</w:t>
            </w:r>
          </w:p>
        </w:tc>
        <w:tc>
          <w:tcPr>
            <w:tcW w:w="1258" w:type="dxa"/>
            <w:noWrap w:val="0"/>
            <w:vAlign w:val="center"/>
          </w:tcPr>
          <w:p>
            <w:pPr>
              <w:jc w:val="center"/>
              <w:rPr>
                <w:rFonts w:hint="eastAsia" w:ascii="宋体" w:hAnsi="宋体" w:eastAsia="宋体" w:cs="宋体"/>
                <w:sz w:val="18"/>
                <w:highlight w:val="none"/>
                <w:lang w:val="en-US" w:eastAsia="zh-CN"/>
              </w:rPr>
            </w:pPr>
            <w:r>
              <w:rPr>
                <w:rFonts w:hint="eastAsia" w:ascii="宋体" w:hAnsi="宋体" w:eastAsia="宋体" w:cs="宋体"/>
                <w:sz w:val="18"/>
                <w:highlight w:val="none"/>
                <w:lang w:val="en-US" w:eastAsia="zh-CN"/>
              </w:rPr>
              <w:t>HJ 836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17" w:type="dxa"/>
            <w:vMerge w:val="restart"/>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2</w:t>
            </w:r>
          </w:p>
        </w:tc>
        <w:tc>
          <w:tcPr>
            <w:tcW w:w="1276" w:type="dxa"/>
            <w:vMerge w:val="restart"/>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二氧化硫</w:t>
            </w:r>
          </w:p>
        </w:tc>
        <w:tc>
          <w:tcPr>
            <w:tcW w:w="6219" w:type="dxa"/>
            <w:noWrap w:val="0"/>
            <w:vAlign w:val="center"/>
          </w:tcPr>
          <w:p>
            <w:pPr>
              <w:jc w:val="both"/>
              <w:rPr>
                <w:rFonts w:hint="eastAsia" w:ascii="宋体" w:hAnsi="宋体" w:eastAsia="宋体" w:cs="宋体"/>
                <w:sz w:val="18"/>
                <w:szCs w:val="18"/>
              </w:rPr>
            </w:pPr>
            <w:r>
              <w:rPr>
                <w:rFonts w:hint="eastAsia" w:ascii="宋体" w:hAnsi="宋体" w:eastAsia="宋体" w:cs="宋体"/>
                <w:sz w:val="18"/>
                <w:szCs w:val="18"/>
              </w:rPr>
              <w:t>固定污染源废气</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二氧化硫的测定  定电位电解法</w:t>
            </w:r>
          </w:p>
        </w:tc>
        <w:tc>
          <w:tcPr>
            <w:tcW w:w="1258" w:type="dxa"/>
            <w:noWrap w:val="0"/>
            <w:vAlign w:val="center"/>
          </w:tcPr>
          <w:p>
            <w:pPr>
              <w:jc w:val="center"/>
              <w:rPr>
                <w:rFonts w:hint="default" w:ascii="宋体" w:hAnsi="宋体" w:eastAsia="宋体" w:cs="宋体"/>
                <w:sz w:val="18"/>
                <w:highlight w:val="none"/>
                <w:lang w:val="en-US" w:eastAsia="zh-CN"/>
              </w:rPr>
            </w:pPr>
            <w:r>
              <w:rPr>
                <w:rFonts w:hint="eastAsia" w:ascii="宋体" w:hAnsi="宋体" w:eastAsia="宋体" w:cs="宋体"/>
                <w:sz w:val="18"/>
                <w:highlight w:val="none"/>
                <w:lang w:val="en-US" w:eastAsia="zh-CN"/>
              </w:rPr>
              <w:t>HJ 57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pPr>
              <w:jc w:val="center"/>
              <w:rPr>
                <w:rFonts w:hint="eastAsia" w:ascii="宋体" w:hAnsi="宋体" w:eastAsia="宋体" w:cs="宋体"/>
                <w:sz w:val="18"/>
                <w:szCs w:val="21"/>
                <w:highlight w:val="none"/>
              </w:rPr>
            </w:pPr>
          </w:p>
        </w:tc>
        <w:tc>
          <w:tcPr>
            <w:tcW w:w="1276" w:type="dxa"/>
            <w:vMerge w:val="continue"/>
            <w:noWrap w:val="0"/>
            <w:vAlign w:val="center"/>
          </w:tcPr>
          <w:p>
            <w:pPr>
              <w:jc w:val="center"/>
              <w:rPr>
                <w:rFonts w:hint="eastAsia" w:ascii="宋体" w:hAnsi="宋体" w:eastAsia="宋体" w:cs="宋体"/>
                <w:sz w:val="18"/>
                <w:szCs w:val="21"/>
                <w:highlight w:val="none"/>
              </w:rPr>
            </w:pPr>
          </w:p>
        </w:tc>
        <w:tc>
          <w:tcPr>
            <w:tcW w:w="6219" w:type="dxa"/>
            <w:noWrap w:val="0"/>
            <w:vAlign w:val="center"/>
          </w:tcPr>
          <w:p>
            <w:pPr>
              <w:jc w:val="both"/>
              <w:rPr>
                <w:rFonts w:hint="eastAsia" w:ascii="宋体" w:hAnsi="宋体" w:eastAsia="宋体" w:cs="宋体"/>
                <w:kern w:val="2"/>
                <w:sz w:val="18"/>
                <w:szCs w:val="18"/>
                <w:lang w:val="en-US" w:eastAsia="zh-CN" w:bidi="ar-SA"/>
              </w:rPr>
            </w:pPr>
            <w:r>
              <w:rPr>
                <w:rFonts w:hint="eastAsia" w:ascii="宋体" w:hAnsi="宋体" w:eastAsia="宋体" w:cs="宋体"/>
                <w:sz w:val="18"/>
                <w:szCs w:val="18"/>
              </w:rPr>
              <w:t xml:space="preserve">固定污染源废气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二氧化硫的测定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非分散红外吸收法</w:t>
            </w:r>
          </w:p>
        </w:tc>
        <w:tc>
          <w:tcPr>
            <w:tcW w:w="1258" w:type="dxa"/>
            <w:noWrap w:val="0"/>
            <w:vAlign w:val="center"/>
          </w:tcPr>
          <w:p>
            <w:pPr>
              <w:jc w:val="center"/>
              <w:rPr>
                <w:rFonts w:hint="eastAsia" w:ascii="宋体" w:hAnsi="宋体" w:eastAsia="宋体" w:cs="宋体"/>
                <w:kern w:val="2"/>
                <w:sz w:val="18"/>
                <w:szCs w:val="24"/>
                <w:highlight w:val="none"/>
                <w:lang w:val="en-US" w:eastAsia="zh-CN" w:bidi="ar-SA"/>
              </w:rPr>
            </w:pPr>
            <w:r>
              <w:rPr>
                <w:rFonts w:hint="eastAsia" w:ascii="宋体" w:hAnsi="宋体" w:eastAsia="宋体" w:cs="宋体"/>
                <w:sz w:val="18"/>
                <w:highlight w:val="none"/>
                <w:lang w:val="en-US" w:eastAsia="zh-CN"/>
              </w:rPr>
              <w:t>HJ 629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pPr>
              <w:jc w:val="center"/>
              <w:rPr>
                <w:rFonts w:hint="eastAsia" w:ascii="宋体" w:hAnsi="宋体" w:eastAsia="宋体" w:cs="宋体"/>
                <w:sz w:val="18"/>
                <w:szCs w:val="21"/>
                <w:highlight w:val="none"/>
              </w:rPr>
            </w:pPr>
          </w:p>
        </w:tc>
        <w:tc>
          <w:tcPr>
            <w:tcW w:w="1276" w:type="dxa"/>
            <w:vMerge w:val="continue"/>
            <w:noWrap w:val="0"/>
            <w:vAlign w:val="center"/>
          </w:tcPr>
          <w:p>
            <w:pPr>
              <w:jc w:val="center"/>
              <w:rPr>
                <w:rFonts w:hint="eastAsia" w:ascii="宋体" w:hAnsi="宋体" w:eastAsia="宋体" w:cs="宋体"/>
                <w:sz w:val="18"/>
                <w:szCs w:val="21"/>
                <w:highlight w:val="none"/>
              </w:rPr>
            </w:pPr>
          </w:p>
        </w:tc>
        <w:tc>
          <w:tcPr>
            <w:tcW w:w="6219" w:type="dxa"/>
            <w:noWrap w:val="0"/>
            <w:vAlign w:val="center"/>
          </w:tcPr>
          <w:p>
            <w:pPr>
              <w:jc w:val="both"/>
              <w:rPr>
                <w:rFonts w:hint="default" w:ascii="宋体" w:hAnsi="宋体" w:eastAsia="宋体" w:cs="宋体"/>
                <w:sz w:val="18"/>
                <w:szCs w:val="18"/>
                <w:lang w:val="en-US" w:eastAsia="zh-CN"/>
              </w:rPr>
            </w:pPr>
            <w:r>
              <w:rPr>
                <w:rFonts w:hint="eastAsia" w:ascii="宋体" w:hAnsi="宋体" w:eastAsia="宋体" w:cs="宋体"/>
                <w:sz w:val="18"/>
                <w:szCs w:val="18"/>
                <w:lang w:eastAsia="zh-CN"/>
              </w:rPr>
              <w:t>固定污染源废气</w:t>
            </w:r>
            <w:r>
              <w:rPr>
                <w:rFonts w:hint="eastAsia" w:ascii="宋体" w:hAnsi="宋体" w:eastAsia="宋体" w:cs="宋体"/>
                <w:sz w:val="18"/>
                <w:szCs w:val="18"/>
                <w:lang w:val="en-US" w:eastAsia="zh-CN"/>
              </w:rPr>
              <w:t xml:space="preserve">  二氧化硫的测定  便携式紫外吸收法</w:t>
            </w:r>
          </w:p>
        </w:tc>
        <w:tc>
          <w:tcPr>
            <w:tcW w:w="1258" w:type="dxa"/>
            <w:noWrap w:val="0"/>
            <w:vAlign w:val="center"/>
          </w:tcPr>
          <w:p>
            <w:pPr>
              <w:jc w:val="center"/>
              <w:rPr>
                <w:rFonts w:hint="default" w:ascii="宋体" w:hAnsi="宋体" w:eastAsia="宋体" w:cs="宋体"/>
                <w:sz w:val="18"/>
                <w:highlight w:val="none"/>
                <w:lang w:val="en-US" w:eastAsia="zh-CN"/>
              </w:rPr>
            </w:pPr>
            <w:r>
              <w:rPr>
                <w:rFonts w:hint="eastAsia" w:ascii="宋体" w:hAnsi="宋体" w:eastAsia="宋体" w:cs="宋体"/>
                <w:sz w:val="18"/>
                <w:highlight w:val="none"/>
                <w:lang w:val="en-US" w:eastAsia="zh-CN"/>
              </w:rPr>
              <w:t>HJ 1131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817" w:type="dxa"/>
            <w:vMerge w:val="restart"/>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3</w:t>
            </w:r>
          </w:p>
        </w:tc>
        <w:tc>
          <w:tcPr>
            <w:tcW w:w="1276" w:type="dxa"/>
            <w:vMerge w:val="restart"/>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氮氧化物</w:t>
            </w:r>
          </w:p>
        </w:tc>
        <w:tc>
          <w:tcPr>
            <w:tcW w:w="6219" w:type="dxa"/>
            <w:noWrap w:val="0"/>
            <w:vAlign w:val="center"/>
          </w:tcPr>
          <w:p>
            <w:pPr>
              <w:jc w:val="both"/>
              <w:rPr>
                <w:rFonts w:hint="eastAsia" w:ascii="宋体" w:hAnsi="宋体" w:eastAsia="宋体" w:cs="宋体"/>
                <w:sz w:val="18"/>
                <w:szCs w:val="18"/>
              </w:rPr>
            </w:pPr>
            <w:r>
              <w:rPr>
                <w:rFonts w:hint="eastAsia" w:ascii="宋体" w:hAnsi="宋体" w:eastAsia="宋体" w:cs="宋体"/>
                <w:sz w:val="18"/>
                <w:szCs w:val="18"/>
              </w:rPr>
              <w:t xml:space="preserve">固定污染源废气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氮氧化物的测定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非分散红外吸收法</w:t>
            </w:r>
          </w:p>
        </w:tc>
        <w:tc>
          <w:tcPr>
            <w:tcW w:w="1258" w:type="dxa"/>
            <w:noWrap w:val="0"/>
            <w:vAlign w:val="center"/>
          </w:tcPr>
          <w:p>
            <w:pPr>
              <w:jc w:val="center"/>
              <w:rPr>
                <w:rFonts w:hint="eastAsia" w:ascii="宋体" w:hAnsi="宋体" w:eastAsia="宋体" w:cs="宋体"/>
                <w:sz w:val="18"/>
                <w:highlight w:val="none"/>
                <w:lang w:val="en-US" w:eastAsia="zh-CN"/>
              </w:rPr>
            </w:pPr>
            <w:r>
              <w:rPr>
                <w:rFonts w:hint="eastAsia" w:ascii="宋体" w:hAnsi="宋体" w:eastAsia="宋体" w:cs="宋体"/>
                <w:sz w:val="18"/>
                <w:szCs w:val="18"/>
                <w:highlight w:val="none"/>
              </w:rPr>
              <w:t>HJ</w:t>
            </w:r>
            <w:r>
              <w:rPr>
                <w:rFonts w:hint="eastAsia" w:ascii="宋体" w:hAnsi="宋体" w:eastAsia="宋体" w:cs="宋体"/>
                <w:sz w:val="18"/>
                <w:szCs w:val="18"/>
                <w:highlight w:val="none"/>
                <w:lang w:val="en-US" w:eastAsia="zh-CN"/>
              </w:rPr>
              <w:t xml:space="preserve"> </w:t>
            </w:r>
            <w:r>
              <w:rPr>
                <w:rFonts w:hint="eastAsia" w:ascii="宋体" w:hAnsi="宋体" w:eastAsia="宋体" w:cs="宋体"/>
                <w:sz w:val="18"/>
                <w:szCs w:val="18"/>
                <w:highlight w:val="none"/>
              </w:rPr>
              <w:t>692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pPr>
              <w:jc w:val="center"/>
              <w:rPr>
                <w:rFonts w:hint="eastAsia" w:ascii="宋体" w:hAnsi="宋体" w:eastAsia="宋体" w:cs="宋体"/>
                <w:sz w:val="18"/>
                <w:szCs w:val="21"/>
                <w:highlight w:val="none"/>
              </w:rPr>
            </w:pPr>
          </w:p>
        </w:tc>
        <w:tc>
          <w:tcPr>
            <w:tcW w:w="1276" w:type="dxa"/>
            <w:vMerge w:val="continue"/>
            <w:noWrap w:val="0"/>
            <w:vAlign w:val="center"/>
          </w:tcPr>
          <w:p>
            <w:pPr>
              <w:jc w:val="center"/>
              <w:rPr>
                <w:rFonts w:hint="eastAsia" w:ascii="宋体" w:hAnsi="宋体" w:eastAsia="宋体" w:cs="宋体"/>
                <w:sz w:val="18"/>
                <w:szCs w:val="21"/>
                <w:highlight w:val="none"/>
              </w:rPr>
            </w:pPr>
          </w:p>
        </w:tc>
        <w:tc>
          <w:tcPr>
            <w:tcW w:w="6219" w:type="dxa"/>
            <w:noWrap w:val="0"/>
            <w:vAlign w:val="center"/>
          </w:tcPr>
          <w:p>
            <w:pPr>
              <w:jc w:val="both"/>
              <w:rPr>
                <w:rFonts w:hint="eastAsia" w:ascii="宋体" w:hAnsi="宋体" w:eastAsia="宋体" w:cs="宋体"/>
                <w:kern w:val="2"/>
                <w:sz w:val="18"/>
                <w:szCs w:val="18"/>
                <w:lang w:val="en-US" w:eastAsia="zh-CN" w:bidi="ar-SA"/>
              </w:rPr>
            </w:pPr>
            <w:r>
              <w:rPr>
                <w:rFonts w:hint="eastAsia" w:ascii="宋体" w:hAnsi="宋体" w:eastAsia="宋体" w:cs="宋体"/>
                <w:sz w:val="18"/>
                <w:szCs w:val="18"/>
              </w:rPr>
              <w:t xml:space="preserve">固定污染源废气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氮氧化物的测定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定电位电解法</w:t>
            </w:r>
          </w:p>
        </w:tc>
        <w:tc>
          <w:tcPr>
            <w:tcW w:w="1258" w:type="dxa"/>
            <w:noWrap w:val="0"/>
            <w:vAlign w:val="center"/>
          </w:tcPr>
          <w:p>
            <w:pPr>
              <w:jc w:val="center"/>
              <w:rPr>
                <w:rFonts w:hint="eastAsia" w:ascii="宋体" w:hAnsi="宋体" w:eastAsia="宋体" w:cs="宋体"/>
                <w:kern w:val="2"/>
                <w:sz w:val="18"/>
                <w:szCs w:val="24"/>
                <w:highlight w:val="none"/>
                <w:lang w:val="en-US" w:eastAsia="zh-CN" w:bidi="ar-SA"/>
              </w:rPr>
            </w:pPr>
            <w:r>
              <w:rPr>
                <w:rFonts w:hint="eastAsia" w:ascii="宋体" w:hAnsi="宋体" w:eastAsia="宋体" w:cs="宋体"/>
                <w:sz w:val="18"/>
                <w:szCs w:val="18"/>
                <w:highlight w:val="none"/>
              </w:rPr>
              <w:t>HJ</w:t>
            </w:r>
            <w:r>
              <w:rPr>
                <w:rFonts w:hint="eastAsia" w:ascii="宋体" w:hAnsi="宋体" w:eastAsia="宋体" w:cs="宋体"/>
                <w:sz w:val="18"/>
                <w:szCs w:val="18"/>
                <w:highlight w:val="none"/>
                <w:lang w:val="en-US" w:eastAsia="zh-CN"/>
              </w:rPr>
              <w:t xml:space="preserve"> </w:t>
            </w:r>
            <w:r>
              <w:rPr>
                <w:rFonts w:hint="eastAsia" w:ascii="宋体" w:hAnsi="宋体" w:eastAsia="宋体" w:cs="宋体"/>
                <w:sz w:val="18"/>
                <w:szCs w:val="18"/>
                <w:highlight w:val="none"/>
              </w:rPr>
              <w:t>693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pPr>
              <w:jc w:val="center"/>
              <w:rPr>
                <w:rFonts w:hint="eastAsia" w:ascii="宋体" w:hAnsi="宋体" w:eastAsia="宋体" w:cs="宋体"/>
                <w:sz w:val="18"/>
                <w:szCs w:val="21"/>
                <w:highlight w:val="none"/>
              </w:rPr>
            </w:pPr>
          </w:p>
        </w:tc>
        <w:tc>
          <w:tcPr>
            <w:tcW w:w="1276" w:type="dxa"/>
            <w:vMerge w:val="continue"/>
            <w:noWrap w:val="0"/>
            <w:vAlign w:val="center"/>
          </w:tcPr>
          <w:p>
            <w:pPr>
              <w:jc w:val="center"/>
              <w:rPr>
                <w:rFonts w:hint="eastAsia" w:ascii="宋体" w:hAnsi="宋体" w:eastAsia="宋体" w:cs="宋体"/>
                <w:sz w:val="18"/>
                <w:szCs w:val="21"/>
                <w:highlight w:val="none"/>
              </w:rPr>
            </w:pPr>
          </w:p>
        </w:tc>
        <w:tc>
          <w:tcPr>
            <w:tcW w:w="6219" w:type="dxa"/>
            <w:noWrap w:val="0"/>
            <w:vAlign w:val="center"/>
          </w:tcPr>
          <w:p>
            <w:pPr>
              <w:jc w:val="both"/>
              <w:rPr>
                <w:rFonts w:hint="default" w:ascii="宋体" w:hAnsi="宋体" w:eastAsia="宋体" w:cs="宋体"/>
                <w:sz w:val="18"/>
                <w:szCs w:val="18"/>
                <w:lang w:val="en-US" w:eastAsia="zh-CN"/>
              </w:rPr>
            </w:pPr>
            <w:r>
              <w:rPr>
                <w:rFonts w:hint="eastAsia" w:ascii="宋体" w:hAnsi="宋体" w:eastAsia="宋体" w:cs="宋体"/>
                <w:sz w:val="18"/>
                <w:szCs w:val="18"/>
                <w:lang w:eastAsia="zh-CN"/>
              </w:rPr>
              <w:t>固定污染源废气</w:t>
            </w:r>
            <w:r>
              <w:rPr>
                <w:rFonts w:hint="eastAsia" w:ascii="宋体" w:hAnsi="宋体" w:eastAsia="宋体" w:cs="宋体"/>
                <w:sz w:val="18"/>
                <w:szCs w:val="18"/>
                <w:lang w:val="en-US" w:eastAsia="zh-CN"/>
              </w:rPr>
              <w:t xml:space="preserve">  氮氧化物的测定  便携式紫外吸收法</w:t>
            </w:r>
          </w:p>
        </w:tc>
        <w:tc>
          <w:tcPr>
            <w:tcW w:w="1258" w:type="dxa"/>
            <w:noWrap w:val="0"/>
            <w:vAlign w:val="center"/>
          </w:tcPr>
          <w:p>
            <w:pPr>
              <w:jc w:val="center"/>
              <w:rPr>
                <w:rFonts w:hint="default" w:ascii="宋体" w:hAnsi="宋体" w:eastAsia="宋体" w:cs="宋体"/>
                <w:sz w:val="18"/>
                <w:highlight w:val="none"/>
                <w:lang w:val="en-US" w:eastAsia="zh-CN"/>
              </w:rPr>
            </w:pPr>
            <w:r>
              <w:rPr>
                <w:rFonts w:hint="eastAsia" w:ascii="宋体" w:hAnsi="宋体" w:eastAsia="宋体" w:cs="宋体"/>
                <w:sz w:val="18"/>
                <w:highlight w:val="none"/>
                <w:lang w:val="en-US" w:eastAsia="zh-CN"/>
              </w:rPr>
              <w:t>HJ 1132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jc w:val="center"/>
              <w:rPr>
                <w:rFonts w:hint="eastAsia" w:ascii="宋体" w:hAnsi="宋体" w:eastAsia="宋体" w:cs="宋体"/>
                <w:sz w:val="18"/>
                <w:szCs w:val="21"/>
                <w:highlight w:val="none"/>
                <w:lang w:val="en-US" w:eastAsia="zh-CN"/>
              </w:rPr>
            </w:pPr>
            <w:r>
              <w:rPr>
                <w:rFonts w:hint="eastAsia" w:ascii="宋体" w:hAnsi="宋体" w:eastAsia="宋体" w:cs="宋体"/>
                <w:sz w:val="18"/>
                <w:szCs w:val="21"/>
                <w:highlight w:val="none"/>
                <w:lang w:val="en-US" w:eastAsia="zh-CN"/>
              </w:rPr>
              <w:t>4</w:t>
            </w:r>
          </w:p>
        </w:tc>
        <w:tc>
          <w:tcPr>
            <w:tcW w:w="1276" w:type="dxa"/>
            <w:noWrap w:val="0"/>
            <w:vAlign w:val="center"/>
          </w:tcPr>
          <w:p>
            <w:pPr>
              <w:jc w:val="center"/>
              <w:rPr>
                <w:rFonts w:hint="eastAsia" w:ascii="宋体" w:hAnsi="宋体" w:eastAsia="宋体" w:cs="宋体"/>
                <w:sz w:val="18"/>
                <w:szCs w:val="21"/>
                <w:highlight w:val="none"/>
                <w:lang w:eastAsia="zh-CN"/>
              </w:rPr>
            </w:pPr>
            <w:r>
              <w:rPr>
                <w:rFonts w:hint="eastAsia" w:ascii="宋体" w:hAnsi="宋体" w:eastAsia="宋体" w:cs="宋体"/>
                <w:sz w:val="18"/>
                <w:szCs w:val="21"/>
                <w:highlight w:val="none"/>
                <w:lang w:eastAsia="zh-CN"/>
              </w:rPr>
              <w:t>氨</w:t>
            </w:r>
          </w:p>
        </w:tc>
        <w:tc>
          <w:tcPr>
            <w:tcW w:w="6219" w:type="dxa"/>
            <w:noWrap w:val="0"/>
            <w:vAlign w:val="center"/>
          </w:tcPr>
          <w:p>
            <w:pPr>
              <w:jc w:val="both"/>
              <w:rPr>
                <w:rFonts w:hint="default" w:ascii="宋体" w:hAnsi="宋体" w:eastAsia="宋体" w:cs="宋体"/>
                <w:sz w:val="18"/>
                <w:szCs w:val="18"/>
                <w:lang w:val="en-US" w:eastAsia="zh-CN"/>
              </w:rPr>
            </w:pPr>
            <w:r>
              <w:rPr>
                <w:rFonts w:hint="default" w:ascii="宋体" w:hAnsi="宋体" w:eastAsia="宋体" w:cs="宋体"/>
                <w:sz w:val="18"/>
                <w:szCs w:val="18"/>
                <w:lang w:val="en-US" w:eastAsia="zh-CN"/>
              </w:rPr>
              <w:t>环境空气和废气  氨的测定  纳氏试剂分光光度法</w:t>
            </w:r>
          </w:p>
        </w:tc>
        <w:tc>
          <w:tcPr>
            <w:tcW w:w="1258" w:type="dxa"/>
            <w:noWrap w:val="0"/>
            <w:vAlign w:val="center"/>
          </w:tcPr>
          <w:p>
            <w:pPr>
              <w:jc w:val="center"/>
              <w:rPr>
                <w:rFonts w:hint="default" w:ascii="宋体" w:hAnsi="宋体" w:eastAsia="宋体" w:cs="宋体"/>
                <w:sz w:val="18"/>
                <w:highlight w:val="none"/>
                <w:lang w:val="en-US" w:eastAsia="zh-CN"/>
              </w:rPr>
            </w:pPr>
            <w:r>
              <w:rPr>
                <w:rFonts w:hint="eastAsia" w:ascii="宋体" w:hAnsi="宋体" w:eastAsia="宋体" w:cs="宋体"/>
                <w:sz w:val="18"/>
                <w:highlight w:val="none"/>
                <w:lang w:val="en-US" w:eastAsia="zh-CN"/>
              </w:rPr>
              <w:t>HJ 533</w:t>
            </w:r>
          </w:p>
        </w:tc>
      </w:tr>
    </w:tbl>
    <w:p>
      <w:pPr>
        <w:pStyle w:val="65"/>
        <w:rPr>
          <w:rFonts w:hint="eastAsia"/>
          <w:highlight w:val="none"/>
        </w:rPr>
      </w:pPr>
      <w:r>
        <w:rPr>
          <w:rFonts w:hint="eastAsia"/>
          <w:highlight w:val="none"/>
        </w:rPr>
        <w:t>大气污染物</w:t>
      </w:r>
      <w:r>
        <w:rPr>
          <w:rFonts w:hint="eastAsia"/>
          <w:highlight w:val="none"/>
          <w:lang w:eastAsia="zh-CN"/>
        </w:rPr>
        <w:t>排放浓度在线监测技术规范</w:t>
      </w:r>
    </w:p>
    <w:tbl>
      <w:tblPr>
        <w:tblStyle w:val="31"/>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6219"/>
        <w:gridCol w:w="12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17" w:type="dxa"/>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序号</w:t>
            </w:r>
          </w:p>
        </w:tc>
        <w:tc>
          <w:tcPr>
            <w:tcW w:w="1276" w:type="dxa"/>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项目</w:t>
            </w:r>
          </w:p>
        </w:tc>
        <w:tc>
          <w:tcPr>
            <w:tcW w:w="6219" w:type="dxa"/>
            <w:noWrap w:val="0"/>
            <w:vAlign w:val="center"/>
          </w:tcPr>
          <w:p>
            <w:pPr>
              <w:jc w:val="center"/>
              <w:rPr>
                <w:rFonts w:hint="eastAsia" w:ascii="宋体" w:hAnsi="宋体" w:eastAsia="宋体" w:cs="宋体"/>
                <w:sz w:val="18"/>
                <w:szCs w:val="21"/>
                <w:highlight w:val="none"/>
                <w:lang w:eastAsia="zh-CN"/>
              </w:rPr>
            </w:pPr>
            <w:r>
              <w:rPr>
                <w:rFonts w:hint="eastAsia" w:ascii="宋体" w:hAnsi="宋体" w:eastAsia="宋体" w:cs="宋体"/>
                <w:sz w:val="18"/>
                <w:szCs w:val="18"/>
                <w:highlight w:val="none"/>
                <w:lang w:eastAsia="zh-CN"/>
              </w:rPr>
              <w:t>技术规范名称</w:t>
            </w:r>
          </w:p>
        </w:tc>
        <w:tc>
          <w:tcPr>
            <w:tcW w:w="1258" w:type="dxa"/>
            <w:noWrap w:val="0"/>
            <w:vAlign w:val="center"/>
          </w:tcPr>
          <w:p>
            <w:pPr>
              <w:jc w:val="center"/>
              <w:rPr>
                <w:rFonts w:hint="eastAsia" w:ascii="宋体" w:hAnsi="宋体" w:eastAsia="宋体" w:cs="宋体"/>
                <w:sz w:val="18"/>
                <w:highlight w:val="none"/>
                <w:lang w:eastAsia="zh-CN"/>
              </w:rPr>
            </w:pPr>
            <w:r>
              <w:rPr>
                <w:rFonts w:hint="eastAsia" w:ascii="宋体" w:hAnsi="宋体" w:eastAsia="宋体" w:cs="宋体"/>
                <w:sz w:val="18"/>
                <w:highlight w:val="none"/>
                <w:lang w:eastAsia="zh-CN"/>
              </w:rPr>
              <w:t>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17" w:type="dxa"/>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1</w:t>
            </w:r>
          </w:p>
        </w:tc>
        <w:tc>
          <w:tcPr>
            <w:tcW w:w="1276" w:type="dxa"/>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颗粒物</w:t>
            </w:r>
          </w:p>
        </w:tc>
        <w:tc>
          <w:tcPr>
            <w:tcW w:w="6219" w:type="dxa"/>
            <w:vMerge w:val="restart"/>
            <w:noWrap w:val="0"/>
            <w:vAlign w:val="center"/>
          </w:tcPr>
          <w:p>
            <w:pPr>
              <w:pStyle w:val="9"/>
              <w:tabs>
                <w:tab w:val="left" w:pos="1428"/>
              </w:tabs>
              <w:kinsoku w:val="0"/>
              <w:overflowPunct w:val="0"/>
              <w:autoSpaceDE w:val="0"/>
              <w:autoSpaceDN w:val="0"/>
              <w:adjustRightInd w:val="0"/>
              <w:snapToGrid w:val="0"/>
              <w:spacing w:line="276" w:lineRule="auto"/>
              <w:jc w:val="both"/>
              <w:rPr>
                <w:rFonts w:hint="eastAsia" w:ascii="宋体" w:hAnsi="宋体" w:eastAsia="宋体" w:cs="宋体"/>
                <w:sz w:val="18"/>
                <w:szCs w:val="18"/>
                <w:highlight w:val="none"/>
              </w:rPr>
            </w:pPr>
            <w:r>
              <w:rPr>
                <w:rFonts w:hint="eastAsia" w:ascii="宋体" w:hAnsi="宋体" w:eastAsia="宋体" w:cs="宋体"/>
                <w:sz w:val="18"/>
                <w:szCs w:val="18"/>
                <w:highlight w:val="none"/>
              </w:rPr>
              <w:t>固定污染源烟气（SO</w:t>
            </w:r>
            <w:r>
              <w:rPr>
                <w:rFonts w:hint="eastAsia" w:ascii="宋体" w:hAnsi="宋体" w:eastAsia="宋体" w:cs="宋体"/>
                <w:sz w:val="18"/>
                <w:szCs w:val="18"/>
                <w:highlight w:val="none"/>
                <w:vertAlign w:val="subscript"/>
              </w:rPr>
              <w:t>2</w:t>
            </w:r>
            <w:r>
              <w:rPr>
                <w:rFonts w:hint="eastAsia" w:ascii="宋体" w:hAnsi="宋体" w:eastAsia="宋体" w:cs="宋体"/>
                <w:sz w:val="18"/>
                <w:szCs w:val="18"/>
                <w:highlight w:val="none"/>
              </w:rPr>
              <w:t>、NO</w:t>
            </w:r>
            <w:r>
              <w:rPr>
                <w:rFonts w:hint="eastAsia" w:ascii="宋体" w:hAnsi="宋体" w:eastAsia="宋体" w:cs="宋体"/>
                <w:sz w:val="18"/>
                <w:szCs w:val="18"/>
                <w:highlight w:val="none"/>
                <w:vertAlign w:val="subscript"/>
              </w:rPr>
              <w:t>X</w:t>
            </w:r>
            <w:r>
              <w:rPr>
                <w:rFonts w:hint="eastAsia" w:ascii="宋体" w:hAnsi="宋体" w:eastAsia="宋体" w:cs="宋体"/>
                <w:sz w:val="18"/>
                <w:szCs w:val="18"/>
                <w:highlight w:val="none"/>
              </w:rPr>
              <w:t>、颗粒物）排放连续监测技术规范</w:t>
            </w:r>
          </w:p>
          <w:p>
            <w:pPr>
              <w:pStyle w:val="9"/>
              <w:tabs>
                <w:tab w:val="left" w:pos="1428"/>
              </w:tabs>
              <w:kinsoku w:val="0"/>
              <w:overflowPunct w:val="0"/>
              <w:autoSpaceDE w:val="0"/>
              <w:autoSpaceDN w:val="0"/>
              <w:adjustRightInd w:val="0"/>
              <w:snapToGrid w:val="0"/>
              <w:spacing w:line="276" w:lineRule="auto"/>
              <w:jc w:val="both"/>
              <w:rPr>
                <w:rFonts w:hint="eastAsia" w:ascii="宋体" w:hAnsi="宋体" w:eastAsia="宋体" w:cs="宋体"/>
                <w:sz w:val="18"/>
                <w:szCs w:val="18"/>
                <w:highlight w:val="none"/>
              </w:rPr>
            </w:pPr>
            <w:r>
              <w:rPr>
                <w:rFonts w:hint="eastAsia" w:hAnsi="宋体" w:eastAsia="宋体" w:cs="宋体"/>
                <w:sz w:val="18"/>
                <w:szCs w:val="18"/>
                <w:lang w:val="en-US" w:eastAsia="zh-CN"/>
              </w:rPr>
              <w:t>固定污染源烟气</w:t>
            </w:r>
            <w:r>
              <w:rPr>
                <w:rFonts w:hint="eastAsia" w:ascii="宋体" w:hAnsi="宋体" w:eastAsia="宋体" w:cs="宋体"/>
                <w:sz w:val="18"/>
                <w:szCs w:val="18"/>
              </w:rPr>
              <w:t>（SO</w:t>
            </w:r>
            <w:r>
              <w:rPr>
                <w:rFonts w:hint="eastAsia" w:ascii="宋体" w:hAnsi="宋体" w:eastAsia="宋体" w:cs="宋体"/>
                <w:sz w:val="18"/>
                <w:szCs w:val="18"/>
                <w:vertAlign w:val="subscript"/>
              </w:rPr>
              <w:t>2</w:t>
            </w:r>
            <w:r>
              <w:rPr>
                <w:rFonts w:hint="eastAsia" w:ascii="宋体" w:hAnsi="宋体" w:eastAsia="宋体" w:cs="宋体"/>
                <w:sz w:val="18"/>
                <w:szCs w:val="18"/>
              </w:rPr>
              <w:t>、NO</w:t>
            </w:r>
            <w:r>
              <w:rPr>
                <w:rFonts w:hint="eastAsia" w:ascii="宋体" w:hAnsi="宋体" w:eastAsia="宋体" w:cs="宋体"/>
                <w:sz w:val="18"/>
                <w:szCs w:val="18"/>
                <w:vertAlign w:val="subscript"/>
              </w:rPr>
              <w:t>X</w:t>
            </w:r>
            <w:r>
              <w:rPr>
                <w:rFonts w:hint="eastAsia" w:ascii="宋体" w:hAnsi="宋体" w:eastAsia="宋体" w:cs="宋体"/>
                <w:sz w:val="18"/>
                <w:szCs w:val="18"/>
              </w:rPr>
              <w:t>、颗粒物）</w:t>
            </w:r>
            <w:r>
              <w:rPr>
                <w:rFonts w:hint="eastAsia" w:hAnsi="宋体" w:eastAsia="宋体" w:cs="宋体"/>
                <w:sz w:val="18"/>
                <w:szCs w:val="18"/>
                <w:lang w:eastAsia="zh-CN"/>
              </w:rPr>
              <w:t>排放连续监测系统技术要求及检测方法</w:t>
            </w:r>
          </w:p>
        </w:tc>
        <w:tc>
          <w:tcPr>
            <w:tcW w:w="1258" w:type="dxa"/>
            <w:vMerge w:val="restart"/>
            <w:noWrap w:val="0"/>
            <w:vAlign w:val="center"/>
          </w:tcPr>
          <w:p>
            <w:pPr>
              <w:jc w:val="center"/>
              <w:rPr>
                <w:rFonts w:hint="eastAsia" w:ascii="宋体" w:hAnsi="宋体" w:eastAsia="宋体" w:cs="宋体"/>
                <w:sz w:val="18"/>
                <w:highlight w:val="none"/>
                <w:lang w:val="en-US" w:eastAsia="zh-CN"/>
              </w:rPr>
            </w:pPr>
            <w:r>
              <w:rPr>
                <w:rFonts w:hint="eastAsia" w:ascii="宋体" w:hAnsi="宋体" w:eastAsia="宋体" w:cs="宋体"/>
                <w:sz w:val="18"/>
                <w:highlight w:val="none"/>
                <w:lang w:val="en-US" w:eastAsia="zh-CN"/>
              </w:rPr>
              <w:t>HJ 75</w:t>
            </w:r>
          </w:p>
          <w:p>
            <w:pPr>
              <w:jc w:val="center"/>
              <w:rPr>
                <w:rFonts w:hint="default" w:ascii="宋体" w:hAnsi="宋体" w:eastAsia="宋体" w:cs="宋体"/>
                <w:sz w:val="18"/>
                <w:highlight w:val="none"/>
                <w:lang w:val="en-US" w:eastAsia="zh-CN"/>
              </w:rPr>
            </w:pPr>
            <w:r>
              <w:rPr>
                <w:rFonts w:hint="eastAsia" w:ascii="宋体" w:hAnsi="宋体" w:eastAsia="宋体" w:cs="宋体"/>
                <w:sz w:val="18"/>
                <w:highlight w:val="none"/>
                <w:lang w:val="en-US" w:eastAsia="zh-CN"/>
              </w:rPr>
              <w:t>HJ 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17" w:type="dxa"/>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2</w:t>
            </w:r>
          </w:p>
        </w:tc>
        <w:tc>
          <w:tcPr>
            <w:tcW w:w="1276" w:type="dxa"/>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二氧化硫</w:t>
            </w:r>
          </w:p>
        </w:tc>
        <w:tc>
          <w:tcPr>
            <w:tcW w:w="6219" w:type="dxa"/>
            <w:vMerge w:val="continue"/>
            <w:noWrap w:val="0"/>
            <w:vAlign w:val="center"/>
          </w:tcPr>
          <w:p>
            <w:pPr>
              <w:pStyle w:val="126"/>
              <w:kinsoku w:val="0"/>
              <w:overflowPunct w:val="0"/>
              <w:autoSpaceDE w:val="0"/>
              <w:autoSpaceDN w:val="0"/>
              <w:adjustRightInd w:val="0"/>
              <w:snapToGrid w:val="0"/>
              <w:spacing w:line="276" w:lineRule="auto"/>
              <w:rPr>
                <w:rFonts w:hint="eastAsia" w:ascii="宋体" w:hAnsi="宋体" w:eastAsia="宋体" w:cs="宋体"/>
                <w:sz w:val="18"/>
                <w:szCs w:val="21"/>
                <w:highlight w:val="none"/>
              </w:rPr>
            </w:pPr>
          </w:p>
        </w:tc>
        <w:tc>
          <w:tcPr>
            <w:tcW w:w="1258" w:type="dxa"/>
            <w:vMerge w:val="continue"/>
            <w:noWrap w:val="0"/>
            <w:vAlign w:val="center"/>
          </w:tcPr>
          <w:p>
            <w:pPr>
              <w:jc w:val="center"/>
              <w:rPr>
                <w:rFonts w:hint="eastAsia" w:ascii="宋体" w:hAnsi="宋体" w:eastAsia="宋体" w:cs="宋体"/>
                <w:sz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17" w:type="dxa"/>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3</w:t>
            </w:r>
          </w:p>
        </w:tc>
        <w:tc>
          <w:tcPr>
            <w:tcW w:w="1276" w:type="dxa"/>
            <w:noWrap w:val="0"/>
            <w:vAlign w:val="center"/>
          </w:tcPr>
          <w:p>
            <w:pPr>
              <w:jc w:val="center"/>
              <w:rPr>
                <w:rFonts w:hint="eastAsia" w:ascii="宋体" w:hAnsi="宋体" w:eastAsia="宋体" w:cs="宋体"/>
                <w:sz w:val="18"/>
                <w:szCs w:val="21"/>
                <w:highlight w:val="none"/>
              </w:rPr>
            </w:pPr>
            <w:r>
              <w:rPr>
                <w:rFonts w:hint="eastAsia" w:ascii="宋体" w:hAnsi="宋体" w:eastAsia="宋体" w:cs="宋体"/>
                <w:sz w:val="18"/>
                <w:szCs w:val="21"/>
                <w:highlight w:val="none"/>
              </w:rPr>
              <w:t>氮氧化物</w:t>
            </w:r>
          </w:p>
        </w:tc>
        <w:tc>
          <w:tcPr>
            <w:tcW w:w="6219" w:type="dxa"/>
            <w:vMerge w:val="continue"/>
            <w:noWrap w:val="0"/>
            <w:vAlign w:val="center"/>
          </w:tcPr>
          <w:p>
            <w:pPr>
              <w:pStyle w:val="126"/>
              <w:kinsoku w:val="0"/>
              <w:overflowPunct w:val="0"/>
              <w:autoSpaceDE w:val="0"/>
              <w:autoSpaceDN w:val="0"/>
              <w:adjustRightInd w:val="0"/>
              <w:snapToGrid w:val="0"/>
              <w:spacing w:line="276" w:lineRule="auto"/>
              <w:rPr>
                <w:rFonts w:hint="eastAsia" w:ascii="宋体" w:hAnsi="宋体" w:eastAsia="宋体" w:cs="宋体"/>
                <w:sz w:val="18"/>
                <w:szCs w:val="21"/>
                <w:highlight w:val="none"/>
              </w:rPr>
            </w:pPr>
          </w:p>
        </w:tc>
        <w:tc>
          <w:tcPr>
            <w:tcW w:w="1258" w:type="dxa"/>
            <w:vMerge w:val="continue"/>
            <w:noWrap w:val="0"/>
            <w:vAlign w:val="center"/>
          </w:tcPr>
          <w:p>
            <w:pPr>
              <w:jc w:val="center"/>
              <w:rPr>
                <w:rFonts w:hint="eastAsia" w:ascii="宋体" w:hAnsi="宋体" w:eastAsia="宋体" w:cs="宋体"/>
                <w:sz w:val="18"/>
                <w:highlight w:val="none"/>
              </w:rPr>
            </w:pPr>
          </w:p>
        </w:tc>
      </w:tr>
    </w:tbl>
    <w:p>
      <w:pPr>
        <w:pStyle w:val="87"/>
        <w:rPr>
          <w:rFonts w:hint="eastAsia"/>
        </w:rPr>
      </w:pPr>
      <w:bookmarkStart w:id="33" w:name="_Toc14735"/>
      <w:bookmarkStart w:id="34" w:name="_Toc32508538"/>
      <w:r>
        <w:rPr>
          <w:rFonts w:hint="eastAsia"/>
        </w:rPr>
        <w:t>达标判定要求</w:t>
      </w:r>
      <w:bookmarkEnd w:id="33"/>
      <w:bookmarkEnd w:id="34"/>
    </w:p>
    <w:p>
      <w:pPr>
        <w:pStyle w:val="54"/>
        <w:rPr>
          <w:rFonts w:hint="eastAsia"/>
        </w:rPr>
      </w:pPr>
      <w:r>
        <w:rPr>
          <w:rFonts w:hint="eastAsia"/>
        </w:rPr>
        <w:t>实测的大气污染物排放浓度</w:t>
      </w:r>
      <w:r>
        <w:rPr>
          <w:rFonts w:hint="eastAsia"/>
          <w:lang w:eastAsia="zh-CN"/>
        </w:rPr>
        <w:t>，应按照公式（</w:t>
      </w:r>
      <w:r>
        <w:rPr>
          <w:rFonts w:hint="eastAsia"/>
          <w:lang w:val="en-US" w:eastAsia="zh-CN"/>
        </w:rPr>
        <w:t>1）换算为表4规定的基准氧含量条件下的排放浓度，并以此作为达标</w:t>
      </w:r>
      <w:r>
        <w:rPr>
          <w:rFonts w:hint="eastAsia"/>
        </w:rPr>
        <w:t>判定的依据。</w:t>
      </w:r>
    </w:p>
    <w:p>
      <w:pPr>
        <w:pStyle w:val="54"/>
        <w:numPr>
          <w:ilvl w:val="0"/>
          <w:numId w:val="0"/>
        </w:numPr>
        <w:ind w:leftChars="0"/>
        <w:jc w:val="right"/>
        <w:rPr>
          <w:rFonts w:hint="default" w:ascii="Times New Roman" w:eastAsia="宋体"/>
          <w:lang w:val="en-US" w:eastAsia="zh-CN"/>
        </w:rPr>
      </w:pPr>
      <w:r>
        <w:rPr>
          <w:rFonts w:hint="eastAsia" w:ascii="Times New Roman" w:eastAsia="宋体"/>
          <w:position w:val="-30"/>
          <w:lang w:eastAsia="zh-CN"/>
        </w:rPr>
        <w:object>
          <v:shape id="_x0000_i1025" o:spt="75" type="#_x0000_t75" style="height:34pt;width:99pt;" o:ole="t" filled="f" o:preferrelative="t" stroked="f" coordsize="21600,21600">
            <v:path/>
            <v:fill on="f" focussize="0,0"/>
            <v:stroke on="f"/>
            <v:imagedata r:id="rId12" o:title=""/>
            <o:lock v:ext="edit" aspectratio="t"/>
            <w10:wrap type="none"/>
            <w10:anchorlock/>
          </v:shape>
          <o:OLEObject Type="Embed" ProgID="Equation.KSEE3" ShapeID="_x0000_i1025" DrawAspect="Content" ObjectID="_1468075725" r:id="rId11">
            <o:LockedField>false</o:LockedField>
          </o:OLEObject>
        </w:object>
      </w:r>
      <w:r>
        <w:rPr>
          <w:rFonts w:hint="eastAsia" w:ascii="Times New Roman"/>
          <w:position w:val="-30"/>
          <w:lang w:val="en-US" w:eastAsia="zh-CN"/>
        </w:rPr>
        <w:t xml:space="preserve">      </w:t>
      </w:r>
      <w:r>
        <w:rPr>
          <w:rFonts w:hint="eastAsia" w:ascii="Times New Roman"/>
          <w:lang w:val="en-US" w:eastAsia="zh-CN"/>
        </w:rPr>
        <w:t xml:space="preserve">      </w:t>
      </w:r>
      <w:r>
        <w:rPr>
          <w:rFonts w:hint="eastAsia" w:ascii="Times New Roman"/>
          <w:lang w:eastAsia="zh-CN"/>
        </w:rPr>
        <w:t>…………………………（</w:t>
      </w:r>
      <w:r>
        <w:rPr>
          <w:rFonts w:hint="eastAsia" w:ascii="宋体" w:hAnsi="宋体" w:eastAsia="宋体" w:cs="宋体"/>
          <w:lang w:val="en-US" w:eastAsia="zh-CN"/>
        </w:rPr>
        <w:t>1</w:t>
      </w:r>
      <w:r>
        <w:rPr>
          <w:rFonts w:hint="eastAsia" w:ascii="Times New Roman"/>
          <w:lang w:val="en-US" w:eastAsia="zh-CN"/>
        </w:rPr>
        <w:t>）</w:t>
      </w:r>
    </w:p>
    <w:p>
      <w:pPr>
        <w:pStyle w:val="22"/>
        <w:ind w:left="0" w:leftChars="0" w:firstLine="420" w:firstLineChars="200"/>
        <w:rPr>
          <w:rFonts w:hint="eastAsia"/>
        </w:rPr>
      </w:pPr>
      <w:r>
        <w:rPr>
          <w:rFonts w:hint="eastAsia"/>
        </w:rPr>
        <w:t>式中：</w:t>
      </w:r>
    </w:p>
    <w:p>
      <w:pPr>
        <w:pStyle w:val="22"/>
        <w:ind w:left="0" w:leftChars="0" w:firstLine="420" w:firstLineChars="200"/>
        <w:rPr>
          <w:rFonts w:hint="eastAsia" w:ascii="宋体" w:hAnsi="宋体" w:eastAsia="宋体" w:cs="宋体"/>
        </w:rPr>
      </w:pPr>
      <w:r>
        <w:rPr>
          <w:rFonts w:hint="default" w:ascii="Times New Roman" w:hAnsi="Times New Roman" w:eastAsia="宋体" w:cs="Times New Roman"/>
          <w:i/>
          <w:iCs/>
        </w:rPr>
        <w:t>ρ</w:t>
      </w:r>
      <w:r>
        <w:rPr>
          <w:rFonts w:hint="eastAsia" w:ascii="Times New Roman" w:hAnsi="Times New Roman" w:eastAsia="宋体" w:cs="Times New Roman"/>
          <w:i/>
          <w:iCs/>
          <w:lang w:val="en-US" w:eastAsia="zh-CN"/>
        </w:rPr>
        <w:t xml:space="preserve">   </w:t>
      </w:r>
      <w:r>
        <w:t>——</w:t>
      </w:r>
      <w:r>
        <w:rPr>
          <w:rFonts w:ascii="Times New Roman"/>
        </w:rPr>
        <w:t>大气污染物基准氧含量排放浓度</w:t>
      </w:r>
      <w:r>
        <w:rPr>
          <w:rFonts w:hint="eastAsia" w:ascii="宋体" w:hAnsi="宋体" w:eastAsia="宋体" w:cs="宋体"/>
        </w:rPr>
        <w:t>，mg/m</w:t>
      </w:r>
      <w:r>
        <w:rPr>
          <w:rFonts w:hint="eastAsia" w:ascii="宋体" w:hAnsi="宋体" w:eastAsia="宋体" w:cs="宋体"/>
          <w:vertAlign w:val="superscript"/>
        </w:rPr>
        <w:t>3</w:t>
      </w:r>
      <w:r>
        <w:rPr>
          <w:rFonts w:hint="eastAsia" w:ascii="宋体" w:hAnsi="宋体" w:eastAsia="宋体" w:cs="宋体"/>
        </w:rPr>
        <w:t>；</w:t>
      </w:r>
    </w:p>
    <w:p>
      <w:pPr>
        <w:pStyle w:val="22"/>
        <w:ind w:left="0" w:leftChars="0" w:firstLine="420" w:firstLineChars="200"/>
        <w:rPr>
          <w:rFonts w:hint="eastAsia" w:ascii="宋体" w:hAnsi="宋体" w:eastAsia="宋体" w:cs="宋体"/>
        </w:rPr>
      </w:pPr>
      <w:r>
        <w:rPr>
          <w:rFonts w:hint="default" w:ascii="Times New Roman" w:hAnsi="Times New Roman" w:eastAsia="宋体" w:cs="Times New Roman"/>
          <w:i/>
          <w:iCs/>
        </w:rPr>
        <w:t>ρ</w:t>
      </w:r>
      <w:r>
        <w:rPr>
          <w:rFonts w:hint="eastAsia" w:ascii="Times New Roman"/>
          <w:i/>
          <w:lang w:val="en-US" w:eastAsia="zh-CN"/>
        </w:rPr>
        <w:t xml:space="preserve">'   </w:t>
      </w:r>
      <w:r>
        <w:t>——</w:t>
      </w:r>
      <w:r>
        <w:rPr>
          <w:rFonts w:ascii="Times New Roman"/>
        </w:rPr>
        <w:t>实测的大气污染物排放浓度</w:t>
      </w:r>
      <w:r>
        <w:rPr>
          <w:rFonts w:hint="eastAsia" w:ascii="宋体" w:hAnsi="宋体" w:eastAsia="宋体" w:cs="宋体"/>
        </w:rPr>
        <w:t>，mg/m</w:t>
      </w:r>
      <w:r>
        <w:rPr>
          <w:rFonts w:hint="eastAsia" w:ascii="宋体" w:hAnsi="宋体" w:eastAsia="宋体" w:cs="宋体"/>
          <w:vertAlign w:val="superscript"/>
        </w:rPr>
        <w:t>3</w:t>
      </w:r>
      <w:r>
        <w:rPr>
          <w:rFonts w:hint="eastAsia" w:ascii="宋体" w:hAnsi="宋体" w:eastAsia="宋体" w:cs="宋体"/>
        </w:rPr>
        <w:t>；</w:t>
      </w:r>
    </w:p>
    <w:p>
      <w:pPr>
        <w:pStyle w:val="22"/>
        <w:tabs>
          <w:tab w:val="center" w:pos="4677"/>
          <w:tab w:val="clear" w:pos="9298"/>
        </w:tabs>
        <w:ind w:left="0" w:leftChars="0" w:firstLine="420" w:firstLineChars="200"/>
        <w:rPr>
          <w:rFonts w:hint="eastAsia" w:ascii="宋体" w:hAnsi="宋体" w:eastAsia="宋体" w:cs="宋体"/>
          <w:lang w:eastAsia="zh-CN"/>
        </w:rPr>
      </w:pPr>
      <w:r>
        <w:rPr>
          <w:rFonts w:hint="default" w:ascii="Times New Roman" w:hAnsi="Times New Roman" w:eastAsia="宋体" w:cs="Times New Roman"/>
          <w:i/>
          <w:iCs/>
        </w:rPr>
        <w:t>φ</w:t>
      </w:r>
      <w:r>
        <w:rPr>
          <w:rFonts w:hint="default" w:ascii="Times New Roman" w:hAnsi="Times New Roman" w:eastAsia="宋体" w:cs="Times New Roman"/>
          <w:i/>
          <w:iCs w:val="0"/>
        </w:rPr>
        <w:t>(O</w:t>
      </w:r>
      <w:r>
        <w:rPr>
          <w:rFonts w:hint="default" w:ascii="Times New Roman" w:hAnsi="Times New Roman" w:eastAsia="宋体" w:cs="Times New Roman"/>
          <w:i/>
          <w:iCs w:val="0"/>
          <w:vertAlign w:val="subscript"/>
        </w:rPr>
        <w:t>2</w:t>
      </w:r>
      <w:r>
        <w:rPr>
          <w:rFonts w:hint="default" w:ascii="Times New Roman" w:hAnsi="Times New Roman" w:eastAsia="宋体" w:cs="Times New Roman"/>
          <w:i/>
          <w:iCs w:val="0"/>
        </w:rPr>
        <w:t>)</w:t>
      </w:r>
      <w:r>
        <w:t>——</w:t>
      </w:r>
      <w:r>
        <w:rPr>
          <w:rFonts w:ascii="Times New Roman"/>
        </w:rPr>
        <w:t>基准氧</w:t>
      </w:r>
      <w:r>
        <w:rPr>
          <w:rFonts w:hAnsi="宋体"/>
        </w:rPr>
        <w:t>含量</w:t>
      </w:r>
      <w:r>
        <w:rPr>
          <w:rFonts w:hint="eastAsia" w:ascii="宋体" w:hAnsi="宋体" w:eastAsia="宋体" w:cs="宋体"/>
        </w:rPr>
        <w:t>，%</w:t>
      </w:r>
      <w:r>
        <w:rPr>
          <w:rFonts w:hint="eastAsia" w:hAnsi="宋体" w:eastAsia="宋体" w:cs="宋体"/>
          <w:lang w:eastAsia="zh-CN"/>
        </w:rPr>
        <w:t>；</w:t>
      </w:r>
    </w:p>
    <w:p>
      <w:pPr>
        <w:pStyle w:val="22"/>
        <w:ind w:left="0" w:leftChars="0" w:firstLine="420" w:firstLineChars="200"/>
        <w:rPr>
          <w:rFonts w:hint="eastAsia" w:hAnsi="宋体" w:eastAsia="宋体" w:cs="宋体"/>
          <w:lang w:eastAsia="zh-CN"/>
        </w:rPr>
      </w:pPr>
      <w:r>
        <w:rPr>
          <w:rFonts w:hint="default" w:ascii="Times New Roman" w:hAnsi="Times New Roman" w:eastAsia="宋体" w:cs="Times New Roman"/>
          <w:i/>
          <w:iCs/>
        </w:rPr>
        <w:t>φ</w:t>
      </w:r>
      <w:r>
        <w:rPr>
          <w:rFonts w:hint="eastAsia" w:ascii="Times New Roman"/>
          <w:i/>
          <w:lang w:val="en-US" w:eastAsia="zh-CN"/>
        </w:rPr>
        <w:t>'</w:t>
      </w:r>
      <w:r>
        <w:rPr>
          <w:rFonts w:hint="default" w:ascii="Times New Roman" w:hAnsi="Times New Roman" w:eastAsia="宋体" w:cs="Times New Roman"/>
          <w:i/>
          <w:iCs w:val="0"/>
        </w:rPr>
        <w:t>(O</w:t>
      </w:r>
      <w:r>
        <w:rPr>
          <w:rFonts w:hint="default" w:ascii="Times New Roman" w:hAnsi="Times New Roman" w:eastAsia="宋体" w:cs="Times New Roman"/>
          <w:i/>
          <w:iCs w:val="0"/>
          <w:vertAlign w:val="subscript"/>
        </w:rPr>
        <w:t>2</w:t>
      </w:r>
      <w:r>
        <w:rPr>
          <w:rFonts w:hint="default" w:ascii="Times New Roman" w:hAnsi="Times New Roman" w:eastAsia="宋体" w:cs="Times New Roman"/>
          <w:i/>
          <w:iCs w:val="0"/>
        </w:rPr>
        <w:t>)</w:t>
      </w:r>
      <w:r>
        <w:t>——</w:t>
      </w:r>
      <w:r>
        <w:rPr>
          <w:rFonts w:ascii="Times New Roman"/>
        </w:rPr>
        <w:t>实测的氧</w:t>
      </w:r>
      <w:r>
        <w:rPr>
          <w:rFonts w:hAnsi="宋体"/>
        </w:rPr>
        <w:t>含量</w:t>
      </w:r>
      <w:r>
        <w:rPr>
          <w:rFonts w:hint="eastAsia" w:ascii="宋体" w:hAnsi="宋体" w:eastAsia="宋体" w:cs="宋体"/>
        </w:rPr>
        <w:t>，%</w:t>
      </w:r>
      <w:r>
        <w:rPr>
          <w:rFonts w:hint="eastAsia" w:hAnsi="宋体" w:eastAsia="宋体" w:cs="宋体"/>
          <w:lang w:eastAsia="zh-CN"/>
        </w:rPr>
        <w:t>。</w:t>
      </w:r>
    </w:p>
    <w:p>
      <w:pPr>
        <w:pStyle w:val="22"/>
        <w:ind w:left="0" w:leftChars="0" w:firstLine="420" w:firstLineChars="200"/>
        <w:rPr>
          <w:rFonts w:hint="eastAsia" w:hAnsi="宋体" w:eastAsia="宋体" w:cs="宋体"/>
          <w:lang w:eastAsia="zh-CN"/>
        </w:rPr>
      </w:pPr>
    </w:p>
    <w:p>
      <w:pPr>
        <w:pStyle w:val="22"/>
        <w:ind w:left="0" w:leftChars="0" w:firstLine="420" w:firstLineChars="200"/>
        <w:rPr>
          <w:rFonts w:hint="eastAsia" w:hAnsi="宋体" w:eastAsia="宋体" w:cs="宋体"/>
          <w:lang w:eastAsia="zh-CN"/>
        </w:rPr>
      </w:pPr>
    </w:p>
    <w:p>
      <w:pPr>
        <w:pStyle w:val="22"/>
        <w:ind w:left="0" w:leftChars="0" w:firstLine="420" w:firstLineChars="200"/>
        <w:rPr>
          <w:rFonts w:hint="eastAsia" w:hAnsi="宋体" w:eastAsia="宋体" w:cs="宋体"/>
          <w:lang w:eastAsia="zh-CN"/>
        </w:rPr>
      </w:pPr>
    </w:p>
    <w:p>
      <w:pPr>
        <w:pStyle w:val="65"/>
        <w:tabs>
          <w:tab w:val="center" w:pos="4201"/>
          <w:tab w:val="right" w:leader="dot" w:pos="9298"/>
        </w:tabs>
        <w:rPr>
          <w:rFonts w:hint="eastAsia"/>
          <w:strike w:val="0"/>
        </w:rPr>
      </w:pPr>
      <w:r>
        <w:rPr>
          <w:rFonts w:hint="eastAsia"/>
          <w:strike w:val="0"/>
          <w:highlight w:val="none"/>
          <w:lang w:eastAsia="zh-CN"/>
        </w:rPr>
        <w:t>基准氧含量</w:t>
      </w:r>
    </w:p>
    <w:p>
      <w:pPr>
        <w:pStyle w:val="54"/>
        <w:numPr>
          <w:ilvl w:val="0"/>
          <w:numId w:val="0"/>
        </w:numPr>
        <w:tabs>
          <w:tab w:val="center" w:pos="4201"/>
          <w:tab w:val="right" w:leader="dot" w:pos="9298"/>
        </w:tabs>
        <w:jc w:val="right"/>
        <w:rPr>
          <w:rFonts w:hint="eastAsia" w:hAnsi="Times New Roman" w:cs="Times New Roman"/>
          <w:strike w:val="0"/>
          <w:sz w:val="18"/>
          <w:szCs w:val="18"/>
        </w:rPr>
      </w:pPr>
      <w:r>
        <w:rPr>
          <w:rFonts w:hint="eastAsia" w:hAnsi="Times New Roman" w:cs="Times New Roman"/>
          <w:strike w:val="0"/>
          <w:sz w:val="18"/>
          <w:szCs w:val="18"/>
        </w:rPr>
        <w:t>单位：</w:t>
      </w:r>
      <w:r>
        <w:rPr>
          <w:rFonts w:hint="eastAsia" w:hAnsi="Times New Roman" w:cs="Times New Roman"/>
          <w:strike w:val="0"/>
          <w:sz w:val="18"/>
          <w:szCs w:val="18"/>
          <w:lang w:val="en-US" w:eastAsia="zh-CN"/>
        </w:rPr>
        <w:t>%</w:t>
      </w:r>
    </w:p>
    <w:tbl>
      <w:tblPr>
        <w:tblStyle w:val="31"/>
        <w:tblW w:w="4999"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4650"/>
        <w:gridCol w:w="41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26" w:type="pct"/>
            <w:tcBorders>
              <w:tl2br w:val="nil"/>
              <w:tr2bl w:val="nil"/>
            </w:tcBorders>
            <w:noWrap w:val="0"/>
            <w:vAlign w:val="center"/>
          </w:tcPr>
          <w:p>
            <w:pPr>
              <w:kinsoku w:val="0"/>
              <w:overflowPunct w:val="0"/>
              <w:autoSpaceDE w:val="0"/>
              <w:autoSpaceDN w:val="0"/>
              <w:spacing w:before="0" w:beforeLines="0" w:afterLines="0"/>
              <w:ind w:right="0"/>
              <w:jc w:val="center"/>
              <w:rPr>
                <w:rFonts w:hint="default"/>
                <w:strike w:val="0"/>
                <w:sz w:val="18"/>
                <w:szCs w:val="18"/>
                <w:lang w:val="en-US" w:eastAsia="zh-CN"/>
              </w:rPr>
            </w:pPr>
            <w:r>
              <w:rPr>
                <w:rFonts w:hint="eastAsia"/>
                <w:strike w:val="0"/>
                <w:sz w:val="18"/>
                <w:szCs w:val="18"/>
                <w:lang w:val="en-US" w:eastAsia="zh-CN"/>
              </w:rPr>
              <w:t>序号</w:t>
            </w:r>
          </w:p>
        </w:tc>
        <w:tc>
          <w:tcPr>
            <w:tcW w:w="2429" w:type="pct"/>
            <w:tcBorders>
              <w:tl2br w:val="nil"/>
              <w:tr2bl w:val="nil"/>
            </w:tcBorders>
            <w:noWrap w:val="0"/>
            <w:vAlign w:val="center"/>
          </w:tcPr>
          <w:p>
            <w:pPr>
              <w:kinsoku w:val="0"/>
              <w:overflowPunct w:val="0"/>
              <w:autoSpaceDE w:val="0"/>
              <w:autoSpaceDN w:val="0"/>
              <w:spacing w:before="0" w:beforeLines="0" w:afterLines="0"/>
              <w:ind w:right="0"/>
              <w:jc w:val="center"/>
              <w:rPr>
                <w:strike w:val="0"/>
                <w:sz w:val="18"/>
                <w:szCs w:val="18"/>
              </w:rPr>
            </w:pPr>
            <w:r>
              <w:rPr>
                <w:rFonts w:hint="eastAsia"/>
                <w:strike w:val="0"/>
                <w:sz w:val="18"/>
                <w:szCs w:val="18"/>
                <w:lang w:eastAsia="zh-CN"/>
              </w:rPr>
              <w:t>燃烧装置</w:t>
            </w:r>
            <w:r>
              <w:rPr>
                <w:strike w:val="0"/>
                <w:sz w:val="18"/>
                <w:szCs w:val="18"/>
              </w:rPr>
              <w:t>类型</w:t>
            </w:r>
          </w:p>
        </w:tc>
        <w:tc>
          <w:tcPr>
            <w:tcW w:w="2143" w:type="pct"/>
            <w:tcBorders>
              <w:tl2br w:val="nil"/>
              <w:tr2bl w:val="nil"/>
            </w:tcBorders>
            <w:noWrap w:val="0"/>
            <w:vAlign w:val="center"/>
          </w:tcPr>
          <w:p>
            <w:pPr>
              <w:kinsoku w:val="0"/>
              <w:overflowPunct w:val="0"/>
              <w:autoSpaceDE w:val="0"/>
              <w:autoSpaceDN w:val="0"/>
              <w:spacing w:before="0" w:beforeLines="0" w:afterLines="0"/>
              <w:ind w:right="0"/>
              <w:jc w:val="center"/>
              <w:rPr>
                <w:rFonts w:hint="eastAsia" w:ascii="宋体" w:hAnsi="宋体" w:eastAsia="宋体" w:cs="宋体"/>
                <w:strike w:val="0"/>
                <w:sz w:val="18"/>
                <w:szCs w:val="18"/>
              </w:rPr>
            </w:pPr>
            <w:r>
              <w:rPr>
                <w:rFonts w:hint="eastAsia" w:ascii="宋体" w:hAnsi="宋体" w:eastAsia="宋体" w:cs="宋体"/>
                <w:strike w:val="0"/>
                <w:sz w:val="18"/>
                <w:szCs w:val="18"/>
              </w:rPr>
              <w:t>基准氧含量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426" w:type="pct"/>
            <w:tcBorders>
              <w:tl2br w:val="nil"/>
              <w:tr2bl w:val="nil"/>
            </w:tcBorders>
            <w:noWrap w:val="0"/>
            <w:vAlign w:val="center"/>
          </w:tcPr>
          <w:p>
            <w:pPr>
              <w:kinsoku w:val="0"/>
              <w:overflowPunct w:val="0"/>
              <w:autoSpaceDE w:val="0"/>
              <w:autoSpaceDN w:val="0"/>
              <w:spacing w:before="0" w:beforeLines="0" w:afterLines="0"/>
              <w:ind w:right="0" w:rightChars="0"/>
              <w:jc w:val="center"/>
              <w:rPr>
                <w:rFonts w:hint="eastAsia" w:ascii="宋体" w:hAnsi="宋体" w:eastAsia="宋体" w:cs="宋体"/>
                <w:strike w:val="0"/>
                <w:sz w:val="18"/>
                <w:szCs w:val="18"/>
                <w:lang w:val="en-US" w:eastAsia="zh-CN"/>
              </w:rPr>
            </w:pPr>
            <w:r>
              <w:rPr>
                <w:rFonts w:hint="eastAsia" w:ascii="宋体" w:hAnsi="宋体" w:cs="宋体"/>
                <w:strike w:val="0"/>
                <w:sz w:val="18"/>
                <w:szCs w:val="18"/>
                <w:lang w:val="en-US" w:eastAsia="zh-CN"/>
              </w:rPr>
              <w:t>1</w:t>
            </w:r>
          </w:p>
        </w:tc>
        <w:tc>
          <w:tcPr>
            <w:tcW w:w="2429" w:type="pct"/>
            <w:tcBorders>
              <w:tl2br w:val="nil"/>
              <w:tr2bl w:val="nil"/>
            </w:tcBorders>
            <w:noWrap w:val="0"/>
            <w:vAlign w:val="center"/>
          </w:tcPr>
          <w:p>
            <w:pPr>
              <w:kinsoku w:val="0"/>
              <w:overflowPunct w:val="0"/>
              <w:autoSpaceDE w:val="0"/>
              <w:autoSpaceDN w:val="0"/>
              <w:spacing w:before="0" w:beforeLines="0" w:afterLines="0"/>
              <w:ind w:right="0" w:rightChars="0"/>
              <w:jc w:val="center"/>
              <w:rPr>
                <w:rFonts w:hint="eastAsia" w:ascii="宋体" w:hAnsi="宋体" w:eastAsia="宋体" w:cs="宋体"/>
                <w:strike w:val="0"/>
                <w:sz w:val="18"/>
                <w:szCs w:val="18"/>
              </w:rPr>
            </w:pPr>
            <w:r>
              <w:rPr>
                <w:strike w:val="0"/>
                <w:sz w:val="18"/>
                <w:szCs w:val="18"/>
              </w:rPr>
              <w:t>燃气锅炉</w:t>
            </w:r>
          </w:p>
        </w:tc>
        <w:tc>
          <w:tcPr>
            <w:tcW w:w="2143" w:type="pct"/>
            <w:tcBorders>
              <w:tl2br w:val="nil"/>
              <w:tr2bl w:val="nil"/>
            </w:tcBorders>
            <w:noWrap w:val="0"/>
            <w:vAlign w:val="center"/>
          </w:tcPr>
          <w:p>
            <w:pPr>
              <w:kinsoku w:val="0"/>
              <w:overflowPunct w:val="0"/>
              <w:autoSpaceDE w:val="0"/>
              <w:autoSpaceDN w:val="0"/>
              <w:spacing w:before="0" w:beforeLines="0" w:afterLines="0"/>
              <w:ind w:right="0"/>
              <w:jc w:val="center"/>
              <w:rPr>
                <w:rFonts w:hint="eastAsia" w:ascii="宋体" w:hAnsi="宋体" w:eastAsia="宋体" w:cs="宋体"/>
                <w:strike w:val="0"/>
                <w:sz w:val="18"/>
                <w:szCs w:val="18"/>
              </w:rPr>
            </w:pPr>
            <w:r>
              <w:rPr>
                <w:rFonts w:hint="eastAsia" w:ascii="宋体" w:hAnsi="宋体" w:eastAsia="宋体" w:cs="宋体"/>
                <w:strike w:val="0"/>
                <w:sz w:val="18"/>
                <w:szCs w:val="18"/>
                <w:lang w:val="en-US" w:eastAsia="zh-CN"/>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426" w:type="pct"/>
            <w:tcBorders>
              <w:tl2br w:val="nil"/>
              <w:tr2bl w:val="nil"/>
            </w:tcBorders>
            <w:noWrap w:val="0"/>
            <w:vAlign w:val="center"/>
          </w:tcPr>
          <w:p>
            <w:pPr>
              <w:kinsoku w:val="0"/>
              <w:overflowPunct w:val="0"/>
              <w:autoSpaceDE w:val="0"/>
              <w:autoSpaceDN w:val="0"/>
              <w:spacing w:before="0" w:beforeLines="0" w:afterLines="0"/>
              <w:ind w:right="0" w:rightChars="0"/>
              <w:jc w:val="center"/>
              <w:rPr>
                <w:rFonts w:hint="eastAsia" w:ascii="宋体" w:hAnsi="宋体" w:eastAsia="宋体" w:cs="宋体"/>
                <w:strike w:val="0"/>
                <w:sz w:val="18"/>
                <w:szCs w:val="18"/>
                <w:lang w:val="en-US" w:eastAsia="zh-CN"/>
              </w:rPr>
            </w:pPr>
            <w:r>
              <w:rPr>
                <w:rFonts w:hint="eastAsia" w:ascii="宋体" w:hAnsi="宋体" w:cs="宋体"/>
                <w:strike w:val="0"/>
                <w:sz w:val="18"/>
                <w:szCs w:val="18"/>
                <w:lang w:val="en-US" w:eastAsia="zh-CN"/>
              </w:rPr>
              <w:t>2</w:t>
            </w:r>
          </w:p>
        </w:tc>
        <w:tc>
          <w:tcPr>
            <w:tcW w:w="2429" w:type="pct"/>
            <w:tcBorders>
              <w:tl2br w:val="nil"/>
              <w:tr2bl w:val="nil"/>
            </w:tcBorders>
            <w:noWrap w:val="0"/>
            <w:vAlign w:val="center"/>
          </w:tcPr>
          <w:p>
            <w:pPr>
              <w:kinsoku w:val="0"/>
              <w:overflowPunct w:val="0"/>
              <w:autoSpaceDE w:val="0"/>
              <w:autoSpaceDN w:val="0"/>
              <w:spacing w:before="0" w:beforeLines="0" w:afterLines="0"/>
              <w:ind w:right="0" w:rightChars="0"/>
              <w:jc w:val="center"/>
              <w:rPr>
                <w:rFonts w:hint="eastAsia" w:ascii="宋体" w:hAnsi="宋体" w:eastAsia="宋体" w:cs="宋体"/>
                <w:strike w:val="0"/>
                <w:sz w:val="18"/>
                <w:szCs w:val="18"/>
                <w:lang w:eastAsia="zh-CN"/>
              </w:rPr>
            </w:pPr>
            <w:r>
              <w:rPr>
                <w:strike w:val="0"/>
                <w:sz w:val="18"/>
                <w:szCs w:val="18"/>
              </w:rPr>
              <w:t>燃气</w:t>
            </w:r>
            <w:r>
              <w:rPr>
                <w:rFonts w:hint="eastAsia"/>
                <w:strike w:val="0"/>
                <w:sz w:val="18"/>
                <w:szCs w:val="18"/>
                <w:lang w:eastAsia="zh-CN"/>
              </w:rPr>
              <w:t>轮机组</w:t>
            </w:r>
          </w:p>
        </w:tc>
        <w:tc>
          <w:tcPr>
            <w:tcW w:w="2143" w:type="pct"/>
            <w:tcBorders>
              <w:tl2br w:val="nil"/>
              <w:tr2bl w:val="nil"/>
            </w:tcBorders>
            <w:noWrap w:val="0"/>
            <w:vAlign w:val="center"/>
          </w:tcPr>
          <w:p>
            <w:pPr>
              <w:kinsoku w:val="0"/>
              <w:overflowPunct w:val="0"/>
              <w:autoSpaceDE w:val="0"/>
              <w:autoSpaceDN w:val="0"/>
              <w:spacing w:before="0" w:beforeLines="0" w:afterLines="0"/>
              <w:ind w:right="0"/>
              <w:jc w:val="center"/>
              <w:rPr>
                <w:rFonts w:hint="default" w:ascii="宋体" w:hAnsi="宋体" w:eastAsia="宋体" w:cs="宋体"/>
                <w:strike w:val="0"/>
                <w:sz w:val="18"/>
                <w:szCs w:val="18"/>
                <w:lang w:val="en-US" w:eastAsia="zh-CN"/>
              </w:rPr>
            </w:pPr>
            <w:r>
              <w:rPr>
                <w:rFonts w:hint="eastAsia" w:ascii="宋体" w:hAnsi="宋体" w:eastAsia="宋体" w:cs="宋体"/>
                <w:strike w:val="0"/>
                <w:sz w:val="18"/>
                <w:szCs w:val="18"/>
                <w:lang w:val="en-US" w:eastAsia="zh-CN"/>
              </w:rPr>
              <w:t>15</w:t>
            </w:r>
          </w:p>
        </w:tc>
      </w:tr>
    </w:tbl>
    <w:p>
      <w:pPr>
        <w:pStyle w:val="22"/>
        <w:ind w:left="0" w:leftChars="0" w:firstLine="0" w:firstLineChars="0"/>
        <w:rPr>
          <w:rFonts w:hint="eastAsia" w:hAnsi="宋体" w:eastAsia="宋体" w:cs="宋体"/>
          <w:lang w:eastAsia="zh-CN"/>
        </w:rPr>
      </w:pPr>
    </w:p>
    <w:p>
      <w:pPr>
        <w:pStyle w:val="54"/>
        <w:rPr>
          <w:rFonts w:hint="eastAsia"/>
          <w:highlight w:val="none"/>
        </w:rPr>
      </w:pPr>
      <w:r>
        <w:rPr>
          <w:rFonts w:hint="eastAsia"/>
          <w:highlight w:val="none"/>
          <w:lang w:val="en-US" w:eastAsia="zh-CN"/>
        </w:rPr>
        <w:t>采用手工监测时，按照监测规范要求获取的任意1 h平均浓度高于本文件规定的排放浓度限值，判定为超标排放。</w:t>
      </w:r>
    </w:p>
    <w:p>
      <w:pPr>
        <w:pStyle w:val="54"/>
        <w:rPr>
          <w:rFonts w:hint="eastAsia"/>
          <w:highlight w:val="none"/>
        </w:rPr>
      </w:pPr>
      <w:r>
        <w:rPr>
          <w:rFonts w:hint="eastAsia"/>
          <w:highlight w:val="none"/>
          <w:lang w:eastAsia="zh-CN"/>
        </w:rPr>
        <w:t>采用在线监测时，</w:t>
      </w:r>
      <w:r>
        <w:rPr>
          <w:rFonts w:hint="eastAsia"/>
          <w:highlight w:val="none"/>
          <w:lang w:val="en-US" w:eastAsia="zh-CN"/>
        </w:rPr>
        <w:t>在正常工况下</w:t>
      </w:r>
      <w:r>
        <w:rPr>
          <w:rFonts w:hint="eastAsia"/>
          <w:highlight w:val="none"/>
          <w:lang w:eastAsia="zh-CN"/>
        </w:rPr>
        <w:t>按照监测规范要求</w:t>
      </w:r>
      <w:r>
        <w:rPr>
          <w:rFonts w:hint="eastAsia"/>
          <w:highlight w:val="none"/>
          <w:lang w:val="en-US" w:eastAsia="zh-CN"/>
        </w:rPr>
        <w:t>获取的监测数据计算得到的任意有效小时均值高于本文件规定的排放浓度限值，</w:t>
      </w:r>
      <w:r>
        <w:rPr>
          <w:rFonts w:hint="eastAsia"/>
          <w:highlight w:val="none"/>
          <w:lang w:eastAsia="zh-CN"/>
        </w:rPr>
        <w:t>判定为超标</w:t>
      </w:r>
      <w:r>
        <w:rPr>
          <w:rFonts w:hint="eastAsia"/>
          <w:highlight w:val="none"/>
          <w:lang w:val="en-US" w:eastAsia="zh-CN"/>
        </w:rPr>
        <w:t>排放</w:t>
      </w:r>
      <w:r>
        <w:rPr>
          <w:rFonts w:hint="eastAsia"/>
          <w:highlight w:val="none"/>
          <w:lang w:eastAsia="zh-CN"/>
        </w:rPr>
        <w:t>。</w:t>
      </w:r>
    </w:p>
    <w:p>
      <w:pPr>
        <w:pStyle w:val="87"/>
        <w:rPr>
          <w:rFonts w:hint="eastAsia"/>
          <w:color w:val="auto"/>
        </w:rPr>
      </w:pPr>
      <w:bookmarkStart w:id="35" w:name="_Toc2650"/>
      <w:bookmarkStart w:id="36" w:name="_Toc32508539"/>
      <w:r>
        <w:rPr>
          <w:rFonts w:hint="eastAsia"/>
          <w:color w:val="auto"/>
        </w:rPr>
        <w:t>实施与监督</w:t>
      </w:r>
      <w:bookmarkEnd w:id="35"/>
      <w:bookmarkEnd w:id="36"/>
    </w:p>
    <w:p>
      <w:pPr>
        <w:pStyle w:val="54"/>
        <w:rPr>
          <w:rFonts w:hint="eastAsia"/>
        </w:rPr>
      </w:pPr>
      <w:r>
        <w:rPr>
          <w:rFonts w:hint="eastAsia"/>
        </w:rPr>
        <w:t>本</w:t>
      </w:r>
      <w:r>
        <w:rPr>
          <w:rFonts w:hint="eastAsia"/>
          <w:lang w:eastAsia="zh-CN"/>
        </w:rPr>
        <w:t>文件</w:t>
      </w:r>
      <w:r>
        <w:rPr>
          <w:rFonts w:hint="eastAsia"/>
        </w:rPr>
        <w:t>由县级以上人民政府生态环境行政主管部门负责监督实施。</w:t>
      </w:r>
    </w:p>
    <w:p>
      <w:pPr>
        <w:pStyle w:val="54"/>
        <w:rPr>
          <w:rFonts w:hint="eastAsia"/>
        </w:rPr>
      </w:pPr>
      <w:r>
        <w:rPr>
          <w:rFonts w:hint="eastAsia"/>
          <w:lang w:eastAsia="zh-CN"/>
        </w:rPr>
        <w:t>燃气电厂是实施本文件的责任主体，应采取必要措施，达到本文件规定的污染物排放控制要求。</w:t>
      </w:r>
    </w:p>
    <w:p>
      <w:pPr>
        <w:pStyle w:val="64"/>
        <w:bidi w:val="0"/>
        <w:rPr>
          <w:rFonts w:hint="eastAsia"/>
          <w:lang w:eastAsia="zh-CN"/>
        </w:rPr>
      </w:pPr>
      <w:bookmarkStart w:id="37" w:name="_Toc2621"/>
      <w:bookmarkStart w:id="38" w:name="BKCKWX"/>
      <w:r>
        <w:rPr>
          <w:rFonts w:hint="eastAsia"/>
          <w:lang w:eastAsia="zh-CN"/>
        </w:rPr>
        <w:t>参 考 文 献</w:t>
      </w:r>
      <w:bookmarkEnd w:id="37"/>
      <w:bookmarkEnd w:id="38"/>
    </w:p>
    <w:p>
      <w:pPr>
        <w:pStyle w:val="22"/>
        <w:rPr>
          <w:rFonts w:hint="eastAsia" w:hAnsi="宋体"/>
          <w:highlight w:val="none"/>
          <w:lang w:val="en-US" w:eastAsia="zh-CN"/>
        </w:rPr>
      </w:pPr>
      <w:r>
        <w:rPr>
          <w:rFonts w:hint="eastAsia"/>
          <w:highlight w:val="none"/>
          <w:lang w:val="en-US" w:eastAsia="zh-CN"/>
        </w:rPr>
        <w:t>[1]</w:t>
      </w:r>
      <w:r>
        <w:rPr>
          <w:rFonts w:hint="eastAsia" w:ascii="宋体" w:hAnsi="宋体"/>
          <w:highlight w:val="none"/>
        </w:rPr>
        <w:t>GB 1</w:t>
      </w:r>
      <w:r>
        <w:rPr>
          <w:rFonts w:hint="eastAsia" w:hAnsi="宋体"/>
          <w:highlight w:val="none"/>
          <w:lang w:val="en-US" w:eastAsia="zh-CN"/>
        </w:rPr>
        <w:t>3223—2011  火电厂大气污染物排放标准</w:t>
      </w:r>
    </w:p>
    <w:p>
      <w:pPr>
        <w:pStyle w:val="22"/>
        <w:ind w:firstLine="420" w:firstLineChars="200"/>
        <w:rPr>
          <w:rFonts w:hint="eastAsia"/>
          <w:highlight w:val="none"/>
          <w:lang w:val="en-US" w:eastAsia="zh-CN"/>
        </w:rPr>
      </w:pPr>
      <w:r>
        <w:rPr>
          <w:rFonts w:hint="eastAsia"/>
          <w:highlight w:val="none"/>
          <w:lang w:val="en-US" w:eastAsia="zh-CN"/>
        </w:rPr>
        <w:t>[</w:t>
      </w:r>
      <w:r>
        <w:rPr>
          <w:rFonts w:hint="eastAsia"/>
          <w:b w:val="0"/>
          <w:bCs w:val="0"/>
          <w:highlight w:val="none"/>
          <w:lang w:val="en-US" w:eastAsia="zh-CN"/>
        </w:rPr>
        <w:t>2</w:t>
      </w:r>
      <w:r>
        <w:rPr>
          <w:rFonts w:hint="eastAsia"/>
          <w:highlight w:val="none"/>
          <w:lang w:val="en-US" w:eastAsia="zh-CN"/>
        </w:rPr>
        <w:t>]GB 39726—2020  铸造工业大气污染物排放标准</w:t>
      </w:r>
    </w:p>
    <w:p>
      <w:pPr>
        <w:pStyle w:val="22"/>
        <w:rPr>
          <w:rFonts w:hint="eastAsia" w:ascii="宋体" w:hAnsi="宋体"/>
          <w:highlight w:val="none"/>
        </w:rPr>
      </w:pPr>
      <w:r>
        <w:rPr>
          <w:rFonts w:hint="eastAsia"/>
          <w:highlight w:val="none"/>
          <w:lang w:val="en-US" w:eastAsia="zh-CN"/>
        </w:rPr>
        <w:t>[3]</w:t>
      </w:r>
      <w:r>
        <w:rPr>
          <w:rFonts w:hint="eastAsia" w:ascii="宋体" w:hAnsi="宋体"/>
          <w:highlight w:val="none"/>
        </w:rPr>
        <w:t xml:space="preserve">HJ </w:t>
      </w:r>
      <w:r>
        <w:rPr>
          <w:rFonts w:hint="eastAsia" w:hAnsi="宋体" w:eastAsia="宋体" w:cs="宋体"/>
          <w:highlight w:val="none"/>
          <w:lang w:val="en-US" w:eastAsia="zh-CN"/>
        </w:rPr>
        <w:t>945.1</w:t>
      </w:r>
      <w:r>
        <w:rPr>
          <w:rFonts w:hint="eastAsia"/>
          <w:highlight w:val="none"/>
          <w:lang w:val="en-US" w:eastAsia="zh-CN"/>
        </w:rPr>
        <w:t>—2018</w:t>
      </w:r>
      <w:r>
        <w:rPr>
          <w:rFonts w:hint="eastAsia" w:hAnsi="宋体"/>
          <w:highlight w:val="none"/>
          <w:lang w:val="en-US" w:eastAsia="zh-CN"/>
        </w:rPr>
        <w:t xml:space="preserve">  国家大气污染物排放标准制订技术导则</w:t>
      </w:r>
      <w:r>
        <w:rPr>
          <w:rFonts w:hAnsi="宋体"/>
          <w:highlight w:val="none"/>
        </w:rPr>
        <w:t xml:space="preserve"> </w:t>
      </w:r>
    </w:p>
    <w:p>
      <w:pPr>
        <w:pStyle w:val="22"/>
        <w:ind w:firstLine="420" w:firstLineChars="200"/>
        <w:rPr>
          <w:rFonts w:hint="eastAsia"/>
          <w:lang w:val="en-US" w:eastAsia="zh-CN"/>
        </w:rPr>
      </w:pPr>
      <w:r>
        <w:rPr>
          <w:rFonts w:hint="eastAsia"/>
          <w:lang w:val="en-US" w:eastAsia="zh-CN"/>
        </w:rPr>
        <w:t>[4]《环境监测管理办法》（国家环境保护总局令 第39号）</w:t>
      </w:r>
    </w:p>
    <w:p>
      <w:pPr>
        <w:pStyle w:val="22"/>
        <w:ind w:firstLine="420" w:firstLineChars="200"/>
        <w:rPr>
          <w:rFonts w:hint="default"/>
          <w:lang w:val="en-US" w:eastAsia="zh-CN"/>
        </w:rPr>
      </w:pPr>
      <w:r>
        <w:rPr>
          <w:rFonts w:hint="eastAsia"/>
          <w:lang w:val="en-US" w:eastAsia="zh-CN"/>
        </w:rPr>
        <w:t>[5]《污染源自动监控管理办法》（国家环境保护总局令 第28号）</w:t>
      </w:r>
    </w:p>
    <w:p>
      <w:pPr>
        <w:pStyle w:val="95"/>
        <w:rPr>
          <w:rFonts w:hint="eastAsia"/>
        </w:rPr>
      </w:pPr>
      <w:r>
        <w:t>_________________________________</w:t>
      </w:r>
    </w:p>
    <w:sectPr>
      <w:pgSz w:w="11906" w:h="16838"/>
      <w:pgMar w:top="567" w:right="1134" w:bottom="1134" w:left="1418" w:header="1418" w:footer="1134" w:gutter="0"/>
      <w:pgBorders>
        <w:top w:val="none" w:sz="0" w:space="0"/>
        <w:left w:val="none" w:sz="0" w:space="0"/>
        <w:bottom w:val="none" w:sz="0" w:space="0"/>
        <w:right w:val="none" w:sz="0" w:space="0"/>
      </w:pgBorders>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0" w:usb3="00000000" w:csb0="4002009F" w:csb1="DFD7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bidi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7"/>
      <w:bidi w:val="0"/>
    </w:pPr>
    <w:r>
      <w:fldChar w:fldCharType="begin"/>
    </w:r>
    <w:r>
      <w:instrText xml:space="preserve"> PAGE  \* MERGEFORMAT </w:instrText>
    </w:r>
    <w:r>
      <w:fldChar w:fldCharType="separate"/>
    </w:r>
    <w: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bidi w:val="0"/>
    </w:pPr>
    <w:r>
      <w:fldChar w:fldCharType="begin"/>
    </w:r>
    <w:r>
      <w:instrText xml:space="preserve"> PAGE  \* MERGEFORMAT </w:instrText>
    </w:r>
    <w:r>
      <w:fldChar w:fldCharType="separate"/>
    </w:r>
    <w: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bidi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8"/>
      <w:bidi w:val="0"/>
      <w:rPr>
        <w:rFonts w:hint="eastAsia"/>
        <w:lang w:eastAsia="zh-CN"/>
      </w:rPr>
    </w:pPr>
    <w:r>
      <w:rPr>
        <w:rFonts w:hint="eastAsia"/>
        <w:lang w:eastAsia="zh-CN"/>
      </w:rPr>
      <w:t>DB32/ 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4"/>
      <w:bidi w:val="0"/>
    </w:pPr>
    <w:r>
      <w:t>DB32/ XXXXX</w:t>
    </w:r>
    <w:r>
      <w:rPr>
        <w:rFonts w:hint="eastAsia"/>
      </w:rP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128"/>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7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86"/>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9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8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8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5"/>
      <w:suff w:val="nothing"/>
      <w:lvlText w:val="%1.%2.%3　"/>
      <w:lvlJc w:val="left"/>
      <w:pPr>
        <w:ind w:left="0" w:firstLine="0"/>
      </w:pPr>
      <w:rPr>
        <w:rFonts w:hint="eastAsia" w:ascii="黑体" w:hAnsi="Times New Roman" w:eastAsia="黑体"/>
        <w:b w:val="0"/>
        <w:i w:val="0"/>
        <w:sz w:val="21"/>
      </w:rPr>
    </w:lvl>
    <w:lvl w:ilvl="3" w:tentative="0">
      <w:start w:val="1"/>
      <w:numFmt w:val="decimal"/>
      <w:pStyle w:val="44"/>
      <w:suff w:val="nothing"/>
      <w:lvlText w:val="%1.%2.%3.%4　"/>
      <w:lvlJc w:val="left"/>
      <w:pPr>
        <w:ind w:left="0" w:firstLine="0"/>
      </w:pPr>
      <w:rPr>
        <w:rFonts w:hint="eastAsia" w:ascii="黑体" w:hAnsi="Times New Roman" w:eastAsia="黑体"/>
        <w:b w:val="0"/>
        <w:i w:val="0"/>
        <w:sz w:val="21"/>
      </w:rPr>
    </w:lvl>
    <w:lvl w:ilvl="4" w:tentative="0">
      <w:start w:val="1"/>
      <w:numFmt w:val="decimal"/>
      <w:pStyle w:val="43"/>
      <w:suff w:val="nothing"/>
      <w:lvlText w:val="%1.%2.%3.%4.%5　"/>
      <w:lvlJc w:val="left"/>
      <w:pPr>
        <w:ind w:left="0" w:firstLine="0"/>
      </w:pPr>
      <w:rPr>
        <w:rFonts w:hint="eastAsia" w:ascii="黑体" w:hAnsi="Times New Roman" w:eastAsia="黑体"/>
        <w:b w:val="0"/>
        <w:i w:val="0"/>
        <w:sz w:val="21"/>
      </w:rPr>
    </w:lvl>
    <w:lvl w:ilvl="5" w:tentative="0">
      <w:start w:val="1"/>
      <w:numFmt w:val="decimal"/>
      <w:pStyle w:val="4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19"/>
      <w:suff w:val="space"/>
      <w:lvlText w:val="%1"/>
      <w:lvlJc w:val="left"/>
      <w:pPr>
        <w:ind w:left="623" w:hanging="425"/>
      </w:pPr>
      <w:rPr>
        <w:rFonts w:hint="eastAsia"/>
      </w:rPr>
    </w:lvl>
    <w:lvl w:ilvl="1" w:tentative="0">
      <w:start w:val="1"/>
      <w:numFmt w:val="decimal"/>
      <w:pStyle w:val="11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69"/>
      <w:suff w:val="nothing"/>
      <w:lvlText w:val="%1——"/>
      <w:lvlJc w:val="left"/>
      <w:pPr>
        <w:ind w:left="833" w:hanging="408"/>
      </w:pPr>
      <w:rPr>
        <w:rFonts w:hint="eastAsia"/>
      </w:rPr>
    </w:lvl>
    <w:lvl w:ilvl="1" w:tentative="0">
      <w:start w:val="1"/>
      <w:numFmt w:val="bullet"/>
      <w:pStyle w:val="123"/>
      <w:lvlText w:val=""/>
      <w:lvlJc w:val="left"/>
      <w:pPr>
        <w:tabs>
          <w:tab w:val="left" w:pos="760"/>
        </w:tabs>
        <w:ind w:left="1264" w:hanging="413"/>
      </w:pPr>
      <w:rPr>
        <w:rFonts w:hint="default" w:ascii="Symbol" w:hAnsi="Symbol"/>
        <w:color w:val="auto"/>
      </w:rPr>
    </w:lvl>
    <w:lvl w:ilvl="2" w:tentative="0">
      <w:start w:val="1"/>
      <w:numFmt w:val="bullet"/>
      <w:pStyle w:val="10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73"/>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01"/>
      <w:lvlText w:val="%2)"/>
      <w:lvlJc w:val="left"/>
      <w:pPr>
        <w:tabs>
          <w:tab w:val="left" w:pos="1260"/>
        </w:tabs>
        <w:ind w:left="1259" w:hanging="419"/>
      </w:pPr>
      <w:rPr>
        <w:rFonts w:hint="eastAsia"/>
      </w:rPr>
    </w:lvl>
    <w:lvl w:ilvl="2" w:tentative="0">
      <w:start w:val="1"/>
      <w:numFmt w:val="decimal"/>
      <w:pStyle w:val="7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12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3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53"/>
      <w:lvlText w:val="%1"/>
      <w:lvlJc w:val="left"/>
      <w:pPr>
        <w:tabs>
          <w:tab w:val="left" w:pos="0"/>
        </w:tabs>
        <w:ind w:left="0" w:hanging="425"/>
      </w:pPr>
      <w:rPr>
        <w:rFonts w:hint="eastAsia"/>
      </w:rPr>
    </w:lvl>
    <w:lvl w:ilvl="1" w:tentative="0">
      <w:start w:val="1"/>
      <w:numFmt w:val="decimal"/>
      <w:pStyle w:val="8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6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7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7"/>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pStyle w:val="58"/>
      <w:suff w:val="nothing"/>
      <w:lvlText w:val="%1.%2.%3.%4.%5　"/>
      <w:lvlJc w:val="left"/>
      <w:pPr>
        <w:ind w:left="0" w:firstLine="0"/>
      </w:pPr>
      <w:rPr>
        <w:rFonts w:hint="eastAsia" w:ascii="黑体" w:hAnsi="Times New Roman" w:eastAsia="黑体"/>
        <w:b w:val="0"/>
        <w:i w:val="0"/>
        <w:sz w:val="21"/>
      </w:rPr>
    </w:lvl>
    <w:lvl w:ilvl="5" w:tentative="0">
      <w:start w:val="1"/>
      <w:numFmt w:val="decimal"/>
      <w:pStyle w:val="57"/>
      <w:suff w:val="nothing"/>
      <w:lvlText w:val="%1.%2.%3.%4.%5.%6　"/>
      <w:lvlJc w:val="left"/>
      <w:pPr>
        <w:ind w:left="0" w:firstLine="0"/>
      </w:pPr>
      <w:rPr>
        <w:rFonts w:hint="eastAsia" w:ascii="黑体" w:hAnsi="Times New Roman" w:eastAsia="黑体"/>
        <w:b w:val="0"/>
        <w:i w:val="0"/>
        <w:sz w:val="21"/>
      </w:rPr>
    </w:lvl>
    <w:lvl w:ilvl="6" w:tentative="0">
      <w:start w:val="1"/>
      <w:numFmt w:val="decimal"/>
      <w:pStyle w:val="12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72"/>
      <w:lvlText w:val="%1)"/>
      <w:lvlJc w:val="left"/>
      <w:pPr>
        <w:tabs>
          <w:tab w:val="left" w:pos="839"/>
        </w:tabs>
        <w:ind w:left="839" w:hanging="419"/>
      </w:pPr>
      <w:rPr>
        <w:rFonts w:hint="eastAsia" w:ascii="宋体" w:eastAsia="宋体"/>
        <w:b w:val="0"/>
        <w:i w:val="0"/>
        <w:sz w:val="21"/>
      </w:rPr>
    </w:lvl>
    <w:lvl w:ilvl="1" w:tentative="0">
      <w:start w:val="1"/>
      <w:numFmt w:val="decimal"/>
      <w:pStyle w:val="7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6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12"/>
  </w:num>
  <w:num w:numId="4">
    <w:abstractNumId w:val="14"/>
  </w:num>
  <w:num w:numId="5">
    <w:abstractNumId w:val="16"/>
  </w:num>
  <w:num w:numId="6">
    <w:abstractNumId w:val="13"/>
  </w:num>
  <w:num w:numId="7">
    <w:abstractNumId w:val="7"/>
  </w:num>
  <w:num w:numId="8">
    <w:abstractNumId w:val="15"/>
  </w:num>
  <w:num w:numId="9">
    <w:abstractNumId w:val="9"/>
  </w:num>
  <w:num w:numId="10">
    <w:abstractNumId w:val="1"/>
  </w:num>
  <w:num w:numId="11">
    <w:abstractNumId w:val="2"/>
  </w:num>
  <w:num w:numId="12">
    <w:abstractNumId w:val="4"/>
  </w:num>
  <w:num w:numId="13">
    <w:abstractNumId w:val="3"/>
  </w:num>
  <w:num w:numId="14">
    <w:abstractNumId w:val="6"/>
  </w:num>
  <w:num w:numId="15">
    <w:abstractNumId w:val="10"/>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trackRevisions w:val="1"/>
  <w:documentProtection w:edit="forms" w:enforcement="0"/>
  <w:defaultTabStop w:val="420"/>
  <w:hyphenationZone w:val="360"/>
  <w:evenAndOddHeaders w:val="1"/>
  <w:drawingGridHorizontalSpacing w:val="105"/>
  <w:drawingGridVerticalSpacing w:val="156"/>
  <w:displayHorizontalDrawingGridEvery w:val="1"/>
  <w:displayVerticalDrawingGridEvery w:val="1"/>
  <w:doNotShadeFormData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A45D79"/>
    <w:rsid w:val="00000244"/>
    <w:rsid w:val="0000185F"/>
    <w:rsid w:val="0000586F"/>
    <w:rsid w:val="00013D86"/>
    <w:rsid w:val="00013E02"/>
    <w:rsid w:val="00016D08"/>
    <w:rsid w:val="0002143C"/>
    <w:rsid w:val="00025A65"/>
    <w:rsid w:val="00026C31"/>
    <w:rsid w:val="00027280"/>
    <w:rsid w:val="000320A7"/>
    <w:rsid w:val="00035925"/>
    <w:rsid w:val="00067CDF"/>
    <w:rsid w:val="00074FBE"/>
    <w:rsid w:val="00083A09"/>
    <w:rsid w:val="0009005E"/>
    <w:rsid w:val="00092857"/>
    <w:rsid w:val="000A20A9"/>
    <w:rsid w:val="000A48B1"/>
    <w:rsid w:val="000B3143"/>
    <w:rsid w:val="000C6B05"/>
    <w:rsid w:val="000C6DD6"/>
    <w:rsid w:val="000C73D4"/>
    <w:rsid w:val="000D3D4C"/>
    <w:rsid w:val="000D4F51"/>
    <w:rsid w:val="000D718B"/>
    <w:rsid w:val="000E0C46"/>
    <w:rsid w:val="000F030C"/>
    <w:rsid w:val="000F129C"/>
    <w:rsid w:val="001056DE"/>
    <w:rsid w:val="001124C0"/>
    <w:rsid w:val="00113E7A"/>
    <w:rsid w:val="0013175F"/>
    <w:rsid w:val="00150F49"/>
    <w:rsid w:val="001512B4"/>
    <w:rsid w:val="001620A5"/>
    <w:rsid w:val="00164E53"/>
    <w:rsid w:val="0016699D"/>
    <w:rsid w:val="001723FB"/>
    <w:rsid w:val="00175159"/>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F02FE"/>
    <w:rsid w:val="001F3A19"/>
    <w:rsid w:val="00234467"/>
    <w:rsid w:val="00236D19"/>
    <w:rsid w:val="00237D8D"/>
    <w:rsid w:val="00241DA2"/>
    <w:rsid w:val="00247FEE"/>
    <w:rsid w:val="00250E7D"/>
    <w:rsid w:val="002565D5"/>
    <w:rsid w:val="002622C0"/>
    <w:rsid w:val="002778AE"/>
    <w:rsid w:val="0028269A"/>
    <w:rsid w:val="00283590"/>
    <w:rsid w:val="00286973"/>
    <w:rsid w:val="00294E70"/>
    <w:rsid w:val="002A1924"/>
    <w:rsid w:val="002A5B1B"/>
    <w:rsid w:val="002A7420"/>
    <w:rsid w:val="002B0F12"/>
    <w:rsid w:val="002B1308"/>
    <w:rsid w:val="002B4554"/>
    <w:rsid w:val="002C72D8"/>
    <w:rsid w:val="002D11FA"/>
    <w:rsid w:val="002E0DDF"/>
    <w:rsid w:val="002E1CE0"/>
    <w:rsid w:val="002E2906"/>
    <w:rsid w:val="002E5635"/>
    <w:rsid w:val="002E64C3"/>
    <w:rsid w:val="002E6A2C"/>
    <w:rsid w:val="002F0BC7"/>
    <w:rsid w:val="002F1D8C"/>
    <w:rsid w:val="002F21DA"/>
    <w:rsid w:val="00301F39"/>
    <w:rsid w:val="00304666"/>
    <w:rsid w:val="00325926"/>
    <w:rsid w:val="00327A8A"/>
    <w:rsid w:val="00336610"/>
    <w:rsid w:val="00343F73"/>
    <w:rsid w:val="00345060"/>
    <w:rsid w:val="0035323B"/>
    <w:rsid w:val="003609D2"/>
    <w:rsid w:val="00363F22"/>
    <w:rsid w:val="00375564"/>
    <w:rsid w:val="00383191"/>
    <w:rsid w:val="00384608"/>
    <w:rsid w:val="00386DED"/>
    <w:rsid w:val="003912E7"/>
    <w:rsid w:val="00393947"/>
    <w:rsid w:val="003A2275"/>
    <w:rsid w:val="003A6A4F"/>
    <w:rsid w:val="003A7088"/>
    <w:rsid w:val="003B00DF"/>
    <w:rsid w:val="003B1275"/>
    <w:rsid w:val="003B1778"/>
    <w:rsid w:val="003C11CB"/>
    <w:rsid w:val="003C75F3"/>
    <w:rsid w:val="003C78A3"/>
    <w:rsid w:val="003E1867"/>
    <w:rsid w:val="003E5729"/>
    <w:rsid w:val="003F4EE0"/>
    <w:rsid w:val="00400F1F"/>
    <w:rsid w:val="00402153"/>
    <w:rsid w:val="00402FC1"/>
    <w:rsid w:val="00425082"/>
    <w:rsid w:val="00431DEB"/>
    <w:rsid w:val="00446B29"/>
    <w:rsid w:val="00453F9A"/>
    <w:rsid w:val="00471E91"/>
    <w:rsid w:val="00474675"/>
    <w:rsid w:val="0047470C"/>
    <w:rsid w:val="004A35F9"/>
    <w:rsid w:val="004B24C1"/>
    <w:rsid w:val="004C292F"/>
    <w:rsid w:val="00502B39"/>
    <w:rsid w:val="00510280"/>
    <w:rsid w:val="00513D73"/>
    <w:rsid w:val="00514A43"/>
    <w:rsid w:val="005174E5"/>
    <w:rsid w:val="00522393"/>
    <w:rsid w:val="00522620"/>
    <w:rsid w:val="00525656"/>
    <w:rsid w:val="00534C02"/>
    <w:rsid w:val="0054264B"/>
    <w:rsid w:val="00543786"/>
    <w:rsid w:val="00544100"/>
    <w:rsid w:val="005533D7"/>
    <w:rsid w:val="005703DE"/>
    <w:rsid w:val="00575592"/>
    <w:rsid w:val="0058464E"/>
    <w:rsid w:val="005A01CB"/>
    <w:rsid w:val="005A58FF"/>
    <w:rsid w:val="005A5EAF"/>
    <w:rsid w:val="005A64C0"/>
    <w:rsid w:val="005B3C11"/>
    <w:rsid w:val="005C1C28"/>
    <w:rsid w:val="005C6DB5"/>
    <w:rsid w:val="005C7F6B"/>
    <w:rsid w:val="005D6825"/>
    <w:rsid w:val="005E19E7"/>
    <w:rsid w:val="005F1746"/>
    <w:rsid w:val="0061716C"/>
    <w:rsid w:val="006243A1"/>
    <w:rsid w:val="00632E56"/>
    <w:rsid w:val="00635CBA"/>
    <w:rsid w:val="0064338B"/>
    <w:rsid w:val="00644437"/>
    <w:rsid w:val="00646542"/>
    <w:rsid w:val="006504F4"/>
    <w:rsid w:val="00654BC9"/>
    <w:rsid w:val="006552FD"/>
    <w:rsid w:val="00663AF3"/>
    <w:rsid w:val="00666B6C"/>
    <w:rsid w:val="00682682"/>
    <w:rsid w:val="00682702"/>
    <w:rsid w:val="00692368"/>
    <w:rsid w:val="0069304C"/>
    <w:rsid w:val="006A2EBC"/>
    <w:rsid w:val="006A5EA0"/>
    <w:rsid w:val="006A783B"/>
    <w:rsid w:val="006A7B33"/>
    <w:rsid w:val="006B4E13"/>
    <w:rsid w:val="006B75DD"/>
    <w:rsid w:val="006C67E0"/>
    <w:rsid w:val="006C7ABA"/>
    <w:rsid w:val="006D0D60"/>
    <w:rsid w:val="006D1122"/>
    <w:rsid w:val="006D1601"/>
    <w:rsid w:val="006D3C00"/>
    <w:rsid w:val="006E3675"/>
    <w:rsid w:val="006E4A7F"/>
    <w:rsid w:val="00704DF6"/>
    <w:rsid w:val="0070651C"/>
    <w:rsid w:val="007066F6"/>
    <w:rsid w:val="007132A3"/>
    <w:rsid w:val="00716421"/>
    <w:rsid w:val="00724EFB"/>
    <w:rsid w:val="007419C3"/>
    <w:rsid w:val="007467A7"/>
    <w:rsid w:val="007469DD"/>
    <w:rsid w:val="0074741B"/>
    <w:rsid w:val="0074759E"/>
    <w:rsid w:val="007478EA"/>
    <w:rsid w:val="0075415C"/>
    <w:rsid w:val="00763502"/>
    <w:rsid w:val="007913AB"/>
    <w:rsid w:val="007914F7"/>
    <w:rsid w:val="00791C2E"/>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452A6"/>
    <w:rsid w:val="008504A8"/>
    <w:rsid w:val="0085282E"/>
    <w:rsid w:val="0087198C"/>
    <w:rsid w:val="00872C1F"/>
    <w:rsid w:val="00873B42"/>
    <w:rsid w:val="00880E3E"/>
    <w:rsid w:val="008856D8"/>
    <w:rsid w:val="00892E82"/>
    <w:rsid w:val="008C1B58"/>
    <w:rsid w:val="008C39AE"/>
    <w:rsid w:val="008C590D"/>
    <w:rsid w:val="008E031B"/>
    <w:rsid w:val="008E7029"/>
    <w:rsid w:val="008E7EF6"/>
    <w:rsid w:val="008F1F98"/>
    <w:rsid w:val="008F6758"/>
    <w:rsid w:val="009040DD"/>
    <w:rsid w:val="00905B47"/>
    <w:rsid w:val="00911FB8"/>
    <w:rsid w:val="0091331C"/>
    <w:rsid w:val="009279DE"/>
    <w:rsid w:val="00930116"/>
    <w:rsid w:val="0094212C"/>
    <w:rsid w:val="009536DA"/>
    <w:rsid w:val="00954689"/>
    <w:rsid w:val="009567FC"/>
    <w:rsid w:val="009617C9"/>
    <w:rsid w:val="00961C93"/>
    <w:rsid w:val="00965324"/>
    <w:rsid w:val="0096584B"/>
    <w:rsid w:val="0097091E"/>
    <w:rsid w:val="009760D3"/>
    <w:rsid w:val="00977132"/>
    <w:rsid w:val="00981A4B"/>
    <w:rsid w:val="00982501"/>
    <w:rsid w:val="009877D3"/>
    <w:rsid w:val="00991716"/>
    <w:rsid w:val="00994E8F"/>
    <w:rsid w:val="009951DC"/>
    <w:rsid w:val="009959BB"/>
    <w:rsid w:val="00997158"/>
    <w:rsid w:val="009A3A7C"/>
    <w:rsid w:val="009B2ADB"/>
    <w:rsid w:val="009B603A"/>
    <w:rsid w:val="009C2D0E"/>
    <w:rsid w:val="009C3DAC"/>
    <w:rsid w:val="009C42E0"/>
    <w:rsid w:val="009C76AB"/>
    <w:rsid w:val="009D5362"/>
    <w:rsid w:val="009E1415"/>
    <w:rsid w:val="009E6116"/>
    <w:rsid w:val="009F77D1"/>
    <w:rsid w:val="00A02E43"/>
    <w:rsid w:val="00A065F9"/>
    <w:rsid w:val="00A07F34"/>
    <w:rsid w:val="00A11BE1"/>
    <w:rsid w:val="00A22154"/>
    <w:rsid w:val="00A25C38"/>
    <w:rsid w:val="00A356E0"/>
    <w:rsid w:val="00A36BBE"/>
    <w:rsid w:val="00A4307A"/>
    <w:rsid w:val="00A47EBB"/>
    <w:rsid w:val="00A51CDD"/>
    <w:rsid w:val="00A6730D"/>
    <w:rsid w:val="00A71625"/>
    <w:rsid w:val="00A71B9B"/>
    <w:rsid w:val="00A751C7"/>
    <w:rsid w:val="00A87844"/>
    <w:rsid w:val="00AA038C"/>
    <w:rsid w:val="00AA7A09"/>
    <w:rsid w:val="00AB3B50"/>
    <w:rsid w:val="00AC05B1"/>
    <w:rsid w:val="00AD356C"/>
    <w:rsid w:val="00AD7DF4"/>
    <w:rsid w:val="00AE0C4E"/>
    <w:rsid w:val="00AE2914"/>
    <w:rsid w:val="00AE6D15"/>
    <w:rsid w:val="00B04182"/>
    <w:rsid w:val="00B07AE3"/>
    <w:rsid w:val="00B11430"/>
    <w:rsid w:val="00B24520"/>
    <w:rsid w:val="00B353EB"/>
    <w:rsid w:val="00B439C4"/>
    <w:rsid w:val="00B4535E"/>
    <w:rsid w:val="00B52A8C"/>
    <w:rsid w:val="00B636A8"/>
    <w:rsid w:val="00B665C6"/>
    <w:rsid w:val="00B805AF"/>
    <w:rsid w:val="00B80EA1"/>
    <w:rsid w:val="00B869EC"/>
    <w:rsid w:val="00B9397A"/>
    <w:rsid w:val="00B9633D"/>
    <w:rsid w:val="00BA2EBE"/>
    <w:rsid w:val="00BA4DCE"/>
    <w:rsid w:val="00BB0F28"/>
    <w:rsid w:val="00BB458A"/>
    <w:rsid w:val="00BD00D3"/>
    <w:rsid w:val="00BD1659"/>
    <w:rsid w:val="00BD3AA9"/>
    <w:rsid w:val="00BD4A18"/>
    <w:rsid w:val="00BD6DB2"/>
    <w:rsid w:val="00BE11CF"/>
    <w:rsid w:val="00BE21AB"/>
    <w:rsid w:val="00BE2E07"/>
    <w:rsid w:val="00BE55CB"/>
    <w:rsid w:val="00BF3FC0"/>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601D2"/>
    <w:rsid w:val="00C657AB"/>
    <w:rsid w:val="00C65BCC"/>
    <w:rsid w:val="00C66970"/>
    <w:rsid w:val="00C8691C"/>
    <w:rsid w:val="00CA168A"/>
    <w:rsid w:val="00CA26F8"/>
    <w:rsid w:val="00CA357E"/>
    <w:rsid w:val="00CA44F9"/>
    <w:rsid w:val="00CA4A69"/>
    <w:rsid w:val="00CC3E0C"/>
    <w:rsid w:val="00CC58D3"/>
    <w:rsid w:val="00CC784D"/>
    <w:rsid w:val="00CE6F73"/>
    <w:rsid w:val="00D0337B"/>
    <w:rsid w:val="00D07047"/>
    <w:rsid w:val="00D079B2"/>
    <w:rsid w:val="00D114E9"/>
    <w:rsid w:val="00D37189"/>
    <w:rsid w:val="00D429C6"/>
    <w:rsid w:val="00D47748"/>
    <w:rsid w:val="00D54CC3"/>
    <w:rsid w:val="00D6041A"/>
    <w:rsid w:val="00D633EB"/>
    <w:rsid w:val="00D82FF7"/>
    <w:rsid w:val="00D847FE"/>
    <w:rsid w:val="00D964EA"/>
    <w:rsid w:val="00D966D0"/>
    <w:rsid w:val="00DA0C59"/>
    <w:rsid w:val="00DA3991"/>
    <w:rsid w:val="00DB7E6C"/>
    <w:rsid w:val="00DC0FF3"/>
    <w:rsid w:val="00DD5A29"/>
    <w:rsid w:val="00DD5D9D"/>
    <w:rsid w:val="00DE35CB"/>
    <w:rsid w:val="00DF21E9"/>
    <w:rsid w:val="00E00F14"/>
    <w:rsid w:val="00E06386"/>
    <w:rsid w:val="00E24EB4"/>
    <w:rsid w:val="00E320ED"/>
    <w:rsid w:val="00E33AFB"/>
    <w:rsid w:val="00E34218"/>
    <w:rsid w:val="00E46282"/>
    <w:rsid w:val="00E5216E"/>
    <w:rsid w:val="00E82344"/>
    <w:rsid w:val="00E84C82"/>
    <w:rsid w:val="00E84D64"/>
    <w:rsid w:val="00E87408"/>
    <w:rsid w:val="00E914C4"/>
    <w:rsid w:val="00E934F5"/>
    <w:rsid w:val="00E96961"/>
    <w:rsid w:val="00EA1646"/>
    <w:rsid w:val="00EA72EC"/>
    <w:rsid w:val="00EB11CB"/>
    <w:rsid w:val="00EB275A"/>
    <w:rsid w:val="00EB786A"/>
    <w:rsid w:val="00EC1578"/>
    <w:rsid w:val="00EC1C72"/>
    <w:rsid w:val="00EC3CC9"/>
    <w:rsid w:val="00EC680A"/>
    <w:rsid w:val="00EE2BED"/>
    <w:rsid w:val="00EE374B"/>
    <w:rsid w:val="00EF2A73"/>
    <w:rsid w:val="00F03629"/>
    <w:rsid w:val="00F11BB5"/>
    <w:rsid w:val="00F1417B"/>
    <w:rsid w:val="00F34B99"/>
    <w:rsid w:val="00F44F71"/>
    <w:rsid w:val="00F52DAB"/>
    <w:rsid w:val="00F543F0"/>
    <w:rsid w:val="00F81D29"/>
    <w:rsid w:val="00F83966"/>
    <w:rsid w:val="00F91C4D"/>
    <w:rsid w:val="00F92FD9"/>
    <w:rsid w:val="00FA6684"/>
    <w:rsid w:val="00FA731E"/>
    <w:rsid w:val="00FB2B38"/>
    <w:rsid w:val="00FC6358"/>
    <w:rsid w:val="00FD320D"/>
    <w:rsid w:val="00FE23DE"/>
    <w:rsid w:val="011A62CE"/>
    <w:rsid w:val="017A07C1"/>
    <w:rsid w:val="025B5A4A"/>
    <w:rsid w:val="02675486"/>
    <w:rsid w:val="028E606B"/>
    <w:rsid w:val="02A02822"/>
    <w:rsid w:val="03AF5947"/>
    <w:rsid w:val="04C73A46"/>
    <w:rsid w:val="0544657A"/>
    <w:rsid w:val="057F5EE6"/>
    <w:rsid w:val="0633269F"/>
    <w:rsid w:val="06CD6040"/>
    <w:rsid w:val="07D73EE3"/>
    <w:rsid w:val="07F164F7"/>
    <w:rsid w:val="085B580E"/>
    <w:rsid w:val="08E13ECD"/>
    <w:rsid w:val="09762C15"/>
    <w:rsid w:val="09914C67"/>
    <w:rsid w:val="0A336929"/>
    <w:rsid w:val="0A5A1BD9"/>
    <w:rsid w:val="0A843190"/>
    <w:rsid w:val="0BC2224D"/>
    <w:rsid w:val="0CF135D8"/>
    <w:rsid w:val="0D286893"/>
    <w:rsid w:val="0D962B4D"/>
    <w:rsid w:val="0DA71DEA"/>
    <w:rsid w:val="0E4C6F42"/>
    <w:rsid w:val="0E8866AD"/>
    <w:rsid w:val="0F7A2F34"/>
    <w:rsid w:val="1008542E"/>
    <w:rsid w:val="10581B85"/>
    <w:rsid w:val="10B250E4"/>
    <w:rsid w:val="10E52527"/>
    <w:rsid w:val="11093CC0"/>
    <w:rsid w:val="11785B8B"/>
    <w:rsid w:val="11864237"/>
    <w:rsid w:val="118B010A"/>
    <w:rsid w:val="11F53277"/>
    <w:rsid w:val="11F62411"/>
    <w:rsid w:val="11FF292D"/>
    <w:rsid w:val="13800C7E"/>
    <w:rsid w:val="13B122D0"/>
    <w:rsid w:val="155A2316"/>
    <w:rsid w:val="15FC4453"/>
    <w:rsid w:val="18E87438"/>
    <w:rsid w:val="18FA4C26"/>
    <w:rsid w:val="197101B1"/>
    <w:rsid w:val="198A42F7"/>
    <w:rsid w:val="1A1C1EAB"/>
    <w:rsid w:val="1A1E5BF3"/>
    <w:rsid w:val="1AC17E5C"/>
    <w:rsid w:val="1B637394"/>
    <w:rsid w:val="1B7655FF"/>
    <w:rsid w:val="1B8C7941"/>
    <w:rsid w:val="1BDA0FA5"/>
    <w:rsid w:val="1CF70A3B"/>
    <w:rsid w:val="1DFE0BD8"/>
    <w:rsid w:val="1EC05A91"/>
    <w:rsid w:val="1ED14A27"/>
    <w:rsid w:val="1F1A713E"/>
    <w:rsid w:val="1F487D18"/>
    <w:rsid w:val="20220A0C"/>
    <w:rsid w:val="20D02A25"/>
    <w:rsid w:val="218D00B2"/>
    <w:rsid w:val="21A01256"/>
    <w:rsid w:val="21B907E9"/>
    <w:rsid w:val="21BF6A86"/>
    <w:rsid w:val="221B1B1B"/>
    <w:rsid w:val="2331046B"/>
    <w:rsid w:val="23FE2D92"/>
    <w:rsid w:val="23FF400B"/>
    <w:rsid w:val="245F4C3C"/>
    <w:rsid w:val="24A1484A"/>
    <w:rsid w:val="24DE5F33"/>
    <w:rsid w:val="24FF15C8"/>
    <w:rsid w:val="251722C5"/>
    <w:rsid w:val="253F1851"/>
    <w:rsid w:val="25601D6F"/>
    <w:rsid w:val="263D40DD"/>
    <w:rsid w:val="26732C92"/>
    <w:rsid w:val="27626F29"/>
    <w:rsid w:val="27943956"/>
    <w:rsid w:val="27B2444F"/>
    <w:rsid w:val="27BC68FB"/>
    <w:rsid w:val="27D0002C"/>
    <w:rsid w:val="27DD11C3"/>
    <w:rsid w:val="283B158F"/>
    <w:rsid w:val="284B5286"/>
    <w:rsid w:val="28E45BB8"/>
    <w:rsid w:val="28E97B73"/>
    <w:rsid w:val="296E15EF"/>
    <w:rsid w:val="2A52249C"/>
    <w:rsid w:val="2A7A47C5"/>
    <w:rsid w:val="2A7C569B"/>
    <w:rsid w:val="2AD73B4D"/>
    <w:rsid w:val="2AE55903"/>
    <w:rsid w:val="2AF22FB9"/>
    <w:rsid w:val="2B376E6B"/>
    <w:rsid w:val="2B8B7AF9"/>
    <w:rsid w:val="2C0025FC"/>
    <w:rsid w:val="2C5342B7"/>
    <w:rsid w:val="2CD70782"/>
    <w:rsid w:val="2D0722AF"/>
    <w:rsid w:val="2D11114E"/>
    <w:rsid w:val="2D836103"/>
    <w:rsid w:val="2E003550"/>
    <w:rsid w:val="2E1D1E70"/>
    <w:rsid w:val="2E2545F1"/>
    <w:rsid w:val="2E94630F"/>
    <w:rsid w:val="2E9515E0"/>
    <w:rsid w:val="2EC810E9"/>
    <w:rsid w:val="2F416F5A"/>
    <w:rsid w:val="2F990037"/>
    <w:rsid w:val="2FDF2B9D"/>
    <w:rsid w:val="303343D0"/>
    <w:rsid w:val="30B1586D"/>
    <w:rsid w:val="310C2C0E"/>
    <w:rsid w:val="315B25D3"/>
    <w:rsid w:val="31A6530D"/>
    <w:rsid w:val="32134073"/>
    <w:rsid w:val="324728B2"/>
    <w:rsid w:val="328673FC"/>
    <w:rsid w:val="32E8064F"/>
    <w:rsid w:val="33110FDF"/>
    <w:rsid w:val="33705F11"/>
    <w:rsid w:val="34111332"/>
    <w:rsid w:val="34181FF1"/>
    <w:rsid w:val="34422573"/>
    <w:rsid w:val="347F7469"/>
    <w:rsid w:val="34803ABE"/>
    <w:rsid w:val="355328B2"/>
    <w:rsid w:val="35F13715"/>
    <w:rsid w:val="362E7934"/>
    <w:rsid w:val="36833F21"/>
    <w:rsid w:val="372515D5"/>
    <w:rsid w:val="374E292D"/>
    <w:rsid w:val="37D51620"/>
    <w:rsid w:val="37D744E0"/>
    <w:rsid w:val="3832038C"/>
    <w:rsid w:val="38375ABB"/>
    <w:rsid w:val="38C9192C"/>
    <w:rsid w:val="38FF6661"/>
    <w:rsid w:val="392564E1"/>
    <w:rsid w:val="39872A30"/>
    <w:rsid w:val="398F5698"/>
    <w:rsid w:val="3AA635DE"/>
    <w:rsid w:val="3B6263B4"/>
    <w:rsid w:val="3C05323F"/>
    <w:rsid w:val="3C511D1D"/>
    <w:rsid w:val="3C7C5183"/>
    <w:rsid w:val="3CDE2929"/>
    <w:rsid w:val="3CFC2E95"/>
    <w:rsid w:val="3DCE460A"/>
    <w:rsid w:val="3E2E70A1"/>
    <w:rsid w:val="3E9C3CD0"/>
    <w:rsid w:val="3EC64FA3"/>
    <w:rsid w:val="3F1F65D4"/>
    <w:rsid w:val="400D2DE8"/>
    <w:rsid w:val="4011474F"/>
    <w:rsid w:val="40B22211"/>
    <w:rsid w:val="41087E87"/>
    <w:rsid w:val="412515CC"/>
    <w:rsid w:val="413119EF"/>
    <w:rsid w:val="41525DAB"/>
    <w:rsid w:val="421D721F"/>
    <w:rsid w:val="4298783A"/>
    <w:rsid w:val="42A310A6"/>
    <w:rsid w:val="43544F35"/>
    <w:rsid w:val="43C76AE0"/>
    <w:rsid w:val="43CB704A"/>
    <w:rsid w:val="442E3F14"/>
    <w:rsid w:val="443916F9"/>
    <w:rsid w:val="45D96B7F"/>
    <w:rsid w:val="45FB670D"/>
    <w:rsid w:val="472A5608"/>
    <w:rsid w:val="48117C2B"/>
    <w:rsid w:val="48272845"/>
    <w:rsid w:val="48A801AD"/>
    <w:rsid w:val="490B771B"/>
    <w:rsid w:val="490E1748"/>
    <w:rsid w:val="49E34149"/>
    <w:rsid w:val="4A1762AA"/>
    <w:rsid w:val="4BA52756"/>
    <w:rsid w:val="4C857B7B"/>
    <w:rsid w:val="4D0214B8"/>
    <w:rsid w:val="4D1A76A6"/>
    <w:rsid w:val="4D4E11E1"/>
    <w:rsid w:val="4DBF0EEE"/>
    <w:rsid w:val="4E783056"/>
    <w:rsid w:val="4F220C9D"/>
    <w:rsid w:val="4F276BC0"/>
    <w:rsid w:val="4F964FE0"/>
    <w:rsid w:val="4FD0290C"/>
    <w:rsid w:val="502D232B"/>
    <w:rsid w:val="50C6035B"/>
    <w:rsid w:val="51F432C9"/>
    <w:rsid w:val="530C395B"/>
    <w:rsid w:val="53B5340E"/>
    <w:rsid w:val="541975A6"/>
    <w:rsid w:val="55162291"/>
    <w:rsid w:val="557B4BA4"/>
    <w:rsid w:val="56765FBD"/>
    <w:rsid w:val="56973C92"/>
    <w:rsid w:val="56D47347"/>
    <w:rsid w:val="57252B58"/>
    <w:rsid w:val="58070AA2"/>
    <w:rsid w:val="582F1143"/>
    <w:rsid w:val="58B45626"/>
    <w:rsid w:val="58D22F54"/>
    <w:rsid w:val="58E7558D"/>
    <w:rsid w:val="59CB1595"/>
    <w:rsid w:val="5A971813"/>
    <w:rsid w:val="5B070CD7"/>
    <w:rsid w:val="5B605A34"/>
    <w:rsid w:val="5B6C1352"/>
    <w:rsid w:val="5B746181"/>
    <w:rsid w:val="5BA627EC"/>
    <w:rsid w:val="5C5C48EE"/>
    <w:rsid w:val="5CE254F4"/>
    <w:rsid w:val="5D46383E"/>
    <w:rsid w:val="5D8F6BFF"/>
    <w:rsid w:val="5DE22217"/>
    <w:rsid w:val="5FB97E4F"/>
    <w:rsid w:val="60040C9C"/>
    <w:rsid w:val="6007685C"/>
    <w:rsid w:val="60AF18BA"/>
    <w:rsid w:val="611A6044"/>
    <w:rsid w:val="62934E3B"/>
    <w:rsid w:val="62A33E62"/>
    <w:rsid w:val="63033108"/>
    <w:rsid w:val="632C52AE"/>
    <w:rsid w:val="63907D12"/>
    <w:rsid w:val="639A56E8"/>
    <w:rsid w:val="63D40661"/>
    <w:rsid w:val="644A78F0"/>
    <w:rsid w:val="64757AA5"/>
    <w:rsid w:val="64AF0994"/>
    <w:rsid w:val="64F572F8"/>
    <w:rsid w:val="64F76D86"/>
    <w:rsid w:val="65FD11AB"/>
    <w:rsid w:val="661E7876"/>
    <w:rsid w:val="66D67F8B"/>
    <w:rsid w:val="68A01732"/>
    <w:rsid w:val="68F818B5"/>
    <w:rsid w:val="693373D3"/>
    <w:rsid w:val="695373C2"/>
    <w:rsid w:val="69D86DF3"/>
    <w:rsid w:val="6B3A47F9"/>
    <w:rsid w:val="6B7C6CEA"/>
    <w:rsid w:val="6B9A0EEB"/>
    <w:rsid w:val="6BD014BF"/>
    <w:rsid w:val="6CF92E11"/>
    <w:rsid w:val="6D1913F9"/>
    <w:rsid w:val="6D624AAA"/>
    <w:rsid w:val="6E0E2DD4"/>
    <w:rsid w:val="6E6372B3"/>
    <w:rsid w:val="6ED56F8B"/>
    <w:rsid w:val="6F426E4C"/>
    <w:rsid w:val="6F8F435B"/>
    <w:rsid w:val="6FD938DD"/>
    <w:rsid w:val="6FE37837"/>
    <w:rsid w:val="714B1405"/>
    <w:rsid w:val="721C27F5"/>
    <w:rsid w:val="72277BA6"/>
    <w:rsid w:val="72AA125A"/>
    <w:rsid w:val="730D36A2"/>
    <w:rsid w:val="74DC70FC"/>
    <w:rsid w:val="75442B77"/>
    <w:rsid w:val="75AF4291"/>
    <w:rsid w:val="75B00F57"/>
    <w:rsid w:val="75EB3462"/>
    <w:rsid w:val="769969E2"/>
    <w:rsid w:val="76B3298F"/>
    <w:rsid w:val="77017FAB"/>
    <w:rsid w:val="770A322E"/>
    <w:rsid w:val="772002FA"/>
    <w:rsid w:val="772211E4"/>
    <w:rsid w:val="775614E8"/>
    <w:rsid w:val="7762588F"/>
    <w:rsid w:val="777F7771"/>
    <w:rsid w:val="77A45D79"/>
    <w:rsid w:val="77EF3DAD"/>
    <w:rsid w:val="77FC7E66"/>
    <w:rsid w:val="781C53CF"/>
    <w:rsid w:val="78DE6BA0"/>
    <w:rsid w:val="79691071"/>
    <w:rsid w:val="7987653B"/>
    <w:rsid w:val="7A1B7F55"/>
    <w:rsid w:val="7A66569D"/>
    <w:rsid w:val="7A7225CB"/>
    <w:rsid w:val="7A993333"/>
    <w:rsid w:val="7ADF2FAC"/>
    <w:rsid w:val="7B564396"/>
    <w:rsid w:val="7C463341"/>
    <w:rsid w:val="7C5F0B89"/>
    <w:rsid w:val="7CA06DF0"/>
    <w:rsid w:val="7CCB3E8E"/>
    <w:rsid w:val="7D753E79"/>
    <w:rsid w:val="7DD01EC5"/>
    <w:rsid w:val="7DE31339"/>
    <w:rsid w:val="7E160D08"/>
    <w:rsid w:val="7E423D7D"/>
    <w:rsid w:val="7E580FED"/>
    <w:rsid w:val="7EB21848"/>
    <w:rsid w:val="7ECA3EC6"/>
    <w:rsid w:val="7F5A2A6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3">
    <w:name w:val="Default Paragraph Font"/>
    <w:semiHidden/>
    <w:qFormat/>
    <w:uiPriority w:val="0"/>
  </w:style>
  <w:style w:type="table" w:default="1" w:styleId="31">
    <w:name w:val="Normal Table"/>
    <w:semiHidden/>
    <w:uiPriority w:val="0"/>
    <w:tblPr>
      <w:tblCellMar>
        <w:top w:w="0" w:type="dxa"/>
        <w:left w:w="108" w:type="dxa"/>
        <w:bottom w:w="0" w:type="dxa"/>
        <w:right w:w="108" w:type="dxa"/>
      </w:tblCellMar>
    </w:tblPr>
  </w:style>
  <w:style w:type="paragraph" w:styleId="2">
    <w:name w:val="toc 7"/>
    <w:basedOn w:val="1"/>
    <w:next w:val="1"/>
    <w:semiHidden/>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uiPriority w:val="0"/>
    <w:pPr>
      <w:ind w:left="1050" w:hanging="210"/>
      <w:jc w:val="left"/>
    </w:pPr>
    <w:rPr>
      <w:rFonts w:ascii="Calibri" w:hAnsi="Calibri"/>
      <w:sz w:val="20"/>
      <w:szCs w:val="20"/>
    </w:rPr>
  </w:style>
  <w:style w:type="paragraph" w:styleId="6">
    <w:name w:val="Document Map"/>
    <w:basedOn w:val="1"/>
    <w:semiHidden/>
    <w:uiPriority w:val="0"/>
    <w:pPr>
      <w:shd w:val="clear" w:color="auto" w:fill="000080"/>
    </w:pPr>
  </w:style>
  <w:style w:type="paragraph" w:styleId="7">
    <w:name w:val="annotation text"/>
    <w:basedOn w:val="1"/>
    <w:uiPriority w:val="0"/>
    <w:pPr>
      <w:jc w:val="left"/>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Body Text"/>
    <w:basedOn w:val="1"/>
    <w:link w:val="135"/>
    <w:qFormat/>
    <w:uiPriority w:val="1"/>
    <w:rPr>
      <w:szCs w:val="21"/>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semiHidden/>
    <w:qFormat/>
    <w:uiPriority w:val="0"/>
    <w:pPr>
      <w:tabs>
        <w:tab w:val="right" w:leader="dot" w:pos="9241"/>
      </w:tabs>
      <w:ind w:firstLine="102"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footer"/>
    <w:basedOn w:val="1"/>
    <w:qFormat/>
    <w:uiPriority w:val="0"/>
    <w:pPr>
      <w:snapToGrid w:val="0"/>
      <w:ind w:right="210" w:rightChars="100"/>
      <w:jc w:val="right"/>
    </w:pPr>
    <w:rPr>
      <w:sz w:val="18"/>
      <w:szCs w:val="18"/>
    </w:rPr>
  </w:style>
  <w:style w:type="paragraph" w:styleId="17">
    <w:name w:val="header"/>
    <w:basedOn w:val="1"/>
    <w:qFormat/>
    <w:uiPriority w:val="0"/>
    <w:pPr>
      <w:snapToGrid w:val="0"/>
      <w:jc w:val="left"/>
    </w:pPr>
    <w:rPr>
      <w:sz w:val="18"/>
      <w:szCs w:val="18"/>
    </w:rPr>
  </w:style>
  <w:style w:type="paragraph" w:styleId="18">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19">
    <w:name w:val="toc 4"/>
    <w:basedOn w:val="1"/>
    <w:next w:val="1"/>
    <w:semiHidden/>
    <w:qFormat/>
    <w:uiPriority w:val="0"/>
    <w:pPr>
      <w:tabs>
        <w:tab w:val="right" w:leader="dot" w:pos="9241"/>
      </w:tabs>
      <w:ind w:firstLine="198"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1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3"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1"/>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30">
    <w:name w:val="index 2"/>
    <w:basedOn w:val="1"/>
    <w:next w:val="1"/>
    <w:qFormat/>
    <w:uiPriority w:val="0"/>
    <w:pPr>
      <w:ind w:left="420" w:hanging="210"/>
      <w:jc w:val="left"/>
    </w:pPr>
    <w:rPr>
      <w:rFonts w:ascii="Calibri" w:hAnsi="Calibri"/>
      <w:sz w:val="20"/>
      <w:szCs w:val="20"/>
    </w:rPr>
  </w:style>
  <w:style w:type="table" w:styleId="32">
    <w:name w:val="Table Grid"/>
    <w:basedOn w:val="31"/>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endnote reference"/>
    <w:semiHidden/>
    <w:qFormat/>
    <w:uiPriority w:val="0"/>
    <w:rPr>
      <w:vertAlign w:val="superscript"/>
    </w:rPr>
  </w:style>
  <w:style w:type="character" w:styleId="35">
    <w:name w:val="page number"/>
    <w:qFormat/>
    <w:uiPriority w:val="0"/>
    <w:rPr>
      <w:rFonts w:ascii="Times New Roman" w:hAnsi="Times New Roman" w:eastAsia="宋体"/>
      <w:sz w:val="18"/>
    </w:rPr>
  </w:style>
  <w:style w:type="character" w:styleId="36">
    <w:name w:val="FollowedHyperlink"/>
    <w:qFormat/>
    <w:uiPriority w:val="0"/>
    <w:rPr>
      <w:color w:val="800080"/>
      <w:u w:val="single"/>
    </w:rPr>
  </w:style>
  <w:style w:type="character" w:styleId="37">
    <w:name w:val="Hyperlink"/>
    <w:qFormat/>
    <w:uiPriority w:val="99"/>
    <w:rPr>
      <w:color w:val="0000FF"/>
      <w:spacing w:val="0"/>
      <w:w w:val="100"/>
      <w:szCs w:val="21"/>
      <w:u w:val="single"/>
    </w:rPr>
  </w:style>
  <w:style w:type="character" w:styleId="38">
    <w:name w:val="footnote reference"/>
    <w:semiHidden/>
    <w:qFormat/>
    <w:uiPriority w:val="0"/>
    <w:rPr>
      <w:vertAlign w:val="superscript"/>
    </w:rPr>
  </w:style>
  <w:style w:type="paragraph" w:customStyle="1" w:styleId="39">
    <w:name w:val="示例后文字"/>
    <w:basedOn w:val="22"/>
    <w:next w:val="22"/>
    <w:qFormat/>
    <w:uiPriority w:val="0"/>
    <w:pPr>
      <w:ind w:firstLine="360"/>
    </w:pPr>
    <w:rPr>
      <w:sz w:val="18"/>
    </w:rPr>
  </w:style>
  <w:style w:type="paragraph" w:customStyle="1" w:styleId="40">
    <w:name w:val="一级条标题"/>
    <w:next w:val="22"/>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1">
    <w:name w:val="五级无"/>
    <w:basedOn w:val="42"/>
    <w:qFormat/>
    <w:uiPriority w:val="0"/>
    <w:pPr>
      <w:spacing w:before="0" w:beforeLines="0" w:after="0" w:afterLines="0"/>
    </w:pPr>
    <w:rPr>
      <w:rFonts w:ascii="宋体" w:eastAsia="宋体"/>
    </w:rPr>
  </w:style>
  <w:style w:type="paragraph" w:customStyle="1" w:styleId="42">
    <w:name w:val="五级条标题"/>
    <w:basedOn w:val="43"/>
    <w:next w:val="22"/>
    <w:qFormat/>
    <w:uiPriority w:val="0"/>
    <w:pPr>
      <w:numPr>
        <w:ilvl w:val="5"/>
        <w:numId w:val="2"/>
      </w:numPr>
      <w:outlineLvl w:val="6"/>
    </w:pPr>
  </w:style>
  <w:style w:type="paragraph" w:customStyle="1" w:styleId="43">
    <w:name w:val="四级条标题"/>
    <w:basedOn w:val="44"/>
    <w:next w:val="22"/>
    <w:qFormat/>
    <w:uiPriority w:val="0"/>
    <w:pPr>
      <w:numPr>
        <w:ilvl w:val="4"/>
        <w:numId w:val="2"/>
      </w:numPr>
      <w:outlineLvl w:val="5"/>
    </w:pPr>
  </w:style>
  <w:style w:type="paragraph" w:customStyle="1" w:styleId="44">
    <w:name w:val="三级条标题"/>
    <w:basedOn w:val="45"/>
    <w:next w:val="22"/>
    <w:qFormat/>
    <w:uiPriority w:val="0"/>
    <w:pPr>
      <w:numPr>
        <w:ilvl w:val="3"/>
        <w:numId w:val="2"/>
      </w:numPr>
      <w:outlineLvl w:val="4"/>
    </w:pPr>
  </w:style>
  <w:style w:type="paragraph" w:customStyle="1" w:styleId="45">
    <w:name w:val="二级条标题"/>
    <w:basedOn w:val="40"/>
    <w:next w:val="22"/>
    <w:qFormat/>
    <w:uiPriority w:val="0"/>
    <w:pPr>
      <w:numPr>
        <w:ilvl w:val="2"/>
        <w:numId w:val="2"/>
      </w:numPr>
      <w:spacing w:before="50" w:after="50"/>
      <w:outlineLvl w:val="3"/>
    </w:pPr>
  </w:style>
  <w:style w:type="paragraph" w:customStyle="1" w:styleId="46">
    <w:name w:val="封面标准文稿类别2"/>
    <w:basedOn w:val="47"/>
    <w:qFormat/>
    <w:uiPriority w:val="0"/>
    <w:pPr>
      <w:framePr w:y="4469"/>
    </w:pPr>
  </w:style>
  <w:style w:type="paragraph" w:customStyle="1" w:styleId="47">
    <w:name w:val="封面标准文稿类别"/>
    <w:basedOn w:val="48"/>
    <w:qFormat/>
    <w:uiPriority w:val="0"/>
    <w:pPr>
      <w:spacing w:after="160" w:line="240" w:lineRule="auto"/>
    </w:pPr>
    <w:rPr>
      <w:sz w:val="24"/>
    </w:rPr>
  </w:style>
  <w:style w:type="paragraph" w:customStyle="1" w:styleId="48">
    <w:name w:val="封面一致性程度标识"/>
    <w:basedOn w:val="49"/>
    <w:qFormat/>
    <w:uiPriority w:val="0"/>
    <w:pPr>
      <w:spacing w:before="440"/>
    </w:pPr>
    <w:rPr>
      <w:rFonts w:ascii="宋体" w:eastAsia="宋体"/>
    </w:rPr>
  </w:style>
  <w:style w:type="paragraph" w:customStyle="1" w:styleId="49">
    <w:name w:val="封面标准英文名称"/>
    <w:basedOn w:val="50"/>
    <w:qFormat/>
    <w:uiPriority w:val="0"/>
    <w:pPr>
      <w:spacing w:before="370" w:line="400" w:lineRule="exact"/>
    </w:pPr>
    <w:rPr>
      <w:rFonts w:ascii="Times New Roman"/>
      <w:sz w:val="28"/>
      <w:szCs w:val="28"/>
    </w:rPr>
  </w:style>
  <w:style w:type="paragraph" w:customStyle="1" w:styleId="5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52">
    <w:name w:val="标准书眉一"/>
    <w:qFormat/>
    <w:uiPriority w:val="0"/>
    <w:pPr>
      <w:jc w:val="both"/>
    </w:pPr>
    <w:rPr>
      <w:rFonts w:ascii="Times New Roman" w:hAnsi="Times New Roman" w:eastAsia="宋体" w:cs="Times New Roman"/>
      <w:lang w:val="en-US" w:eastAsia="zh-CN" w:bidi="ar-SA"/>
    </w:rPr>
  </w:style>
  <w:style w:type="paragraph" w:customStyle="1" w:styleId="53">
    <w:name w:val="附录表标号"/>
    <w:basedOn w:val="1"/>
    <w:next w:val="22"/>
    <w:qFormat/>
    <w:uiPriority w:val="0"/>
    <w:pPr>
      <w:numPr>
        <w:ilvl w:val="0"/>
        <w:numId w:val="3"/>
      </w:numPr>
      <w:tabs>
        <w:tab w:val="clear" w:pos="0"/>
      </w:tabs>
      <w:spacing w:line="14" w:lineRule="exact"/>
      <w:ind w:left="811" w:hanging="448"/>
      <w:jc w:val="center"/>
      <w:outlineLvl w:val="0"/>
    </w:pPr>
    <w:rPr>
      <w:color w:val="FFFFFF"/>
    </w:rPr>
  </w:style>
  <w:style w:type="paragraph" w:customStyle="1" w:styleId="54">
    <w:name w:val="一级无"/>
    <w:basedOn w:val="40"/>
    <w:qFormat/>
    <w:uiPriority w:val="0"/>
    <w:pPr>
      <w:spacing w:before="0" w:beforeLines="0" w:after="0" w:afterLines="0"/>
    </w:pPr>
    <w:rPr>
      <w:rFonts w:ascii="宋体" w:eastAsia="宋体"/>
    </w:rPr>
  </w:style>
  <w:style w:type="paragraph" w:customStyle="1" w:styleId="5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5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7">
    <w:name w:val="附录四级条标题"/>
    <w:basedOn w:val="58"/>
    <w:next w:val="22"/>
    <w:qFormat/>
    <w:uiPriority w:val="0"/>
    <w:pPr>
      <w:numPr>
        <w:ilvl w:val="5"/>
        <w:numId w:val="4"/>
      </w:numPr>
      <w:tabs>
        <w:tab w:val="left" w:pos="360"/>
      </w:tabs>
      <w:outlineLvl w:val="5"/>
    </w:pPr>
  </w:style>
  <w:style w:type="paragraph" w:customStyle="1" w:styleId="58">
    <w:name w:val="附录三级条标题"/>
    <w:basedOn w:val="59"/>
    <w:next w:val="22"/>
    <w:qFormat/>
    <w:uiPriority w:val="0"/>
    <w:pPr>
      <w:numPr>
        <w:ilvl w:val="4"/>
        <w:numId w:val="4"/>
      </w:numPr>
      <w:tabs>
        <w:tab w:val="left" w:pos="360"/>
      </w:tabs>
      <w:outlineLvl w:val="4"/>
    </w:pPr>
  </w:style>
  <w:style w:type="paragraph" w:customStyle="1" w:styleId="59">
    <w:name w:val="附录二级条标题"/>
    <w:basedOn w:val="1"/>
    <w:next w:val="22"/>
    <w:qFormat/>
    <w:uiPriority w:val="0"/>
    <w:pPr>
      <w:widowControl/>
      <w:numPr>
        <w:ilvl w:val="3"/>
        <w:numId w:val="4"/>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60">
    <w:name w:val="其他标准标志"/>
    <w:basedOn w:val="61"/>
    <w:qFormat/>
    <w:uiPriority w:val="0"/>
    <w:pPr>
      <w:framePr w:w="6101" w:vAnchor="page" w:hAnchor="page" w:x="4673" w:y="942"/>
    </w:pPr>
    <w:rPr>
      <w:w w:val="130"/>
    </w:rPr>
  </w:style>
  <w:style w:type="paragraph" w:customStyle="1" w:styleId="61">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2">
    <w:name w:val="注：（正文）"/>
    <w:basedOn w:val="63"/>
    <w:next w:val="22"/>
    <w:qFormat/>
    <w:uiPriority w:val="0"/>
  </w:style>
  <w:style w:type="paragraph" w:customStyle="1" w:styleId="63">
    <w:name w:val="注："/>
    <w:next w:val="22"/>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64">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5">
    <w:name w:val="正文表标题"/>
    <w:next w:val="22"/>
    <w:qFormat/>
    <w:uiPriority w:val="0"/>
    <w:pPr>
      <w:numPr>
        <w:ilvl w:val="0"/>
        <w:numId w:val="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66">
    <w:name w:val="封面一致性程度标识2"/>
    <w:basedOn w:val="48"/>
    <w:qFormat/>
    <w:uiPriority w:val="0"/>
    <w:pPr>
      <w:framePr w:y="4469"/>
    </w:pPr>
  </w:style>
  <w:style w:type="paragraph" w:customStyle="1" w:styleId="67">
    <w:name w:val="附录一级条标题"/>
    <w:basedOn w:val="68"/>
    <w:next w:val="22"/>
    <w:qFormat/>
    <w:uiPriority w:val="0"/>
    <w:pPr>
      <w:numPr>
        <w:ilvl w:val="2"/>
        <w:numId w:val="4"/>
      </w:numPr>
      <w:tabs>
        <w:tab w:val="left" w:pos="360"/>
      </w:tabs>
      <w:autoSpaceDN w:val="0"/>
      <w:spacing w:before="50" w:beforeLines="50" w:after="50" w:afterLines="50"/>
      <w:outlineLvl w:val="2"/>
    </w:pPr>
  </w:style>
  <w:style w:type="paragraph" w:customStyle="1" w:styleId="68">
    <w:name w:val="附录章标题"/>
    <w:next w:val="22"/>
    <w:qFormat/>
    <w:uiPriority w:val="0"/>
    <w:pPr>
      <w:numPr>
        <w:ilvl w:val="1"/>
        <w:numId w:val="4"/>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9">
    <w:name w:val="列项——（一级）"/>
    <w:qFormat/>
    <w:uiPriority w:val="0"/>
    <w:pPr>
      <w:widowControl w:val="0"/>
      <w:numPr>
        <w:ilvl w:val="0"/>
        <w:numId w:val="7"/>
      </w:numPr>
      <w:jc w:val="both"/>
    </w:pPr>
    <w:rPr>
      <w:rFonts w:ascii="宋体" w:hAnsi="Times New Roman" w:eastAsia="宋体" w:cs="Times New Roman"/>
      <w:sz w:val="21"/>
      <w:lang w:val="en-US" w:eastAsia="zh-CN" w:bidi="ar-SA"/>
    </w:rPr>
  </w:style>
  <w:style w:type="paragraph" w:customStyle="1" w:styleId="70">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71">
    <w:name w:val="正文公式编号制表符"/>
    <w:basedOn w:val="22"/>
    <w:next w:val="22"/>
    <w:qFormat/>
    <w:uiPriority w:val="0"/>
    <w:pPr>
      <w:ind w:firstLine="0" w:firstLineChars="0"/>
    </w:pPr>
  </w:style>
  <w:style w:type="paragraph" w:customStyle="1" w:styleId="72">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73">
    <w:name w:val="字母编号列项（一级）"/>
    <w:qFormat/>
    <w:uiPriority w:val="0"/>
    <w:pPr>
      <w:numPr>
        <w:ilvl w:val="0"/>
        <w:numId w:val="9"/>
      </w:numPr>
      <w:jc w:val="both"/>
    </w:pPr>
    <w:rPr>
      <w:rFonts w:ascii="宋体" w:hAnsi="Times New Roman" w:eastAsia="宋体" w:cs="Times New Roman"/>
      <w:sz w:val="21"/>
      <w:lang w:val="en-US" w:eastAsia="zh-CN" w:bidi="ar-SA"/>
    </w:rPr>
  </w:style>
  <w:style w:type="paragraph" w:customStyle="1" w:styleId="74">
    <w:name w:val="编号列项（三级）"/>
    <w:qFormat/>
    <w:uiPriority w:val="0"/>
    <w:pPr>
      <w:numPr>
        <w:ilvl w:val="2"/>
        <w:numId w:val="9"/>
      </w:numPr>
    </w:pPr>
    <w:rPr>
      <w:rFonts w:ascii="宋体" w:hAnsi="Times New Roman" w:eastAsia="宋体" w:cs="Times New Roman"/>
      <w:sz w:val="21"/>
      <w:lang w:val="en-US" w:eastAsia="zh-CN" w:bidi="ar-SA"/>
    </w:rPr>
  </w:style>
  <w:style w:type="paragraph" w:customStyle="1" w:styleId="75">
    <w:name w:val="图标脚注说明"/>
    <w:basedOn w:val="22"/>
    <w:qFormat/>
    <w:uiPriority w:val="0"/>
    <w:pPr>
      <w:ind w:left="840" w:hanging="420" w:firstLineChars="0"/>
    </w:pPr>
    <w:rPr>
      <w:sz w:val="18"/>
      <w:szCs w:val="18"/>
    </w:rPr>
  </w:style>
  <w:style w:type="paragraph" w:customStyle="1" w:styleId="76">
    <w:name w:val="附录数字编号列项（二级）"/>
    <w:qFormat/>
    <w:uiPriority w:val="0"/>
    <w:pPr>
      <w:numPr>
        <w:ilvl w:val="1"/>
        <w:numId w:val="8"/>
      </w:numPr>
    </w:pPr>
    <w:rPr>
      <w:rFonts w:ascii="宋体" w:hAnsi="Times New Roman" w:eastAsia="宋体" w:cs="Times New Roman"/>
      <w:sz w:val="21"/>
      <w:lang w:val="en-US" w:eastAsia="zh-CN" w:bidi="ar-SA"/>
    </w:rPr>
  </w:style>
  <w:style w:type="paragraph" w:customStyle="1" w:styleId="77">
    <w:name w:val="首示例"/>
    <w:next w:val="22"/>
    <w:link w:val="136"/>
    <w:qFormat/>
    <w:uiPriority w:val="0"/>
    <w:pPr>
      <w:numPr>
        <w:ilvl w:val="0"/>
        <w:numId w:val="10"/>
      </w:numPr>
      <w:tabs>
        <w:tab w:val="left" w:pos="360"/>
      </w:tabs>
      <w:ind w:firstLine="0"/>
    </w:pPr>
    <w:rPr>
      <w:rFonts w:ascii="宋体" w:hAnsi="宋体" w:eastAsia="宋体" w:cs="Times New Roman"/>
      <w:kern w:val="2"/>
      <w:sz w:val="18"/>
      <w:szCs w:val="18"/>
      <w:lang w:val="en-US" w:eastAsia="zh-CN" w:bidi="ar-SA"/>
    </w:rPr>
  </w:style>
  <w:style w:type="paragraph" w:customStyle="1" w:styleId="7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79">
    <w:name w:val="附录标识"/>
    <w:basedOn w:val="1"/>
    <w:next w:val="22"/>
    <w:qFormat/>
    <w:uiPriority w:val="0"/>
    <w:pPr>
      <w:keepNext/>
      <w:widowControl/>
      <w:numPr>
        <w:ilvl w:val="0"/>
        <w:numId w:val="4"/>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0">
    <w:name w:val="实施日期"/>
    <w:basedOn w:val="81"/>
    <w:qFormat/>
    <w:uiPriority w:val="0"/>
    <w:pPr>
      <w:framePr w:vAnchor="page" w:hAnchor="page"/>
      <w:jc w:val="right"/>
    </w:pPr>
  </w:style>
  <w:style w:type="paragraph" w:customStyle="1" w:styleId="8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2">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附录表标题"/>
    <w:basedOn w:val="1"/>
    <w:next w:val="22"/>
    <w:qFormat/>
    <w:uiPriority w:val="0"/>
    <w:pPr>
      <w:numPr>
        <w:ilvl w:val="1"/>
        <w:numId w:val="3"/>
      </w:numPr>
      <w:tabs>
        <w:tab w:val="left" w:pos="180"/>
      </w:tabs>
      <w:spacing w:before="50" w:beforeLines="50" w:after="50" w:afterLines="50"/>
      <w:ind w:left="0" w:firstLine="0"/>
      <w:jc w:val="center"/>
    </w:pPr>
    <w:rPr>
      <w:rFonts w:ascii="黑体" w:eastAsia="黑体"/>
      <w:szCs w:val="21"/>
    </w:rPr>
  </w:style>
  <w:style w:type="paragraph" w:customStyle="1" w:styleId="84">
    <w:name w:val="附录标题"/>
    <w:basedOn w:val="22"/>
    <w:next w:val="22"/>
    <w:qFormat/>
    <w:uiPriority w:val="0"/>
    <w:pPr>
      <w:ind w:firstLine="0" w:firstLineChars="0"/>
      <w:jc w:val="center"/>
    </w:pPr>
    <w:rPr>
      <w:rFonts w:ascii="黑体" w:eastAsia="黑体"/>
    </w:rPr>
  </w:style>
  <w:style w:type="paragraph" w:customStyle="1" w:styleId="85">
    <w:name w:val="附录三级无"/>
    <w:basedOn w:val="58"/>
    <w:qFormat/>
    <w:uiPriority w:val="0"/>
    <w:pPr>
      <w:tabs>
        <w:tab w:val="clear" w:pos="360"/>
      </w:tabs>
      <w:spacing w:before="0" w:beforeLines="0" w:after="0" w:afterLines="0"/>
    </w:pPr>
    <w:rPr>
      <w:rFonts w:ascii="宋体" w:eastAsia="宋体"/>
      <w:szCs w:val="21"/>
    </w:rPr>
  </w:style>
  <w:style w:type="paragraph" w:customStyle="1" w:styleId="86">
    <w:name w:val="示例"/>
    <w:next w:val="78"/>
    <w:qFormat/>
    <w:uiPriority w:val="0"/>
    <w:pPr>
      <w:widowControl w:val="0"/>
      <w:numPr>
        <w:ilvl w:val="0"/>
        <w:numId w:val="11"/>
      </w:numPr>
      <w:jc w:val="both"/>
    </w:pPr>
    <w:rPr>
      <w:rFonts w:ascii="宋体" w:hAnsi="Times New Roman" w:eastAsia="宋体" w:cs="Times New Roman"/>
      <w:sz w:val="18"/>
      <w:szCs w:val="18"/>
      <w:lang w:val="en-US" w:eastAsia="zh-CN" w:bidi="ar-SA"/>
    </w:rPr>
  </w:style>
  <w:style w:type="paragraph" w:customStyle="1" w:styleId="87">
    <w:name w:val="章标题"/>
    <w:next w:val="22"/>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8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89">
    <w:name w:val="注×：（正文）"/>
    <w:qFormat/>
    <w:uiPriority w:val="0"/>
    <w:pPr>
      <w:numPr>
        <w:ilvl w:val="0"/>
        <w:numId w:val="12"/>
      </w:numPr>
      <w:jc w:val="both"/>
    </w:pPr>
    <w:rPr>
      <w:rFonts w:ascii="宋体" w:hAnsi="Times New Roman" w:eastAsia="宋体" w:cs="Times New Roman"/>
      <w:sz w:val="18"/>
      <w:szCs w:val="18"/>
      <w:lang w:val="en-US" w:eastAsia="zh-CN" w:bidi="ar-SA"/>
    </w:rPr>
  </w:style>
  <w:style w:type="paragraph" w:customStyle="1" w:styleId="90">
    <w:name w:val="封面标准英文名称2"/>
    <w:basedOn w:val="49"/>
    <w:qFormat/>
    <w:uiPriority w:val="0"/>
    <w:pPr>
      <w:framePr w:y="4469"/>
    </w:pPr>
  </w:style>
  <w:style w:type="paragraph" w:customStyle="1" w:styleId="91">
    <w:name w:val="图表脚注说明"/>
    <w:basedOn w:val="1"/>
    <w:qFormat/>
    <w:uiPriority w:val="0"/>
    <w:pPr>
      <w:numPr>
        <w:ilvl w:val="0"/>
        <w:numId w:val="13"/>
      </w:numPr>
    </w:pPr>
    <w:rPr>
      <w:rFonts w:ascii="宋体"/>
      <w:sz w:val="18"/>
      <w:szCs w:val="18"/>
    </w:rPr>
  </w:style>
  <w:style w:type="paragraph" w:customStyle="1" w:styleId="9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93">
    <w:name w:val="条文脚注"/>
    <w:basedOn w:val="23"/>
    <w:qFormat/>
    <w:uiPriority w:val="0"/>
    <w:pPr>
      <w:numPr>
        <w:ilvl w:val="0"/>
        <w:numId w:val="0"/>
      </w:numPr>
      <w:jc w:val="both"/>
    </w:pPr>
    <w:rPr>
      <w:rFonts w:ascii="宋体"/>
    </w:rPr>
  </w:style>
  <w:style w:type="paragraph" w:customStyle="1" w:styleId="94">
    <w:name w:val="封面标准文稿编辑信息"/>
    <w:basedOn w:val="47"/>
    <w:qFormat/>
    <w:uiPriority w:val="0"/>
    <w:pPr>
      <w:spacing w:before="180" w:line="180" w:lineRule="exact"/>
    </w:pPr>
    <w:rPr>
      <w:sz w:val="21"/>
    </w:rPr>
  </w:style>
  <w:style w:type="paragraph" w:customStyle="1" w:styleId="95">
    <w:name w:val="终结线"/>
    <w:basedOn w:val="1"/>
    <w:qFormat/>
    <w:uiPriority w:val="0"/>
    <w:pPr>
      <w:framePr w:hSpace="181" w:vSpace="181" w:wrap="around" w:vAnchor="text" w:hAnchor="margin" w:xAlign="center" w:y="285"/>
    </w:pPr>
  </w:style>
  <w:style w:type="paragraph" w:customStyle="1" w:styleId="96">
    <w:name w:val="附录四级无"/>
    <w:basedOn w:val="57"/>
    <w:qFormat/>
    <w:uiPriority w:val="0"/>
    <w:pPr>
      <w:tabs>
        <w:tab w:val="clear" w:pos="360"/>
      </w:tabs>
      <w:spacing w:before="0" w:beforeLines="0" w:after="0" w:afterLines="0"/>
    </w:pPr>
    <w:rPr>
      <w:rFonts w:ascii="宋体" w:eastAsia="宋体"/>
      <w:szCs w:val="21"/>
    </w:rPr>
  </w:style>
  <w:style w:type="paragraph" w:customStyle="1" w:styleId="97">
    <w:name w:val="其他实施日期"/>
    <w:basedOn w:val="80"/>
    <w:qFormat/>
    <w:uiPriority w:val="0"/>
  </w:style>
  <w:style w:type="paragraph" w:customStyle="1" w:styleId="98">
    <w:name w:val="四级无"/>
    <w:basedOn w:val="43"/>
    <w:qFormat/>
    <w:uiPriority w:val="0"/>
    <w:pPr>
      <w:spacing w:before="0" w:beforeLines="0" w:after="0" w:afterLines="0"/>
    </w:pPr>
    <w:rPr>
      <w:rFonts w:ascii="宋体" w:eastAsia="宋体"/>
    </w:rPr>
  </w:style>
  <w:style w:type="paragraph" w:customStyle="1" w:styleId="99">
    <w:name w:val="附录二级无"/>
    <w:basedOn w:val="59"/>
    <w:qFormat/>
    <w:uiPriority w:val="0"/>
    <w:pPr>
      <w:tabs>
        <w:tab w:val="clear" w:pos="360"/>
      </w:tabs>
      <w:spacing w:before="0" w:beforeLines="0" w:after="0" w:afterLines="0"/>
    </w:pPr>
    <w:rPr>
      <w:rFonts w:ascii="宋体" w:eastAsia="宋体"/>
      <w:szCs w:val="21"/>
    </w:rPr>
  </w:style>
  <w:style w:type="paragraph" w:customStyle="1" w:styleId="100">
    <w:name w:val="列项◆（三级）"/>
    <w:basedOn w:val="1"/>
    <w:qFormat/>
    <w:uiPriority w:val="0"/>
    <w:pPr>
      <w:numPr>
        <w:ilvl w:val="2"/>
        <w:numId w:val="7"/>
      </w:numPr>
    </w:pPr>
    <w:rPr>
      <w:rFonts w:ascii="宋体"/>
      <w:szCs w:val="21"/>
    </w:rPr>
  </w:style>
  <w:style w:type="paragraph" w:customStyle="1" w:styleId="101">
    <w:name w:val="数字编号列项（二级）"/>
    <w:qFormat/>
    <w:uiPriority w:val="0"/>
    <w:pPr>
      <w:numPr>
        <w:ilvl w:val="1"/>
        <w:numId w:val="9"/>
      </w:numPr>
      <w:jc w:val="both"/>
    </w:pPr>
    <w:rPr>
      <w:rFonts w:ascii="宋体" w:hAnsi="Times New Roman" w:eastAsia="宋体" w:cs="Times New Roman"/>
      <w:sz w:val="21"/>
      <w:lang w:val="en-US" w:eastAsia="zh-CN" w:bidi="ar-SA"/>
    </w:rPr>
  </w:style>
  <w:style w:type="paragraph" w:customStyle="1" w:styleId="102">
    <w:name w:val="二级无"/>
    <w:basedOn w:val="45"/>
    <w:qFormat/>
    <w:uiPriority w:val="0"/>
    <w:pPr>
      <w:spacing w:before="0" w:beforeLines="0" w:after="0" w:afterLines="0"/>
      <w:ind w:left="0" w:firstLine="0"/>
    </w:pPr>
    <w:rPr>
      <w:rFonts w:ascii="宋体" w:eastAsia="宋体"/>
    </w:rPr>
  </w:style>
  <w:style w:type="paragraph" w:customStyle="1" w:styleId="103">
    <w:name w:val="封面标准文稿编辑信息2"/>
    <w:basedOn w:val="94"/>
    <w:qFormat/>
    <w:uiPriority w:val="0"/>
    <w:pPr>
      <w:framePr w:y="4469"/>
    </w:pPr>
  </w:style>
  <w:style w:type="paragraph" w:customStyle="1" w:styleId="10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5">
    <w:name w:val="封面标准名称2"/>
    <w:basedOn w:val="50"/>
    <w:qFormat/>
    <w:uiPriority w:val="0"/>
    <w:pPr>
      <w:framePr w:y="4469"/>
      <w:spacing w:before="630" w:beforeLines="630"/>
    </w:pPr>
  </w:style>
  <w:style w:type="paragraph" w:customStyle="1" w:styleId="106">
    <w:name w:val="封面正文"/>
    <w:qFormat/>
    <w:uiPriority w:val="0"/>
    <w:pPr>
      <w:jc w:val="both"/>
    </w:pPr>
    <w:rPr>
      <w:rFonts w:ascii="Times New Roman" w:hAnsi="Times New Roman" w:eastAsia="宋体" w:cs="Times New Roman"/>
      <w:lang w:val="en-US" w:eastAsia="zh-CN" w:bidi="ar-SA"/>
    </w:rPr>
  </w:style>
  <w:style w:type="paragraph" w:customStyle="1" w:styleId="107">
    <w:name w:val="目次、标准名称标题"/>
    <w:basedOn w:val="1"/>
    <w:next w:val="2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08">
    <w:name w:val="标准书眉_偶数页"/>
    <w:basedOn w:val="104"/>
    <w:next w:val="1"/>
    <w:qFormat/>
    <w:uiPriority w:val="0"/>
    <w:pPr>
      <w:jc w:val="left"/>
    </w:pPr>
    <w:rPr>
      <w:rFonts w:ascii="黑体" w:eastAsia="黑体"/>
    </w:rPr>
  </w:style>
  <w:style w:type="paragraph" w:customStyle="1" w:styleId="109">
    <w:name w:val="附录一级无"/>
    <w:basedOn w:val="67"/>
    <w:qFormat/>
    <w:uiPriority w:val="0"/>
    <w:pPr>
      <w:tabs>
        <w:tab w:val="clear" w:pos="360"/>
      </w:tabs>
      <w:spacing w:before="0" w:beforeLines="0" w:after="0" w:afterLines="0"/>
    </w:pPr>
    <w:rPr>
      <w:rFonts w:ascii="宋体" w:eastAsia="宋体"/>
      <w:szCs w:val="21"/>
    </w:rPr>
  </w:style>
  <w:style w:type="paragraph" w:customStyle="1" w:styleId="110">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1">
    <w:name w:val="附录图标题"/>
    <w:basedOn w:val="1"/>
    <w:next w:val="22"/>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12">
    <w:name w:val="三级无"/>
    <w:basedOn w:val="44"/>
    <w:qFormat/>
    <w:uiPriority w:val="0"/>
    <w:pPr>
      <w:spacing w:before="0" w:beforeLines="0" w:after="0" w:afterLines="0"/>
    </w:pPr>
    <w:rPr>
      <w:rFonts w:ascii="宋体" w:eastAsia="宋体"/>
    </w:rPr>
  </w:style>
  <w:style w:type="paragraph" w:customStyle="1" w:styleId="113">
    <w:name w:val="其他发布部门"/>
    <w:basedOn w:val="114"/>
    <w:qFormat/>
    <w:uiPriority w:val="0"/>
    <w:pPr>
      <w:framePr w:y="15310"/>
      <w:spacing w:line="0" w:lineRule="atLeast"/>
    </w:pPr>
    <w:rPr>
      <w:rFonts w:ascii="黑体" w:eastAsia="黑体"/>
      <w:b w:val="0"/>
    </w:rPr>
  </w:style>
  <w:style w:type="paragraph" w:customStyle="1" w:styleId="114">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5">
    <w:name w:val="其他发布日期"/>
    <w:basedOn w:val="81"/>
    <w:qFormat/>
    <w:uiPriority w:val="0"/>
    <w:pPr>
      <w:framePr w:vAnchor="page" w:hAnchor="page" w:x="1419"/>
    </w:pPr>
  </w:style>
  <w:style w:type="paragraph" w:customStyle="1" w:styleId="11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119">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20">
    <w:name w:val="示例×："/>
    <w:basedOn w:val="87"/>
    <w:qFormat/>
    <w:uiPriority w:val="0"/>
    <w:pPr>
      <w:numPr>
        <w:ilvl w:val="0"/>
        <w:numId w:val="15"/>
      </w:numPr>
      <w:spacing w:before="0" w:beforeLines="0" w:after="0" w:afterLines="0"/>
      <w:outlineLvl w:val="9"/>
    </w:pPr>
    <w:rPr>
      <w:rFonts w:ascii="宋体" w:eastAsia="宋体"/>
      <w:sz w:val="18"/>
      <w:szCs w:val="18"/>
    </w:rPr>
  </w:style>
  <w:style w:type="paragraph" w:customStyle="1" w:styleId="121">
    <w:name w:val="附录五级条标题"/>
    <w:basedOn w:val="57"/>
    <w:next w:val="22"/>
    <w:qFormat/>
    <w:uiPriority w:val="0"/>
    <w:pPr>
      <w:numPr>
        <w:ilvl w:val="6"/>
        <w:numId w:val="4"/>
      </w:numPr>
      <w:outlineLvl w:val="6"/>
    </w:pPr>
  </w:style>
  <w:style w:type="paragraph" w:customStyle="1" w:styleId="122">
    <w:name w:val="前言、引言标题"/>
    <w:next w:val="2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3">
    <w:name w:val="列项●（二级）"/>
    <w:qFormat/>
    <w:uiPriority w:val="0"/>
    <w:pPr>
      <w:numPr>
        <w:ilvl w:val="1"/>
        <w:numId w:val="7"/>
      </w:numPr>
      <w:tabs>
        <w:tab w:val="left" w:pos="840"/>
      </w:tabs>
      <w:jc w:val="both"/>
    </w:pPr>
    <w:rPr>
      <w:rFonts w:ascii="宋体" w:hAnsi="Times New Roman" w:eastAsia="宋体" w:cs="Times New Roman"/>
      <w:sz w:val="21"/>
      <w:lang w:val="en-US" w:eastAsia="zh-CN" w:bidi="ar-SA"/>
    </w:rPr>
  </w:style>
  <w:style w:type="paragraph" w:customStyle="1" w:styleId="124">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5">
    <w:name w:val="附录公式"/>
    <w:basedOn w:val="22"/>
    <w:next w:val="22"/>
    <w:link w:val="133"/>
    <w:qFormat/>
    <w:uiPriority w:val="0"/>
  </w:style>
  <w:style w:type="paragraph" w:customStyle="1" w:styleId="126">
    <w:name w:val="Table Paragraph"/>
    <w:basedOn w:val="1"/>
    <w:qFormat/>
    <w:uiPriority w:val="1"/>
    <w:pPr>
      <w:jc w:val="center"/>
    </w:pPr>
  </w:style>
  <w:style w:type="paragraph" w:customStyle="1" w:styleId="12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28">
    <w:name w:val="注×："/>
    <w:qFormat/>
    <w:uiPriority w:val="0"/>
    <w:pPr>
      <w:widowControl w:val="0"/>
      <w:numPr>
        <w:ilvl w:val="0"/>
        <w:numId w:val="16"/>
      </w:numPr>
      <w:autoSpaceDE w:val="0"/>
      <w:autoSpaceDN w:val="0"/>
      <w:jc w:val="both"/>
    </w:pPr>
    <w:rPr>
      <w:rFonts w:ascii="宋体" w:hAnsi="Times New Roman" w:eastAsia="宋体" w:cs="Times New Roman"/>
      <w:sz w:val="18"/>
      <w:szCs w:val="18"/>
      <w:lang w:val="en-US" w:eastAsia="zh-CN" w:bidi="ar-SA"/>
    </w:rPr>
  </w:style>
  <w:style w:type="paragraph" w:customStyle="1" w:styleId="129">
    <w:name w:val="附录五级无"/>
    <w:basedOn w:val="121"/>
    <w:qFormat/>
    <w:uiPriority w:val="0"/>
    <w:pPr>
      <w:tabs>
        <w:tab w:val="clear" w:pos="360"/>
      </w:tabs>
      <w:spacing w:before="0" w:beforeLines="0" w:after="0" w:afterLines="0"/>
    </w:pPr>
    <w:rPr>
      <w:rFonts w:ascii="宋体" w:eastAsia="宋体"/>
      <w:szCs w:val="21"/>
    </w:rPr>
  </w:style>
  <w:style w:type="paragraph" w:customStyle="1" w:styleId="13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1">
    <w:name w:val="正文图标题"/>
    <w:next w:val="22"/>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character" w:customStyle="1" w:styleId="132">
    <w:name w:val="发布"/>
    <w:qFormat/>
    <w:uiPriority w:val="0"/>
    <w:rPr>
      <w:rFonts w:ascii="黑体" w:eastAsia="黑体"/>
      <w:spacing w:val="85"/>
      <w:w w:val="100"/>
      <w:position w:val="3"/>
      <w:sz w:val="28"/>
      <w:szCs w:val="28"/>
    </w:rPr>
  </w:style>
  <w:style w:type="character" w:customStyle="1" w:styleId="133">
    <w:name w:val="附录公式 Char"/>
    <w:basedOn w:val="134"/>
    <w:link w:val="125"/>
    <w:qFormat/>
    <w:uiPriority w:val="0"/>
  </w:style>
  <w:style w:type="character" w:customStyle="1" w:styleId="134">
    <w:name w:val="段 Char"/>
    <w:link w:val="22"/>
    <w:qFormat/>
    <w:uiPriority w:val="0"/>
    <w:rPr>
      <w:rFonts w:ascii="宋体"/>
      <w:sz w:val="21"/>
      <w:lang w:val="en-US" w:eastAsia="zh-CN" w:bidi="ar-SA"/>
    </w:rPr>
  </w:style>
  <w:style w:type="character" w:customStyle="1" w:styleId="135">
    <w:name w:val="正文文本 Char"/>
    <w:link w:val="9"/>
    <w:qFormat/>
    <w:uiPriority w:val="1"/>
    <w:rPr>
      <w:kern w:val="2"/>
      <w:sz w:val="21"/>
      <w:szCs w:val="21"/>
    </w:rPr>
  </w:style>
  <w:style w:type="character" w:customStyle="1" w:styleId="136">
    <w:name w:val="首示例 Char"/>
    <w:link w:val="77"/>
    <w:qFormat/>
    <w:uiPriority w:val="0"/>
    <w:rPr>
      <w:rFonts w:ascii="宋体" w:hAnsi="宋体"/>
      <w:kern w:val="2"/>
      <w:sz w:val="18"/>
      <w:szCs w:val="18"/>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wmf"/><Relationship Id="rId11" Type="http://schemas.openxmlformats.org/officeDocument/2006/relationships/oleObject" Target="embeddings/oleObject1.bin"/><Relationship Id="rId10" Type="http://schemas.openxmlformats.org/officeDocument/2006/relationships/image" Target="media/image1.tiff"/><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7743;&#33487;&#12298;&#29123;&#27668;&#30005;&#21378;&#22823;&#27668;&#27745;&#26579;&#29289;&#25490;&#25918;&#26631;&#20934;&#12299;&#36865;&#23457;&#31295;\13.&#12298;&#29123;&#27668;&#30005;&#21378;&#22823;&#27668;&#27745;&#26579;&#29289;&#25490;&#25918;&#26631;&#20934;&#12299;&#26631;&#20934;&#25991;&#26412;&#65288;&#36865;&#23457;&#31295;&#23457;&#26597;&#20250;&#21518;--&#31532;3&#29256;&#6528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13.《燃气电厂大气污染物排放标准》标准文本（送审稿审查会后--第3版）.dot</Template>
  <Pages>10</Pages>
  <Words>3260</Words>
  <Characters>3842</Characters>
  <Lines>33</Lines>
  <Paragraphs>9</Paragraphs>
  <TotalTime>44</TotalTime>
  <ScaleCrop>false</ScaleCrop>
  <LinksUpToDate>false</LinksUpToDate>
  <CharactersWithSpaces>4132</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2021-07-22T02:25:00Z</dcterms:created>
  <cp:lastPrinted>2021-07-29T02:07:00Z</cp:lastPrinted>
  <dcterms:modified xsi:type="dcterms:W3CDTF">2022-03-31T06:06:24Z</dcterms:modified>
  <dc:title>标准名称</dc:title>
  <cp:revision>311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