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方正仿宋_GBK" w:cs="Times New Roman"/>
          <w:sz w:val="32"/>
          <w:szCs w:val="32"/>
        </w:rPr>
      </w:pPr>
      <w:r>
        <w:rPr>
          <w:rFonts w:ascii="Times New Roman" w:hAnsi="Times New Roman" w:eastAsia="方正仿宋_GBK" w:cs="Times New Roman"/>
          <w:sz w:val="32"/>
          <w:szCs w:val="32"/>
        </w:rPr>
        <w:t>附件1</w:t>
      </w:r>
    </w:p>
    <w:p>
      <w:pPr>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服务</w:t>
      </w:r>
      <w:r>
        <w:rPr>
          <w:rFonts w:hint="eastAsia" w:ascii="Times New Roman" w:hAnsi="Times New Roman" w:eastAsia="方正小标宋_GBK" w:cs="Times New Roman"/>
          <w:sz w:val="44"/>
          <w:szCs w:val="44"/>
        </w:rPr>
        <w:t>支撑</w:t>
      </w:r>
      <w:r>
        <w:rPr>
          <w:rFonts w:ascii="Times New Roman" w:hAnsi="Times New Roman" w:eastAsia="方正小标宋_GBK" w:cs="Times New Roman"/>
          <w:sz w:val="44"/>
          <w:szCs w:val="44"/>
        </w:rPr>
        <w:t>机构管理工作要求</w:t>
      </w:r>
    </w:p>
    <w:p>
      <w:pPr>
        <w:snapToGrid w:val="0"/>
        <w:spacing w:line="590" w:lineRule="exact"/>
        <w:ind w:right="-40" w:rightChars="-19"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根据2022年江苏省工业信息安全防护星级企业培育工作安排，</w:t>
      </w:r>
      <w:r>
        <w:rPr>
          <w:rFonts w:hint="eastAsia" w:ascii="Times New Roman" w:hAnsi="Times New Roman" w:eastAsia="方正仿宋_GBK" w:cs="Times New Roman"/>
          <w:sz w:val="32"/>
        </w:rPr>
        <w:t>在企业开展星级防护能力星级自评估、第三方机构线上评估和现场核查阶段，将由相关服务支撑机构提供自评估咨询、在线评估诊断、提供整改建议、现场核查等服务工作。</w:t>
      </w:r>
      <w:r>
        <w:rPr>
          <w:rFonts w:ascii="Times New Roman" w:hAnsi="Times New Roman" w:eastAsia="方正仿宋_GBK" w:cs="Times New Roman"/>
          <w:sz w:val="32"/>
        </w:rPr>
        <w:t>为保证培育工作质量，</w:t>
      </w:r>
      <w:r>
        <w:rPr>
          <w:rFonts w:hint="eastAsia" w:ascii="Times New Roman" w:hAnsi="Times New Roman" w:eastAsia="方正仿宋_GBK" w:cs="Times New Roman"/>
          <w:sz w:val="32"/>
        </w:rPr>
        <w:t>加强</w:t>
      </w:r>
      <w:r>
        <w:rPr>
          <w:rFonts w:ascii="Times New Roman" w:hAnsi="Times New Roman" w:eastAsia="方正仿宋_GBK" w:cs="Times New Roman"/>
          <w:sz w:val="32"/>
        </w:rPr>
        <w:t>对</w:t>
      </w:r>
      <w:r>
        <w:rPr>
          <w:rFonts w:hint="eastAsia" w:ascii="Times New Roman" w:hAnsi="Times New Roman" w:eastAsia="方正仿宋_GBK" w:cs="Times New Roman"/>
          <w:sz w:val="32"/>
        </w:rPr>
        <w:t>自评估咨询</w:t>
      </w:r>
      <w:r>
        <w:rPr>
          <w:rFonts w:ascii="Times New Roman" w:hAnsi="Times New Roman" w:eastAsia="方正仿宋_GBK" w:cs="Times New Roman"/>
          <w:sz w:val="32"/>
        </w:rPr>
        <w:t>服务</w:t>
      </w:r>
      <w:r>
        <w:rPr>
          <w:rFonts w:hint="eastAsia" w:ascii="Times New Roman" w:hAnsi="Times New Roman" w:eastAsia="方正仿宋_GBK" w:cs="Times New Roman"/>
          <w:sz w:val="32"/>
        </w:rPr>
        <w:t>机构和第三方评估服务</w:t>
      </w:r>
      <w:r>
        <w:rPr>
          <w:rFonts w:ascii="Times New Roman" w:hAnsi="Times New Roman" w:eastAsia="方正仿宋_GBK" w:cs="Times New Roman"/>
          <w:sz w:val="32"/>
        </w:rPr>
        <w:t>机构</w:t>
      </w:r>
      <w:r>
        <w:rPr>
          <w:rFonts w:hint="eastAsia" w:ascii="Times New Roman" w:hAnsi="Times New Roman" w:eastAsia="方正仿宋_GBK" w:cs="Times New Roman"/>
          <w:sz w:val="32"/>
        </w:rPr>
        <w:t>的</w:t>
      </w:r>
      <w:r>
        <w:rPr>
          <w:rFonts w:ascii="Times New Roman" w:hAnsi="Times New Roman" w:eastAsia="方正仿宋_GBK" w:cs="Times New Roman"/>
          <w:sz w:val="32"/>
        </w:rPr>
        <w:t>管理</w:t>
      </w:r>
      <w:r>
        <w:rPr>
          <w:rFonts w:hint="eastAsia" w:ascii="Times New Roman" w:hAnsi="Times New Roman" w:eastAsia="方正仿宋_GBK" w:cs="Times New Roman"/>
          <w:sz w:val="32"/>
        </w:rPr>
        <w:t>，提出管理要求如下</w:t>
      </w:r>
      <w:r>
        <w:rPr>
          <w:rFonts w:ascii="Times New Roman" w:hAnsi="Times New Roman" w:eastAsia="方正仿宋_GBK" w:cs="Times New Roman"/>
          <w:sz w:val="32"/>
        </w:rPr>
        <w:t>：</w:t>
      </w:r>
    </w:p>
    <w:p>
      <w:pPr>
        <w:snapToGrid w:val="0"/>
        <w:spacing w:line="590" w:lineRule="exact"/>
        <w:ind w:right="-40" w:rightChars="-19" w:firstLine="640" w:firstLineChars="200"/>
        <w:rPr>
          <w:rFonts w:ascii="黑体" w:hAnsi="黑体" w:eastAsia="黑体" w:cs="Times New Roman"/>
          <w:sz w:val="32"/>
        </w:rPr>
      </w:pPr>
      <w:r>
        <w:rPr>
          <w:rFonts w:hint="eastAsia" w:ascii="黑体" w:hAnsi="黑体" w:eastAsia="黑体" w:cs="Times New Roman"/>
          <w:sz w:val="32"/>
        </w:rPr>
        <w:t>一、自评估咨询服务机构</w:t>
      </w:r>
    </w:p>
    <w:p>
      <w:pPr>
        <w:snapToGrid w:val="0"/>
        <w:spacing w:line="590" w:lineRule="exact"/>
        <w:ind w:right="-40" w:rightChars="-19"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 各设区市可指定2-5家</w:t>
      </w:r>
      <w:r>
        <w:rPr>
          <w:rFonts w:hint="eastAsia" w:ascii="Times New Roman" w:hAnsi="Times New Roman" w:eastAsia="方正仿宋_GBK" w:cs="Times New Roman"/>
          <w:sz w:val="32"/>
        </w:rPr>
        <w:t>单位</w:t>
      </w:r>
      <w:r>
        <w:rPr>
          <w:rFonts w:ascii="Times New Roman" w:hAnsi="Times New Roman" w:eastAsia="方正仿宋_GBK" w:cs="Times New Roman"/>
          <w:sz w:val="32"/>
        </w:rPr>
        <w:t>作为在本地区开展企业自评估咨询服务的机构；指定的服务机构中，至少</w:t>
      </w:r>
      <w:r>
        <w:rPr>
          <w:rFonts w:hint="eastAsia" w:ascii="Times New Roman" w:hAnsi="Times New Roman" w:eastAsia="方正仿宋_GBK" w:cs="Times New Roman"/>
          <w:sz w:val="32"/>
        </w:rPr>
        <w:t>需</w:t>
      </w:r>
      <w:r>
        <w:rPr>
          <w:rFonts w:ascii="Times New Roman" w:hAnsi="Times New Roman" w:eastAsia="方正仿宋_GBK" w:cs="Times New Roman"/>
          <w:sz w:val="32"/>
        </w:rPr>
        <w:t>有1家是省级工业信息安全服务支撑机构名单中的</w:t>
      </w:r>
      <w:r>
        <w:rPr>
          <w:rFonts w:hint="eastAsia" w:ascii="Times New Roman" w:hAnsi="Times New Roman" w:eastAsia="方正仿宋_GBK" w:cs="Times New Roman"/>
          <w:sz w:val="32"/>
        </w:rPr>
        <w:t>单位</w:t>
      </w:r>
      <w:r>
        <w:rPr>
          <w:rFonts w:ascii="Times New Roman" w:hAnsi="Times New Roman" w:eastAsia="方正仿宋_GBK" w:cs="Times New Roman"/>
          <w:sz w:val="32"/>
        </w:rPr>
        <w:t>，其它服务机构可选择本地区的工业信息安全技术服务单位。</w:t>
      </w:r>
    </w:p>
    <w:p>
      <w:pPr>
        <w:snapToGrid w:val="0"/>
        <w:spacing w:line="590" w:lineRule="exact"/>
        <w:ind w:right="-40" w:rightChars="-19"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 指定的服务机构</w:t>
      </w:r>
      <w:r>
        <w:rPr>
          <w:rFonts w:hint="eastAsia" w:ascii="Times New Roman" w:hAnsi="Times New Roman" w:eastAsia="方正仿宋_GBK" w:cs="Times New Roman"/>
          <w:sz w:val="32"/>
        </w:rPr>
        <w:t>应具有工业信息安全服务技术能力，包括但不限于工业信息安全风险评估、漏洞检测、应急处置等，服务机构至</w:t>
      </w:r>
      <w:r>
        <w:rPr>
          <w:rFonts w:ascii="Times New Roman" w:hAnsi="Times New Roman" w:eastAsia="方正仿宋_GBK" w:cs="Times New Roman"/>
          <w:sz w:val="32"/>
        </w:rPr>
        <w:t>少提供3人以上的服务团队，服务人员须参加省工信厅组织的统一培训后方可开展咨询服务工作。</w:t>
      </w:r>
    </w:p>
    <w:p>
      <w:pPr>
        <w:snapToGrid w:val="0"/>
        <w:spacing w:line="590" w:lineRule="exact"/>
        <w:ind w:right="-40" w:rightChars="-19"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3. 企业可根据自身需求委托自评估咨询服务机构，也可由当地工信部门指定服务机构。</w:t>
      </w:r>
    </w:p>
    <w:p>
      <w:pPr>
        <w:snapToGrid w:val="0"/>
        <w:spacing w:line="590" w:lineRule="exact"/>
        <w:ind w:right="-40" w:rightChars="-19"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4. 各设区市工信局应对企业做好宣传工作，告知服务机构名单及联系信息，明示咨询服务不收取服务费用</w:t>
      </w:r>
      <w:r>
        <w:rPr>
          <w:rFonts w:hint="eastAsia" w:ascii="Times New Roman" w:hAnsi="Times New Roman" w:eastAsia="方正仿宋_GBK" w:cs="Times New Roman"/>
          <w:sz w:val="32"/>
        </w:rPr>
        <w:t>。</w:t>
      </w:r>
    </w:p>
    <w:p>
      <w:pPr>
        <w:snapToGrid w:val="0"/>
        <w:spacing w:line="590" w:lineRule="exact"/>
        <w:ind w:right="-40" w:rightChars="-19"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5. 服务机构不得帮助企业伪造自评估相关证明材料，省工信厅将委托指定机构对服务机构自评估行为进行监督审查，一旦发现服务机构存在伪造材料等违规行为，将取消其服务机构资格，并通报当地相关主管部门。</w:t>
      </w:r>
    </w:p>
    <w:p>
      <w:pPr>
        <w:snapToGrid w:val="0"/>
        <w:spacing w:line="590" w:lineRule="exact"/>
        <w:ind w:right="-40" w:rightChars="-19"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6</w:t>
      </w:r>
      <w:r>
        <w:rPr>
          <w:rFonts w:ascii="Times New Roman" w:hAnsi="Times New Roman" w:eastAsia="方正仿宋_GBK" w:cs="Times New Roman"/>
          <w:sz w:val="32"/>
        </w:rPr>
        <w:t xml:space="preserve">. </w:t>
      </w:r>
      <w:r>
        <w:rPr>
          <w:rFonts w:hint="eastAsia" w:ascii="Times New Roman" w:hAnsi="Times New Roman" w:eastAsia="方正仿宋_GBK" w:cs="Times New Roman"/>
          <w:sz w:val="32"/>
        </w:rPr>
        <w:t>各企业可对为本单位提供自评估咨询服务的服务机构进行评分，服务评分结果作为各地工信局对自评估咨询服务机构进行评价遴选的重要依据，各地工信部门可根据评价结果对服务机构进行动态管理。</w:t>
      </w:r>
    </w:p>
    <w:p>
      <w:pPr>
        <w:snapToGrid w:val="0"/>
        <w:spacing w:line="590" w:lineRule="exact"/>
        <w:ind w:right="-40" w:rightChars="-19" w:firstLine="640" w:firstLineChars="200"/>
        <w:rPr>
          <w:rFonts w:ascii="黑体" w:hAnsi="黑体" w:eastAsia="黑体" w:cs="Times New Roman"/>
          <w:sz w:val="32"/>
        </w:rPr>
      </w:pPr>
      <w:r>
        <w:rPr>
          <w:rFonts w:hint="eastAsia" w:ascii="黑体" w:hAnsi="黑体" w:eastAsia="黑体" w:cs="Times New Roman"/>
          <w:sz w:val="32"/>
        </w:rPr>
        <w:t>二、第三方评估服务机构</w:t>
      </w:r>
    </w:p>
    <w:p>
      <w:pPr>
        <w:snapToGrid w:val="0"/>
        <w:spacing w:line="59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 xml:space="preserve">1. </w:t>
      </w:r>
      <w:r>
        <w:rPr>
          <w:rFonts w:hint="eastAsia" w:ascii="Times New Roman" w:hAnsi="Times New Roman" w:eastAsia="方正仿宋_GBK" w:cs="Times New Roman"/>
          <w:sz w:val="32"/>
        </w:rPr>
        <w:t>第三方评估服务机构由省工信厅从省级工业信息安全服务支撑机构名单中选择，主要提供企业自评估后的线上评估诊断并提出整改建议、现场核查评估等服务支撑工作。</w:t>
      </w:r>
    </w:p>
    <w:p>
      <w:pPr>
        <w:snapToGrid w:val="0"/>
        <w:spacing w:line="59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 xml:space="preserve">2. </w:t>
      </w:r>
      <w:r>
        <w:rPr>
          <w:rFonts w:hint="eastAsia" w:ascii="Times New Roman" w:hAnsi="Times New Roman" w:eastAsia="方正仿宋_GBK" w:cs="Times New Roman"/>
          <w:sz w:val="32"/>
        </w:rPr>
        <w:t>第三方评估</w:t>
      </w:r>
      <w:r>
        <w:rPr>
          <w:rFonts w:ascii="Times New Roman" w:hAnsi="Times New Roman" w:eastAsia="方正仿宋_GBK" w:cs="Times New Roman"/>
          <w:sz w:val="32"/>
        </w:rPr>
        <w:t>服务机构至少提供10人以上的服务团队，服务人员须参加省工信厅组织的统一培训后方可开展</w:t>
      </w:r>
      <w:r>
        <w:rPr>
          <w:rFonts w:hint="eastAsia" w:ascii="Times New Roman" w:hAnsi="Times New Roman" w:eastAsia="方正仿宋_GBK" w:cs="Times New Roman"/>
          <w:sz w:val="32"/>
        </w:rPr>
        <w:t>线上评估和现场核查评估等</w:t>
      </w:r>
      <w:r>
        <w:rPr>
          <w:rFonts w:ascii="Times New Roman" w:hAnsi="Times New Roman" w:eastAsia="方正仿宋_GBK" w:cs="Times New Roman"/>
          <w:sz w:val="32"/>
        </w:rPr>
        <w:t>服务工作。</w:t>
      </w:r>
    </w:p>
    <w:p>
      <w:pPr>
        <w:snapToGrid w:val="0"/>
        <w:spacing w:line="59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 xml:space="preserve">3. </w:t>
      </w:r>
      <w:r>
        <w:rPr>
          <w:rFonts w:hint="eastAsia" w:ascii="Times New Roman" w:hAnsi="Times New Roman" w:eastAsia="方正仿宋_GBK" w:cs="Times New Roman"/>
          <w:sz w:val="32"/>
        </w:rPr>
        <w:t>省工信厅在培育工作中视情指派第三方评估</w:t>
      </w:r>
      <w:r>
        <w:rPr>
          <w:rFonts w:ascii="Times New Roman" w:hAnsi="Times New Roman" w:eastAsia="方正仿宋_GBK" w:cs="Times New Roman"/>
          <w:sz w:val="32"/>
        </w:rPr>
        <w:t>服务机构</w:t>
      </w:r>
      <w:r>
        <w:rPr>
          <w:rFonts w:hint="eastAsia" w:ascii="Times New Roman" w:hAnsi="Times New Roman" w:eastAsia="方正仿宋_GBK" w:cs="Times New Roman"/>
          <w:sz w:val="32"/>
        </w:rPr>
        <w:t>参与具体评估服务工作</w:t>
      </w:r>
      <w:r>
        <w:rPr>
          <w:rFonts w:ascii="Times New Roman" w:hAnsi="Times New Roman" w:eastAsia="方正仿宋_GBK" w:cs="Times New Roman"/>
          <w:sz w:val="32"/>
        </w:rPr>
        <w:t>。</w:t>
      </w:r>
    </w:p>
    <w:p>
      <w:pPr>
        <w:snapToGrid w:val="0"/>
        <w:spacing w:line="59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 xml:space="preserve">4. </w:t>
      </w:r>
      <w:r>
        <w:rPr>
          <w:rFonts w:hint="eastAsia" w:ascii="Times New Roman" w:hAnsi="Times New Roman" w:eastAsia="方正仿宋_GBK" w:cs="Times New Roman"/>
          <w:sz w:val="32"/>
        </w:rPr>
        <w:t>第三方评估</w:t>
      </w:r>
      <w:r>
        <w:rPr>
          <w:rFonts w:ascii="Times New Roman" w:hAnsi="Times New Roman" w:eastAsia="方正仿宋_GBK" w:cs="Times New Roman"/>
          <w:sz w:val="32"/>
        </w:rPr>
        <w:t>服务机构</w:t>
      </w:r>
      <w:r>
        <w:rPr>
          <w:rFonts w:hint="eastAsia" w:ascii="Times New Roman" w:hAnsi="Times New Roman" w:eastAsia="方正仿宋_GBK" w:cs="Times New Roman"/>
          <w:sz w:val="32"/>
        </w:rPr>
        <w:t>及机构人员在服务过程中不得以任何方式</w:t>
      </w:r>
      <w:r>
        <w:rPr>
          <w:rFonts w:ascii="Times New Roman" w:hAnsi="Times New Roman" w:eastAsia="方正仿宋_GBK" w:cs="Times New Roman"/>
          <w:sz w:val="32"/>
        </w:rPr>
        <w:t>收取服务费用</w:t>
      </w:r>
      <w:r>
        <w:rPr>
          <w:rFonts w:hint="eastAsia" w:ascii="Times New Roman" w:hAnsi="Times New Roman" w:eastAsia="方正仿宋_GBK" w:cs="Times New Roman"/>
          <w:sz w:val="32"/>
        </w:rPr>
        <w:t>。</w:t>
      </w:r>
    </w:p>
    <w:p>
      <w:pPr>
        <w:snapToGrid w:val="0"/>
        <w:spacing w:line="59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5. 服务机构不得帮助企业伪造评估相关证明材料，省工信厅将委托指定机构对服务机构</w:t>
      </w:r>
      <w:r>
        <w:rPr>
          <w:rFonts w:hint="eastAsia" w:ascii="Times New Roman" w:hAnsi="Times New Roman" w:eastAsia="方正仿宋_GBK" w:cs="Times New Roman"/>
          <w:sz w:val="32"/>
        </w:rPr>
        <w:t>服务</w:t>
      </w:r>
      <w:r>
        <w:rPr>
          <w:rFonts w:ascii="Times New Roman" w:hAnsi="Times New Roman" w:eastAsia="方正仿宋_GBK" w:cs="Times New Roman"/>
          <w:sz w:val="32"/>
        </w:rPr>
        <w:t>行为进行监督审查，一旦发现服务机构存在伪造材料等违规行为，将取消其服务机构资格。</w:t>
      </w:r>
    </w:p>
    <w:p>
      <w:pPr>
        <w:snapToGrid w:val="0"/>
        <w:spacing w:line="590"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6</w:t>
      </w:r>
      <w:r>
        <w:rPr>
          <w:rFonts w:ascii="Times New Roman" w:hAnsi="Times New Roman" w:eastAsia="方正仿宋_GBK" w:cs="Times New Roman"/>
          <w:sz w:val="32"/>
        </w:rPr>
        <w:t xml:space="preserve">. </w:t>
      </w:r>
      <w:r>
        <w:rPr>
          <w:rFonts w:hint="eastAsia" w:ascii="Times New Roman" w:hAnsi="Times New Roman" w:eastAsia="方正仿宋_GBK" w:cs="Times New Roman"/>
          <w:sz w:val="32"/>
        </w:rPr>
        <w:t>省工信厅将根据各服务机构服务情况对其进行评分，遴选年度工业信息安全优秀服务商。评分结果同时作为下一年度省级工业信息安全服务支撑机构遴选的重要依据。</w:t>
      </w:r>
    </w:p>
    <w:p>
      <w:pPr>
        <w:snapToGrid w:val="0"/>
        <w:spacing w:line="590" w:lineRule="exact"/>
        <w:ind w:right="-40" w:rightChars="-19" w:firstLine="640" w:firstLineChars="200"/>
        <w:jc w:val="left"/>
        <w:rPr>
          <w:rFonts w:ascii="Times New Roman" w:hAnsi="Times New Roman" w:eastAsia="方正仿宋_GBK" w:cs="Times New Roman"/>
          <w:sz w:val="32"/>
        </w:rPr>
      </w:pPr>
    </w:p>
    <w:p>
      <w:pPr>
        <w:snapToGrid w:val="0"/>
        <w:spacing w:line="590" w:lineRule="exact"/>
        <w:ind w:right="-40" w:rightChars="-19" w:firstLine="640" w:firstLineChars="200"/>
        <w:jc w:val="left"/>
        <w:rPr>
          <w:rFonts w:ascii="Times New Roman" w:hAnsi="Times New Roman" w:eastAsia="方正仿宋_GBK" w:cs="Times New Roman"/>
          <w:sz w:val="32"/>
        </w:rPr>
      </w:pPr>
      <w:r>
        <w:rPr>
          <w:rFonts w:ascii="Times New Roman" w:hAnsi="Times New Roman" w:eastAsia="方正仿宋_GBK" w:cs="Times New Roman"/>
          <w:sz w:val="32"/>
        </w:rPr>
        <w:t>附：1. 企业自评估咨询对接表</w:t>
      </w:r>
    </w:p>
    <w:p>
      <w:pPr>
        <w:snapToGrid w:val="0"/>
        <w:spacing w:line="590" w:lineRule="exact"/>
        <w:ind w:right="-40" w:rightChars="-19" w:firstLine="640" w:firstLineChars="200"/>
        <w:jc w:val="left"/>
        <w:rPr>
          <w:rFonts w:ascii="Times New Roman" w:hAnsi="Times New Roman" w:eastAsia="方正仿宋_GBK" w:cs="Times New Roman"/>
          <w:sz w:val="32"/>
        </w:rPr>
      </w:pPr>
      <w:r>
        <w:rPr>
          <w:rFonts w:ascii="Times New Roman" w:hAnsi="Times New Roman" w:eastAsia="方正仿宋_GBK" w:cs="Times New Roman"/>
          <w:sz w:val="32"/>
        </w:rPr>
        <w:t xml:space="preserve">    2. 企业自评估咨询汇总表</w:t>
      </w:r>
    </w:p>
    <w:p>
      <w:pPr>
        <w:snapToGrid w:val="0"/>
        <w:spacing w:line="590" w:lineRule="exact"/>
        <w:ind w:right="-40" w:rightChars="-19" w:firstLine="640" w:firstLineChars="200"/>
        <w:jc w:val="left"/>
        <w:rPr>
          <w:rFonts w:ascii="Times New Roman" w:hAnsi="Times New Roman" w:eastAsia="方正仿宋_GBK" w:cs="Times New Roman"/>
          <w:sz w:val="32"/>
        </w:rPr>
      </w:pPr>
      <w:r>
        <w:rPr>
          <w:rFonts w:ascii="Times New Roman" w:hAnsi="Times New Roman" w:eastAsia="方正仿宋_GBK" w:cs="Times New Roman"/>
          <w:sz w:val="32"/>
        </w:rPr>
        <w:t xml:space="preserve">    3. 省级工业信息安全服务支撑机构简介</w:t>
      </w:r>
    </w:p>
    <w:p>
      <w:pPr>
        <w:widowControl/>
        <w:jc w:val="left"/>
        <w:rPr>
          <w:rFonts w:ascii="Times New Roman" w:hAnsi="Times New Roman" w:eastAsia="方正仿宋_GBK" w:cs="Times New Roman"/>
          <w:sz w:val="32"/>
        </w:rPr>
      </w:pPr>
      <w:r>
        <w:rPr>
          <w:rFonts w:ascii="Times New Roman" w:hAnsi="Times New Roman" w:eastAsia="方正仿宋_GBK" w:cs="Times New Roman"/>
          <w:sz w:val="32"/>
        </w:rPr>
        <w:br w:type="page"/>
      </w:r>
    </w:p>
    <w:p>
      <w:pPr>
        <w:snapToGrid w:val="0"/>
        <w:spacing w:line="590" w:lineRule="exact"/>
        <w:ind w:right="-40" w:rightChars="-19"/>
        <w:jc w:val="center"/>
        <w:rPr>
          <w:rFonts w:ascii="黑体" w:hAnsi="黑体" w:eastAsia="黑体" w:cs="Times New Roman"/>
          <w:sz w:val="32"/>
          <w:szCs w:val="32"/>
        </w:rPr>
      </w:pPr>
    </w:p>
    <w:p>
      <w:pPr>
        <w:snapToGrid w:val="0"/>
        <w:spacing w:line="590" w:lineRule="exact"/>
        <w:ind w:right="-40" w:rightChars="-19"/>
        <w:jc w:val="center"/>
        <w:rPr>
          <w:rFonts w:ascii="黑体" w:hAnsi="黑体" w:eastAsia="黑体" w:cs="Times New Roman"/>
          <w:sz w:val="32"/>
          <w:szCs w:val="32"/>
        </w:rPr>
      </w:pPr>
      <w:r>
        <w:rPr>
          <w:rFonts w:ascii="黑体" w:hAnsi="黑体" w:eastAsia="黑体" w:cs="Times New Roman"/>
          <w:sz w:val="32"/>
          <w:szCs w:val="32"/>
        </w:rPr>
        <w:t>企业自评估咨询对接表</w:t>
      </w:r>
    </w:p>
    <w:p>
      <w:pPr>
        <w:snapToGrid w:val="0"/>
        <w:spacing w:line="590" w:lineRule="exact"/>
        <w:ind w:right="-40" w:rightChars="-19"/>
        <w:jc w:val="left"/>
        <w:rPr>
          <w:rFonts w:ascii="Times New Roman" w:hAnsi="Times New Roman" w:eastAsia="方正仿宋_GBK" w:cs="Times New Roman"/>
          <w:sz w:val="32"/>
        </w:rPr>
      </w:pPr>
    </w:p>
    <w:p>
      <w:pPr>
        <w:snapToGrid w:val="0"/>
        <w:spacing w:line="590" w:lineRule="exact"/>
        <w:ind w:right="-40" w:rightChars="-19"/>
        <w:jc w:val="left"/>
        <w:rPr>
          <w:rFonts w:ascii="Times New Roman" w:hAnsi="Times New Roman" w:eastAsia="方正仿宋_GBK" w:cs="Times New Roman"/>
          <w:sz w:val="32"/>
        </w:rPr>
      </w:pPr>
      <w:r>
        <w:rPr>
          <w:rFonts w:hint="eastAsia" w:ascii="Times New Roman" w:hAnsi="Times New Roman" w:eastAsia="方正仿宋_GBK" w:cs="Times New Roman"/>
          <w:sz w:val="32"/>
        </w:rPr>
        <w:t>企业</w:t>
      </w:r>
      <w:r>
        <w:rPr>
          <w:rFonts w:ascii="Times New Roman" w:hAnsi="Times New Roman" w:eastAsia="方正仿宋_GBK" w:cs="Times New Roman"/>
          <w:sz w:val="32"/>
        </w:rPr>
        <w:t>名称：</w:t>
      </w:r>
    </w:p>
    <w:tbl>
      <w:tblPr>
        <w:tblStyle w:val="6"/>
        <w:tblW w:w="8647"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5"/>
        <w:gridCol w:w="3118"/>
        <w:gridCol w:w="212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1135" w:type="dxa"/>
          </w:tcPr>
          <w:p>
            <w:pPr>
              <w:snapToGrid w:val="0"/>
              <w:spacing w:line="590" w:lineRule="exact"/>
              <w:ind w:right="-40" w:rightChars="-19"/>
              <w:jc w:val="left"/>
              <w:rPr>
                <w:rFonts w:ascii="Times New Roman" w:hAnsi="Times New Roman" w:eastAsia="方正仿宋_GBK" w:cs="Times New Roman"/>
                <w:b/>
                <w:sz w:val="28"/>
                <w:szCs w:val="28"/>
              </w:rPr>
            </w:pPr>
            <w:r>
              <w:rPr>
                <w:rFonts w:hint="eastAsia" w:ascii="Times New Roman" w:hAnsi="Times New Roman" w:eastAsia="方正仿宋_GBK" w:cs="Times New Roman"/>
                <w:b/>
                <w:sz w:val="28"/>
                <w:szCs w:val="28"/>
              </w:rPr>
              <w:t>序号</w:t>
            </w:r>
          </w:p>
        </w:tc>
        <w:tc>
          <w:tcPr>
            <w:tcW w:w="3118" w:type="dxa"/>
          </w:tcPr>
          <w:p>
            <w:pPr>
              <w:snapToGrid w:val="0"/>
              <w:spacing w:line="590" w:lineRule="exact"/>
              <w:ind w:right="-40" w:rightChars="-19"/>
              <w:jc w:val="left"/>
              <w:rPr>
                <w:rFonts w:ascii="Times New Roman" w:hAnsi="Times New Roman" w:eastAsia="方正仿宋_GBK" w:cs="Times New Roman"/>
                <w:b/>
                <w:sz w:val="28"/>
                <w:szCs w:val="28"/>
              </w:rPr>
            </w:pPr>
            <w:r>
              <w:rPr>
                <w:rFonts w:hint="eastAsia" w:ascii="Times New Roman" w:hAnsi="Times New Roman" w:eastAsia="方正仿宋_GBK" w:cs="Times New Roman"/>
                <w:b/>
                <w:sz w:val="28"/>
                <w:szCs w:val="28"/>
              </w:rPr>
              <w:t>服务机构名称</w:t>
            </w:r>
          </w:p>
        </w:tc>
        <w:tc>
          <w:tcPr>
            <w:tcW w:w="2126" w:type="dxa"/>
          </w:tcPr>
          <w:p>
            <w:pPr>
              <w:snapToGrid w:val="0"/>
              <w:spacing w:line="590" w:lineRule="exact"/>
              <w:ind w:right="-40" w:rightChars="-19"/>
              <w:jc w:val="left"/>
              <w:rPr>
                <w:rFonts w:ascii="Times New Roman" w:hAnsi="Times New Roman" w:eastAsia="方正仿宋_GBK" w:cs="Times New Roman"/>
                <w:b/>
                <w:sz w:val="28"/>
                <w:szCs w:val="28"/>
              </w:rPr>
            </w:pPr>
            <w:r>
              <w:rPr>
                <w:rFonts w:hint="eastAsia" w:ascii="Times New Roman" w:hAnsi="Times New Roman" w:eastAsia="方正仿宋_GBK" w:cs="Times New Roman"/>
                <w:b/>
                <w:sz w:val="28"/>
                <w:szCs w:val="28"/>
              </w:rPr>
              <w:t>企业自选</w:t>
            </w:r>
            <w:r>
              <w:rPr>
                <w:rFonts w:hint="eastAsia" w:ascii="方正仿宋_GBK" w:hAnsi="Times New Roman" w:eastAsia="方正仿宋_GBK" w:cs="Times New Roman"/>
                <w:b/>
                <w:sz w:val="28"/>
                <w:szCs w:val="28"/>
              </w:rPr>
              <w:t>□</w:t>
            </w:r>
          </w:p>
        </w:tc>
        <w:tc>
          <w:tcPr>
            <w:tcW w:w="2268" w:type="dxa"/>
          </w:tcPr>
          <w:p>
            <w:pPr>
              <w:snapToGrid w:val="0"/>
              <w:spacing w:line="590" w:lineRule="exact"/>
              <w:ind w:right="-40" w:rightChars="-19"/>
              <w:jc w:val="left"/>
              <w:rPr>
                <w:rFonts w:ascii="Times New Roman" w:hAnsi="Times New Roman" w:eastAsia="方正仿宋_GBK" w:cs="Times New Roman"/>
                <w:b/>
                <w:sz w:val="28"/>
                <w:szCs w:val="28"/>
              </w:rPr>
            </w:pPr>
            <w:r>
              <w:rPr>
                <w:rFonts w:hint="eastAsia" w:ascii="Times New Roman" w:hAnsi="Times New Roman" w:eastAsia="方正仿宋_GBK" w:cs="Times New Roman"/>
                <w:b/>
                <w:sz w:val="28"/>
                <w:szCs w:val="28"/>
              </w:rPr>
              <w:t>工信局指定</w:t>
            </w:r>
            <w:r>
              <w:rPr>
                <w:rFonts w:hint="eastAsia" w:ascii="方正仿宋_GBK" w:hAnsi="Times New Roman" w:eastAsia="方正仿宋_GBK" w:cs="Times New Roman"/>
                <w:b/>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napToGrid w:val="0"/>
              <w:spacing w:line="590" w:lineRule="exact"/>
              <w:ind w:right="-40" w:rightChars="-19"/>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1</w:t>
            </w:r>
          </w:p>
        </w:tc>
        <w:tc>
          <w:tcPr>
            <w:tcW w:w="3118" w:type="dxa"/>
          </w:tcPr>
          <w:p>
            <w:pPr>
              <w:snapToGrid w:val="0"/>
              <w:spacing w:line="590" w:lineRule="exact"/>
              <w:ind w:right="-40" w:rightChars="-19"/>
              <w:jc w:val="left"/>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（此列由各设区市工信局填写，下同）</w:t>
            </w:r>
          </w:p>
        </w:tc>
        <w:tc>
          <w:tcPr>
            <w:tcW w:w="2126" w:type="dxa"/>
          </w:tcPr>
          <w:p>
            <w:pPr>
              <w:snapToGrid w:val="0"/>
              <w:spacing w:line="590" w:lineRule="exact"/>
              <w:ind w:right="-40" w:rightChars="-19"/>
              <w:jc w:val="left"/>
              <w:rPr>
                <w:rFonts w:ascii="Times New Roman" w:hAnsi="Times New Roman" w:eastAsia="方正仿宋_GBK" w:cs="Times New Roman"/>
                <w:sz w:val="28"/>
                <w:szCs w:val="28"/>
              </w:rPr>
            </w:pPr>
          </w:p>
        </w:tc>
        <w:tc>
          <w:tcPr>
            <w:tcW w:w="2268" w:type="dxa"/>
          </w:tcPr>
          <w:p>
            <w:pPr>
              <w:snapToGrid w:val="0"/>
              <w:spacing w:line="590" w:lineRule="exact"/>
              <w:ind w:right="-40" w:rightChars="-19"/>
              <w:jc w:val="left"/>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napToGrid w:val="0"/>
              <w:spacing w:line="590" w:lineRule="exact"/>
              <w:ind w:right="-40" w:rightChars="-19"/>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2</w:t>
            </w:r>
          </w:p>
        </w:tc>
        <w:tc>
          <w:tcPr>
            <w:tcW w:w="3118" w:type="dxa"/>
          </w:tcPr>
          <w:p>
            <w:pPr>
              <w:snapToGrid w:val="0"/>
              <w:spacing w:line="590" w:lineRule="exact"/>
              <w:ind w:right="-40" w:rightChars="-19"/>
              <w:jc w:val="left"/>
              <w:rPr>
                <w:rFonts w:ascii="Times New Roman" w:hAnsi="Times New Roman" w:eastAsia="方正仿宋_GBK" w:cs="Times New Roman"/>
                <w:sz w:val="28"/>
                <w:szCs w:val="28"/>
              </w:rPr>
            </w:pPr>
          </w:p>
        </w:tc>
        <w:tc>
          <w:tcPr>
            <w:tcW w:w="2126" w:type="dxa"/>
          </w:tcPr>
          <w:p>
            <w:pPr>
              <w:snapToGrid w:val="0"/>
              <w:spacing w:line="590" w:lineRule="exact"/>
              <w:ind w:right="-40" w:rightChars="-19"/>
              <w:jc w:val="left"/>
              <w:rPr>
                <w:rFonts w:ascii="Times New Roman" w:hAnsi="Times New Roman" w:eastAsia="方正仿宋_GBK" w:cs="Times New Roman"/>
                <w:sz w:val="28"/>
                <w:szCs w:val="28"/>
              </w:rPr>
            </w:pPr>
          </w:p>
        </w:tc>
        <w:tc>
          <w:tcPr>
            <w:tcW w:w="2268" w:type="dxa"/>
          </w:tcPr>
          <w:p>
            <w:pPr>
              <w:snapToGrid w:val="0"/>
              <w:spacing w:line="590" w:lineRule="exact"/>
              <w:ind w:right="-40" w:rightChars="-19"/>
              <w:jc w:val="left"/>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napToGrid w:val="0"/>
              <w:spacing w:line="590" w:lineRule="exact"/>
              <w:ind w:right="-40" w:rightChars="-19"/>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3</w:t>
            </w:r>
          </w:p>
        </w:tc>
        <w:tc>
          <w:tcPr>
            <w:tcW w:w="3118" w:type="dxa"/>
          </w:tcPr>
          <w:p>
            <w:pPr>
              <w:snapToGrid w:val="0"/>
              <w:spacing w:line="590" w:lineRule="exact"/>
              <w:ind w:right="-40" w:rightChars="-19"/>
              <w:jc w:val="left"/>
              <w:rPr>
                <w:rFonts w:ascii="Times New Roman" w:hAnsi="Times New Roman" w:eastAsia="方正仿宋_GBK" w:cs="Times New Roman"/>
                <w:sz w:val="28"/>
                <w:szCs w:val="28"/>
              </w:rPr>
            </w:pPr>
          </w:p>
        </w:tc>
        <w:tc>
          <w:tcPr>
            <w:tcW w:w="2126" w:type="dxa"/>
          </w:tcPr>
          <w:p>
            <w:pPr>
              <w:snapToGrid w:val="0"/>
              <w:spacing w:line="590" w:lineRule="exact"/>
              <w:ind w:right="-40" w:rightChars="-19"/>
              <w:jc w:val="left"/>
              <w:rPr>
                <w:rFonts w:ascii="Times New Roman" w:hAnsi="Times New Roman" w:eastAsia="方正仿宋_GBK" w:cs="Times New Roman"/>
                <w:sz w:val="28"/>
                <w:szCs w:val="28"/>
              </w:rPr>
            </w:pPr>
          </w:p>
        </w:tc>
        <w:tc>
          <w:tcPr>
            <w:tcW w:w="2268" w:type="dxa"/>
          </w:tcPr>
          <w:p>
            <w:pPr>
              <w:snapToGrid w:val="0"/>
              <w:spacing w:line="590" w:lineRule="exact"/>
              <w:ind w:right="-40" w:rightChars="-19"/>
              <w:jc w:val="left"/>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napToGrid w:val="0"/>
              <w:spacing w:line="590" w:lineRule="exact"/>
              <w:ind w:right="-40" w:rightChars="-19"/>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4</w:t>
            </w:r>
          </w:p>
        </w:tc>
        <w:tc>
          <w:tcPr>
            <w:tcW w:w="3118" w:type="dxa"/>
          </w:tcPr>
          <w:p>
            <w:pPr>
              <w:snapToGrid w:val="0"/>
              <w:spacing w:line="590" w:lineRule="exact"/>
              <w:ind w:right="-40" w:rightChars="-19"/>
              <w:jc w:val="left"/>
              <w:rPr>
                <w:rFonts w:ascii="Times New Roman" w:hAnsi="Times New Roman" w:eastAsia="方正仿宋_GBK" w:cs="Times New Roman"/>
                <w:sz w:val="28"/>
                <w:szCs w:val="28"/>
              </w:rPr>
            </w:pPr>
          </w:p>
        </w:tc>
        <w:tc>
          <w:tcPr>
            <w:tcW w:w="2126" w:type="dxa"/>
          </w:tcPr>
          <w:p>
            <w:pPr>
              <w:snapToGrid w:val="0"/>
              <w:spacing w:line="590" w:lineRule="exact"/>
              <w:ind w:right="-40" w:rightChars="-19"/>
              <w:jc w:val="left"/>
              <w:rPr>
                <w:rFonts w:ascii="Times New Roman" w:hAnsi="Times New Roman" w:eastAsia="方正仿宋_GBK" w:cs="Times New Roman"/>
                <w:sz w:val="28"/>
                <w:szCs w:val="28"/>
              </w:rPr>
            </w:pPr>
          </w:p>
        </w:tc>
        <w:tc>
          <w:tcPr>
            <w:tcW w:w="2268" w:type="dxa"/>
          </w:tcPr>
          <w:p>
            <w:pPr>
              <w:snapToGrid w:val="0"/>
              <w:spacing w:line="590" w:lineRule="exact"/>
              <w:ind w:right="-40" w:rightChars="-19"/>
              <w:jc w:val="left"/>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napToGrid w:val="0"/>
              <w:spacing w:line="590" w:lineRule="exact"/>
              <w:ind w:right="-40" w:rightChars="-19"/>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5</w:t>
            </w:r>
          </w:p>
        </w:tc>
        <w:tc>
          <w:tcPr>
            <w:tcW w:w="3118" w:type="dxa"/>
          </w:tcPr>
          <w:p>
            <w:pPr>
              <w:snapToGrid w:val="0"/>
              <w:spacing w:line="590" w:lineRule="exact"/>
              <w:ind w:right="-40" w:rightChars="-19"/>
              <w:jc w:val="left"/>
              <w:rPr>
                <w:rFonts w:ascii="Times New Roman" w:hAnsi="Times New Roman" w:eastAsia="方正仿宋_GBK" w:cs="Times New Roman"/>
                <w:sz w:val="28"/>
                <w:szCs w:val="28"/>
              </w:rPr>
            </w:pPr>
          </w:p>
        </w:tc>
        <w:tc>
          <w:tcPr>
            <w:tcW w:w="2126" w:type="dxa"/>
          </w:tcPr>
          <w:p>
            <w:pPr>
              <w:snapToGrid w:val="0"/>
              <w:spacing w:line="590" w:lineRule="exact"/>
              <w:ind w:right="-40" w:rightChars="-19"/>
              <w:jc w:val="left"/>
              <w:rPr>
                <w:rFonts w:ascii="Times New Roman" w:hAnsi="Times New Roman" w:eastAsia="方正仿宋_GBK" w:cs="Times New Roman"/>
                <w:sz w:val="28"/>
                <w:szCs w:val="28"/>
              </w:rPr>
            </w:pPr>
          </w:p>
        </w:tc>
        <w:tc>
          <w:tcPr>
            <w:tcW w:w="2268" w:type="dxa"/>
          </w:tcPr>
          <w:p>
            <w:pPr>
              <w:snapToGrid w:val="0"/>
              <w:spacing w:line="590" w:lineRule="exact"/>
              <w:ind w:right="-40" w:rightChars="-19"/>
              <w:jc w:val="left"/>
              <w:rPr>
                <w:rFonts w:ascii="Times New Roman" w:hAnsi="Times New Roman" w:eastAsia="方正仿宋_GBK" w:cs="Times New Roman"/>
                <w:sz w:val="28"/>
                <w:szCs w:val="28"/>
              </w:rPr>
            </w:pPr>
          </w:p>
        </w:tc>
      </w:tr>
    </w:tbl>
    <w:p>
      <w:pPr>
        <w:snapToGrid w:val="0"/>
        <w:spacing w:line="590" w:lineRule="exact"/>
        <w:ind w:right="-40" w:rightChars="-19" w:firstLine="560" w:firstLineChars="200"/>
        <w:jc w:val="left"/>
        <w:rPr>
          <w:rFonts w:ascii="方正楷体_GBK" w:hAnsi="Times New Roman" w:eastAsia="方正楷体_GBK" w:cs="Times New Roman"/>
          <w:sz w:val="28"/>
          <w:szCs w:val="28"/>
        </w:rPr>
      </w:pPr>
      <w:r>
        <w:rPr>
          <w:rFonts w:hint="eastAsia" w:ascii="方正楷体_GBK" w:hAnsi="Times New Roman" w:eastAsia="方正楷体_GBK" w:cs="Times New Roman"/>
          <w:sz w:val="28"/>
          <w:szCs w:val="28"/>
        </w:rPr>
        <w:t>注:此表由各设区市工信局提供给参培企业填写。企业如自选服务机构，需在企业自选框打勾，并勾选1家机构；企业如由工信局指定服务机构，则仅需在工信局指定框打勾。</w:t>
      </w:r>
    </w:p>
    <w:p>
      <w:pPr>
        <w:widowControl/>
        <w:jc w:val="left"/>
        <w:rPr>
          <w:rFonts w:ascii="Times New Roman" w:hAnsi="Times New Roman" w:eastAsia="方正仿宋_GBK" w:cs="Times New Roman"/>
          <w:sz w:val="28"/>
          <w:szCs w:val="28"/>
        </w:rPr>
      </w:pPr>
      <w:r>
        <w:rPr>
          <w:rFonts w:ascii="Times New Roman" w:hAnsi="Times New Roman" w:eastAsia="方正仿宋_GBK" w:cs="Times New Roman"/>
          <w:sz w:val="28"/>
          <w:szCs w:val="28"/>
        </w:rPr>
        <w:br w:type="page"/>
      </w:r>
    </w:p>
    <w:p>
      <w:pPr>
        <w:snapToGrid w:val="0"/>
        <w:spacing w:line="590" w:lineRule="exact"/>
        <w:ind w:right="-40" w:rightChars="-19" w:firstLine="640" w:firstLineChars="200"/>
        <w:jc w:val="center"/>
        <w:rPr>
          <w:rFonts w:ascii="黑体" w:hAnsi="黑体" w:eastAsia="黑体" w:cs="Times New Roman"/>
          <w:sz w:val="32"/>
        </w:rPr>
      </w:pPr>
    </w:p>
    <w:p>
      <w:pPr>
        <w:snapToGrid w:val="0"/>
        <w:spacing w:line="590" w:lineRule="exact"/>
        <w:ind w:right="-40" w:rightChars="-19" w:firstLine="640" w:firstLineChars="200"/>
        <w:jc w:val="center"/>
        <w:rPr>
          <w:rFonts w:ascii="黑体" w:hAnsi="黑体" w:eastAsia="黑体" w:cs="Times New Roman"/>
          <w:sz w:val="32"/>
        </w:rPr>
      </w:pPr>
    </w:p>
    <w:p>
      <w:pPr>
        <w:snapToGrid w:val="0"/>
        <w:spacing w:line="590" w:lineRule="exact"/>
        <w:ind w:right="-40" w:rightChars="-19"/>
        <w:jc w:val="center"/>
        <w:rPr>
          <w:rFonts w:ascii="黑体" w:hAnsi="黑体" w:eastAsia="黑体" w:cs="Times New Roman"/>
          <w:sz w:val="32"/>
        </w:rPr>
      </w:pPr>
      <w:bookmarkStart w:id="0" w:name="_GoBack"/>
      <w:r>
        <w:rPr>
          <w:rFonts w:ascii="黑体" w:hAnsi="黑体" w:eastAsia="黑体" w:cs="Times New Roman"/>
          <w:sz w:val="32"/>
        </w:rPr>
        <w:t>企业自评估咨询汇总表</w:t>
      </w:r>
      <w:bookmarkEnd w:id="0"/>
    </w:p>
    <w:p>
      <w:pPr>
        <w:snapToGrid w:val="0"/>
        <w:spacing w:line="590" w:lineRule="exact"/>
        <w:ind w:right="-40" w:rightChars="-19" w:firstLine="640" w:firstLineChars="200"/>
        <w:jc w:val="center"/>
        <w:rPr>
          <w:rFonts w:ascii="Times New Roman" w:hAnsi="Times New Roman" w:eastAsia="方正仿宋_GBK" w:cs="Times New Roman"/>
          <w:sz w:val="32"/>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1"/>
        <w:gridCol w:w="1296"/>
        <w:gridCol w:w="2977"/>
        <w:gridCol w:w="2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1" w:type="dxa"/>
            <w:vAlign w:val="center"/>
          </w:tcPr>
          <w:p>
            <w:pPr>
              <w:snapToGrid w:val="0"/>
              <w:spacing w:line="590" w:lineRule="exact"/>
              <w:ind w:right="-40" w:rightChars="-19"/>
              <w:jc w:val="center"/>
              <w:rPr>
                <w:rFonts w:ascii="Times New Roman" w:hAnsi="Times New Roman" w:eastAsia="方正仿宋_GBK" w:cs="Times New Roman"/>
                <w:b/>
                <w:sz w:val="28"/>
                <w:szCs w:val="28"/>
              </w:rPr>
            </w:pPr>
            <w:r>
              <w:rPr>
                <w:rFonts w:hint="eastAsia" w:ascii="Times New Roman" w:hAnsi="Times New Roman" w:eastAsia="方正仿宋_GBK" w:cs="Times New Roman"/>
                <w:b/>
                <w:sz w:val="28"/>
                <w:szCs w:val="28"/>
              </w:rPr>
              <w:t>序号</w:t>
            </w:r>
          </w:p>
        </w:tc>
        <w:tc>
          <w:tcPr>
            <w:tcW w:w="1296" w:type="dxa"/>
            <w:vAlign w:val="center"/>
          </w:tcPr>
          <w:p>
            <w:pPr>
              <w:snapToGrid w:val="0"/>
              <w:spacing w:line="590" w:lineRule="exact"/>
              <w:ind w:right="-40" w:rightChars="-19"/>
              <w:jc w:val="center"/>
              <w:rPr>
                <w:rFonts w:ascii="Times New Roman" w:hAnsi="Times New Roman" w:eastAsia="方正仿宋_GBK" w:cs="Times New Roman"/>
                <w:b/>
                <w:sz w:val="28"/>
                <w:szCs w:val="28"/>
              </w:rPr>
            </w:pPr>
            <w:r>
              <w:rPr>
                <w:rFonts w:hint="eastAsia" w:ascii="Times New Roman" w:hAnsi="Times New Roman" w:eastAsia="方正仿宋_GBK" w:cs="Times New Roman"/>
                <w:b/>
                <w:sz w:val="28"/>
                <w:szCs w:val="28"/>
              </w:rPr>
              <w:t>设区市</w:t>
            </w:r>
          </w:p>
        </w:tc>
        <w:tc>
          <w:tcPr>
            <w:tcW w:w="2977" w:type="dxa"/>
            <w:vAlign w:val="center"/>
          </w:tcPr>
          <w:p>
            <w:pPr>
              <w:snapToGrid w:val="0"/>
              <w:spacing w:line="590" w:lineRule="exact"/>
              <w:ind w:right="-40" w:rightChars="-19"/>
              <w:jc w:val="center"/>
              <w:rPr>
                <w:rFonts w:ascii="Times New Roman" w:hAnsi="Times New Roman" w:eastAsia="方正仿宋_GBK" w:cs="Times New Roman"/>
                <w:b/>
                <w:sz w:val="28"/>
                <w:szCs w:val="28"/>
              </w:rPr>
            </w:pPr>
            <w:r>
              <w:rPr>
                <w:rFonts w:hint="eastAsia" w:ascii="Times New Roman" w:hAnsi="Times New Roman" w:eastAsia="方正仿宋_GBK" w:cs="Times New Roman"/>
                <w:b/>
                <w:sz w:val="28"/>
                <w:szCs w:val="28"/>
              </w:rPr>
              <w:t>企业名称</w:t>
            </w:r>
          </w:p>
        </w:tc>
        <w:tc>
          <w:tcPr>
            <w:tcW w:w="2772" w:type="dxa"/>
            <w:vAlign w:val="center"/>
          </w:tcPr>
          <w:p>
            <w:pPr>
              <w:snapToGrid w:val="0"/>
              <w:spacing w:line="590" w:lineRule="exact"/>
              <w:ind w:right="-40" w:rightChars="-19"/>
              <w:jc w:val="center"/>
              <w:rPr>
                <w:rFonts w:ascii="Times New Roman" w:hAnsi="Times New Roman" w:eastAsia="方正仿宋_GBK" w:cs="Times New Roman"/>
                <w:b/>
                <w:sz w:val="28"/>
                <w:szCs w:val="28"/>
              </w:rPr>
            </w:pPr>
            <w:r>
              <w:rPr>
                <w:rFonts w:hint="eastAsia" w:ascii="Times New Roman" w:hAnsi="Times New Roman" w:eastAsia="方正仿宋_GBK" w:cs="Times New Roman"/>
                <w:b/>
                <w:sz w:val="28"/>
                <w:szCs w:val="28"/>
              </w:rPr>
              <w:t>服务机构名称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1" w:type="dxa"/>
          </w:tcPr>
          <w:p>
            <w:pPr>
              <w:snapToGrid w:val="0"/>
              <w:spacing w:line="590" w:lineRule="exact"/>
              <w:ind w:right="-40" w:rightChars="-19"/>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1</w:t>
            </w:r>
          </w:p>
        </w:tc>
        <w:tc>
          <w:tcPr>
            <w:tcW w:w="1296" w:type="dxa"/>
          </w:tcPr>
          <w:p>
            <w:pPr>
              <w:snapToGrid w:val="0"/>
              <w:spacing w:line="590" w:lineRule="exact"/>
              <w:ind w:right="-40" w:rightChars="-19"/>
              <w:jc w:val="left"/>
              <w:rPr>
                <w:rFonts w:ascii="Times New Roman" w:hAnsi="Times New Roman" w:eastAsia="方正仿宋_GBK" w:cs="Times New Roman"/>
                <w:sz w:val="28"/>
                <w:szCs w:val="28"/>
              </w:rPr>
            </w:pPr>
          </w:p>
        </w:tc>
        <w:tc>
          <w:tcPr>
            <w:tcW w:w="2977" w:type="dxa"/>
          </w:tcPr>
          <w:p>
            <w:pPr>
              <w:snapToGrid w:val="0"/>
              <w:spacing w:line="590" w:lineRule="exact"/>
              <w:ind w:right="-40" w:rightChars="-19"/>
              <w:jc w:val="left"/>
              <w:rPr>
                <w:rFonts w:ascii="Times New Roman" w:hAnsi="Times New Roman" w:eastAsia="方正仿宋_GBK" w:cs="Times New Roman"/>
                <w:sz w:val="28"/>
                <w:szCs w:val="28"/>
              </w:rPr>
            </w:pPr>
          </w:p>
        </w:tc>
        <w:tc>
          <w:tcPr>
            <w:tcW w:w="2772" w:type="dxa"/>
          </w:tcPr>
          <w:p>
            <w:pPr>
              <w:snapToGrid w:val="0"/>
              <w:spacing w:line="590" w:lineRule="exact"/>
              <w:ind w:right="-40" w:rightChars="-19"/>
              <w:jc w:val="left"/>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1" w:type="dxa"/>
          </w:tcPr>
          <w:p>
            <w:pPr>
              <w:snapToGrid w:val="0"/>
              <w:spacing w:line="590" w:lineRule="exact"/>
              <w:ind w:right="-40" w:rightChars="-19"/>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2</w:t>
            </w:r>
          </w:p>
        </w:tc>
        <w:tc>
          <w:tcPr>
            <w:tcW w:w="1296" w:type="dxa"/>
          </w:tcPr>
          <w:p>
            <w:pPr>
              <w:snapToGrid w:val="0"/>
              <w:spacing w:line="590" w:lineRule="exact"/>
              <w:ind w:right="-40" w:rightChars="-19"/>
              <w:jc w:val="left"/>
              <w:rPr>
                <w:rFonts w:ascii="Times New Roman" w:hAnsi="Times New Roman" w:eastAsia="方正仿宋_GBK" w:cs="Times New Roman"/>
                <w:sz w:val="28"/>
                <w:szCs w:val="28"/>
              </w:rPr>
            </w:pPr>
          </w:p>
        </w:tc>
        <w:tc>
          <w:tcPr>
            <w:tcW w:w="2977" w:type="dxa"/>
          </w:tcPr>
          <w:p>
            <w:pPr>
              <w:snapToGrid w:val="0"/>
              <w:spacing w:line="590" w:lineRule="exact"/>
              <w:ind w:right="-40" w:rightChars="-19"/>
              <w:jc w:val="left"/>
              <w:rPr>
                <w:rFonts w:ascii="Times New Roman" w:hAnsi="Times New Roman" w:eastAsia="方正仿宋_GBK" w:cs="Times New Roman"/>
                <w:sz w:val="28"/>
                <w:szCs w:val="28"/>
              </w:rPr>
            </w:pPr>
          </w:p>
        </w:tc>
        <w:tc>
          <w:tcPr>
            <w:tcW w:w="2772" w:type="dxa"/>
          </w:tcPr>
          <w:p>
            <w:pPr>
              <w:snapToGrid w:val="0"/>
              <w:spacing w:line="590" w:lineRule="exact"/>
              <w:ind w:right="-40" w:rightChars="-19"/>
              <w:jc w:val="left"/>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1" w:type="dxa"/>
          </w:tcPr>
          <w:p>
            <w:pPr>
              <w:snapToGrid w:val="0"/>
              <w:spacing w:line="590" w:lineRule="exact"/>
              <w:ind w:right="-40" w:rightChars="-19"/>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3</w:t>
            </w:r>
          </w:p>
        </w:tc>
        <w:tc>
          <w:tcPr>
            <w:tcW w:w="1296" w:type="dxa"/>
          </w:tcPr>
          <w:p>
            <w:pPr>
              <w:snapToGrid w:val="0"/>
              <w:spacing w:line="590" w:lineRule="exact"/>
              <w:ind w:right="-40" w:rightChars="-19"/>
              <w:jc w:val="left"/>
              <w:rPr>
                <w:rFonts w:ascii="Times New Roman" w:hAnsi="Times New Roman" w:eastAsia="方正仿宋_GBK" w:cs="Times New Roman"/>
                <w:sz w:val="28"/>
                <w:szCs w:val="28"/>
              </w:rPr>
            </w:pPr>
          </w:p>
        </w:tc>
        <w:tc>
          <w:tcPr>
            <w:tcW w:w="2977" w:type="dxa"/>
          </w:tcPr>
          <w:p>
            <w:pPr>
              <w:snapToGrid w:val="0"/>
              <w:spacing w:line="590" w:lineRule="exact"/>
              <w:ind w:right="-40" w:rightChars="-19"/>
              <w:jc w:val="left"/>
              <w:rPr>
                <w:rFonts w:ascii="Times New Roman" w:hAnsi="Times New Roman" w:eastAsia="方正仿宋_GBK" w:cs="Times New Roman"/>
                <w:sz w:val="28"/>
                <w:szCs w:val="28"/>
              </w:rPr>
            </w:pPr>
          </w:p>
        </w:tc>
        <w:tc>
          <w:tcPr>
            <w:tcW w:w="2772" w:type="dxa"/>
          </w:tcPr>
          <w:p>
            <w:pPr>
              <w:snapToGrid w:val="0"/>
              <w:spacing w:line="590" w:lineRule="exact"/>
              <w:ind w:right="-40" w:rightChars="-19"/>
              <w:jc w:val="left"/>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1" w:type="dxa"/>
          </w:tcPr>
          <w:p>
            <w:pPr>
              <w:snapToGrid w:val="0"/>
              <w:spacing w:line="590" w:lineRule="exact"/>
              <w:ind w:right="-40" w:rightChars="-19"/>
              <w:jc w:val="center"/>
              <w:rPr>
                <w:rFonts w:ascii="Times New Roman" w:hAnsi="Times New Roman" w:eastAsia="方正仿宋_GBK" w:cs="Times New Roman"/>
                <w:sz w:val="28"/>
                <w:szCs w:val="28"/>
              </w:rPr>
            </w:pPr>
            <w:r>
              <w:rPr>
                <w:rFonts w:hint="eastAsia" w:ascii="方正仿宋_GBK" w:hAnsi="Times New Roman" w:eastAsia="方正仿宋_GBK" w:cs="Times New Roman"/>
                <w:sz w:val="28"/>
                <w:szCs w:val="28"/>
              </w:rPr>
              <w:t>…</w:t>
            </w:r>
          </w:p>
        </w:tc>
        <w:tc>
          <w:tcPr>
            <w:tcW w:w="1296" w:type="dxa"/>
          </w:tcPr>
          <w:p>
            <w:pPr>
              <w:snapToGrid w:val="0"/>
              <w:spacing w:line="590" w:lineRule="exact"/>
              <w:ind w:right="-40" w:rightChars="-19"/>
              <w:jc w:val="left"/>
              <w:rPr>
                <w:rFonts w:ascii="Times New Roman" w:hAnsi="Times New Roman" w:eastAsia="方正仿宋_GBK" w:cs="Times New Roman"/>
                <w:sz w:val="28"/>
                <w:szCs w:val="28"/>
              </w:rPr>
            </w:pPr>
          </w:p>
        </w:tc>
        <w:tc>
          <w:tcPr>
            <w:tcW w:w="2977" w:type="dxa"/>
          </w:tcPr>
          <w:p>
            <w:pPr>
              <w:snapToGrid w:val="0"/>
              <w:spacing w:line="590" w:lineRule="exact"/>
              <w:ind w:right="-40" w:rightChars="-19"/>
              <w:jc w:val="left"/>
              <w:rPr>
                <w:rFonts w:ascii="Times New Roman" w:hAnsi="Times New Roman" w:eastAsia="方正仿宋_GBK" w:cs="Times New Roman"/>
                <w:sz w:val="28"/>
                <w:szCs w:val="28"/>
              </w:rPr>
            </w:pPr>
          </w:p>
        </w:tc>
        <w:tc>
          <w:tcPr>
            <w:tcW w:w="2772" w:type="dxa"/>
          </w:tcPr>
          <w:p>
            <w:pPr>
              <w:snapToGrid w:val="0"/>
              <w:spacing w:line="590" w:lineRule="exact"/>
              <w:ind w:right="-40" w:rightChars="-19"/>
              <w:jc w:val="left"/>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1" w:type="dxa"/>
          </w:tcPr>
          <w:p>
            <w:pPr>
              <w:snapToGrid w:val="0"/>
              <w:spacing w:line="590" w:lineRule="exact"/>
              <w:ind w:right="-40" w:rightChars="-19"/>
              <w:jc w:val="center"/>
              <w:rPr>
                <w:rFonts w:ascii="Times New Roman" w:hAnsi="Times New Roman" w:eastAsia="方正仿宋_GBK" w:cs="Times New Roman"/>
                <w:sz w:val="28"/>
                <w:szCs w:val="28"/>
              </w:rPr>
            </w:pPr>
            <w:r>
              <w:rPr>
                <w:rFonts w:hint="eastAsia" w:ascii="方正仿宋_GBK" w:hAnsi="Times New Roman" w:eastAsia="方正仿宋_GBK" w:cs="Times New Roman"/>
                <w:sz w:val="28"/>
                <w:szCs w:val="28"/>
              </w:rPr>
              <w:t>…</w:t>
            </w:r>
          </w:p>
        </w:tc>
        <w:tc>
          <w:tcPr>
            <w:tcW w:w="1296" w:type="dxa"/>
          </w:tcPr>
          <w:p>
            <w:pPr>
              <w:snapToGrid w:val="0"/>
              <w:spacing w:line="590" w:lineRule="exact"/>
              <w:ind w:right="-40" w:rightChars="-19"/>
              <w:jc w:val="left"/>
              <w:rPr>
                <w:rFonts w:ascii="Times New Roman" w:hAnsi="Times New Roman" w:eastAsia="方正仿宋_GBK" w:cs="Times New Roman"/>
                <w:sz w:val="28"/>
                <w:szCs w:val="28"/>
              </w:rPr>
            </w:pPr>
          </w:p>
        </w:tc>
        <w:tc>
          <w:tcPr>
            <w:tcW w:w="2977" w:type="dxa"/>
          </w:tcPr>
          <w:p>
            <w:pPr>
              <w:snapToGrid w:val="0"/>
              <w:spacing w:line="590" w:lineRule="exact"/>
              <w:ind w:right="-40" w:rightChars="-19"/>
              <w:jc w:val="left"/>
              <w:rPr>
                <w:rFonts w:ascii="Times New Roman" w:hAnsi="Times New Roman" w:eastAsia="方正仿宋_GBK" w:cs="Times New Roman"/>
                <w:sz w:val="28"/>
                <w:szCs w:val="28"/>
              </w:rPr>
            </w:pPr>
          </w:p>
        </w:tc>
        <w:tc>
          <w:tcPr>
            <w:tcW w:w="2772" w:type="dxa"/>
          </w:tcPr>
          <w:p>
            <w:pPr>
              <w:snapToGrid w:val="0"/>
              <w:spacing w:line="590" w:lineRule="exact"/>
              <w:ind w:right="-40" w:rightChars="-19"/>
              <w:jc w:val="left"/>
              <w:rPr>
                <w:rFonts w:ascii="Times New Roman" w:hAnsi="Times New Roman" w:eastAsia="方正仿宋_GBK" w:cs="Times New Roman"/>
                <w:sz w:val="28"/>
                <w:szCs w:val="28"/>
              </w:rPr>
            </w:pPr>
          </w:p>
        </w:tc>
      </w:tr>
    </w:tbl>
    <w:p>
      <w:pPr>
        <w:snapToGrid w:val="0"/>
        <w:spacing w:line="590" w:lineRule="exact"/>
        <w:ind w:right="-40" w:rightChars="-19" w:firstLine="560" w:firstLineChars="200"/>
        <w:jc w:val="left"/>
        <w:rPr>
          <w:rFonts w:ascii="方正楷体_GBK" w:hAnsi="Times New Roman" w:eastAsia="方正楷体_GBK" w:cs="Times New Roman"/>
          <w:sz w:val="28"/>
          <w:szCs w:val="28"/>
        </w:rPr>
      </w:pPr>
      <w:r>
        <w:rPr>
          <w:rFonts w:hint="eastAsia" w:ascii="方正楷体_GBK" w:hAnsi="Times New Roman" w:eastAsia="方正楷体_GBK" w:cs="Times New Roman"/>
          <w:sz w:val="28"/>
          <w:szCs w:val="28"/>
        </w:rPr>
        <w:t>注：此表由各设区市工信局填写</w:t>
      </w:r>
    </w:p>
    <w:p>
      <w:pPr>
        <w:snapToGrid w:val="0"/>
        <w:spacing w:line="590" w:lineRule="exact"/>
        <w:ind w:right="-40" w:rightChars="-19" w:firstLine="640" w:firstLineChars="200"/>
        <w:jc w:val="left"/>
        <w:rPr>
          <w:rFonts w:ascii="Times New Roman" w:hAnsi="Times New Roman" w:eastAsia="方正仿宋_GBK" w:cs="Times New Roman"/>
          <w:sz w:val="32"/>
        </w:rPr>
        <w:sectPr>
          <w:pgSz w:w="11906" w:h="16838"/>
          <w:pgMar w:top="1440" w:right="1800" w:bottom="1440" w:left="1800" w:header="851" w:footer="992" w:gutter="0"/>
          <w:cols w:space="425" w:num="1"/>
          <w:docGrid w:type="lines" w:linePitch="312" w:charSpace="0"/>
        </w:sectPr>
      </w:pPr>
      <w:r>
        <w:rPr>
          <w:rFonts w:ascii="Times New Roman" w:hAnsi="Times New Roman" w:eastAsia="方正仿宋_GBK" w:cs="Times New Roman"/>
          <w:sz w:val="32"/>
        </w:rPr>
        <w:t xml:space="preserve"> </w:t>
      </w:r>
    </w:p>
    <w:p>
      <w:pPr>
        <w:snapToGrid w:val="0"/>
        <w:spacing w:line="590" w:lineRule="exact"/>
        <w:ind w:right="-40" w:rightChars="-19" w:firstLine="640" w:firstLineChars="200"/>
        <w:jc w:val="left"/>
        <w:rPr>
          <w:rFonts w:ascii="方正仿宋_GBK" w:hAnsi="Times New Roman" w:eastAsia="方正仿宋_GBK" w:cs="Times New Roman"/>
          <w:sz w:val="32"/>
        </w:rPr>
      </w:pPr>
      <w:r>
        <w:rPr>
          <w:rFonts w:hint="eastAsia" w:ascii="方正仿宋_GBK" w:hAnsi="Times New Roman" w:eastAsia="方正仿宋_GBK" w:cs="Times New Roman"/>
          <w:sz w:val="32"/>
        </w:rPr>
        <w:t>附件：</w:t>
      </w:r>
    </w:p>
    <w:p>
      <w:pPr>
        <w:snapToGrid w:val="0"/>
        <w:spacing w:line="590" w:lineRule="exact"/>
        <w:ind w:right="-40" w:rightChars="-19" w:firstLine="640" w:firstLineChars="200"/>
        <w:jc w:val="center"/>
        <w:rPr>
          <w:rFonts w:ascii="Times New Roman" w:hAnsi="Times New Roman" w:eastAsia="黑体" w:cs="Times New Roman"/>
          <w:sz w:val="32"/>
        </w:rPr>
      </w:pPr>
      <w:r>
        <w:rPr>
          <w:rFonts w:ascii="Times New Roman" w:hAnsi="Times New Roman" w:eastAsia="黑体" w:cs="Times New Roman"/>
          <w:sz w:val="32"/>
        </w:rPr>
        <w:t>省级工业信息安全服务支撑机构简介</w:t>
      </w:r>
    </w:p>
    <w:p>
      <w:pPr>
        <w:snapToGrid w:val="0"/>
        <w:spacing w:line="590" w:lineRule="exact"/>
        <w:ind w:right="-40" w:rightChars="-19" w:firstLine="640" w:firstLineChars="200"/>
        <w:jc w:val="center"/>
        <w:rPr>
          <w:rFonts w:ascii="Times New Roman" w:hAnsi="Times New Roman" w:eastAsia="黑体" w:cs="Times New Roman"/>
          <w:sz w:val="32"/>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984"/>
        <w:gridCol w:w="7230"/>
        <w:gridCol w:w="198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846" w:type="dxa"/>
            <w:shd w:val="clear" w:color="auto" w:fill="D8D8D8" w:themeFill="background1" w:themeFillShade="D9"/>
            <w:vAlign w:val="center"/>
          </w:tcPr>
          <w:p>
            <w:pPr>
              <w:snapToGrid w:val="0"/>
              <w:jc w:val="center"/>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序号</w:t>
            </w:r>
          </w:p>
        </w:tc>
        <w:tc>
          <w:tcPr>
            <w:tcW w:w="1984" w:type="dxa"/>
            <w:shd w:val="clear" w:color="auto" w:fill="D8D8D8" w:themeFill="background1" w:themeFillShade="D9"/>
            <w:vAlign w:val="center"/>
          </w:tcPr>
          <w:p>
            <w:pPr>
              <w:snapToGrid w:val="0"/>
              <w:jc w:val="center"/>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机构名称</w:t>
            </w:r>
          </w:p>
        </w:tc>
        <w:tc>
          <w:tcPr>
            <w:tcW w:w="7230" w:type="dxa"/>
            <w:shd w:val="clear" w:color="auto" w:fill="D8D8D8" w:themeFill="background1" w:themeFillShade="D9"/>
            <w:vAlign w:val="center"/>
          </w:tcPr>
          <w:p>
            <w:pPr>
              <w:snapToGrid w:val="0"/>
              <w:jc w:val="center"/>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主要业务及特色特长</w:t>
            </w:r>
          </w:p>
        </w:tc>
        <w:tc>
          <w:tcPr>
            <w:tcW w:w="1984" w:type="dxa"/>
            <w:shd w:val="clear" w:color="auto" w:fill="D8D8D8" w:themeFill="background1" w:themeFillShade="D9"/>
            <w:vAlign w:val="center"/>
          </w:tcPr>
          <w:p>
            <w:pPr>
              <w:snapToGrid w:val="0"/>
              <w:jc w:val="center"/>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联系人及职务</w:t>
            </w:r>
          </w:p>
        </w:tc>
        <w:tc>
          <w:tcPr>
            <w:tcW w:w="1701" w:type="dxa"/>
            <w:shd w:val="clear" w:color="auto" w:fill="D8D8D8" w:themeFill="background1" w:themeFillShade="D9"/>
            <w:vAlign w:val="center"/>
          </w:tcPr>
          <w:p>
            <w:pPr>
              <w:snapToGrid w:val="0"/>
              <w:jc w:val="center"/>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6"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w:t>
            </w:r>
          </w:p>
        </w:tc>
        <w:tc>
          <w:tcPr>
            <w:tcW w:w="1984"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江苏省电子信息产品质量监督检验研究院</w:t>
            </w:r>
          </w:p>
        </w:tc>
        <w:tc>
          <w:tcPr>
            <w:tcW w:w="7230" w:type="dxa"/>
            <w:vAlign w:val="center"/>
          </w:tcPr>
          <w:p>
            <w:pPr>
              <w:snapToGrid w:val="0"/>
              <w:rPr>
                <w:rFonts w:ascii="Times New Roman" w:hAnsi="Times New Roman" w:eastAsia="方正仿宋_GBK" w:cs="Times New Roman"/>
                <w:sz w:val="24"/>
                <w:szCs w:val="24"/>
              </w:rPr>
            </w:pPr>
            <w:r>
              <w:rPr>
                <w:rFonts w:ascii="Times New Roman" w:hAnsi="Times New Roman" w:eastAsia="方正仿宋_GBK" w:cs="Times New Roman"/>
                <w:sz w:val="24"/>
                <w:szCs w:val="24"/>
              </w:rPr>
              <w:t>研究院隶属于江苏省工业和信息化厅，属公益型科研事业单位，具有工业信息安全应急服务支撑单位、信息安全风险评估服务资质等多项国家级、省级工业信息安全服务专业资质，具有稳定可靠、技术过硬的服务团队，长期支撑全省工信部门开展工业信息安全检测评估、应急演练和处置等技术工作，为企业提供安全咨询、安全检测、辅导提升、应急演练、安全培训等服务，具有丰富的工业信息安全领域技术工作经验。</w:t>
            </w:r>
          </w:p>
        </w:tc>
        <w:tc>
          <w:tcPr>
            <w:tcW w:w="1984"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张腾标</w:t>
            </w:r>
          </w:p>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网安中心主任</w:t>
            </w:r>
          </w:p>
        </w:tc>
        <w:tc>
          <w:tcPr>
            <w:tcW w:w="1701"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18961815926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6"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w:t>
            </w:r>
          </w:p>
        </w:tc>
        <w:tc>
          <w:tcPr>
            <w:tcW w:w="1984"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江苏省软件产品检测中心</w:t>
            </w:r>
          </w:p>
        </w:tc>
        <w:tc>
          <w:tcPr>
            <w:tcW w:w="7230" w:type="dxa"/>
            <w:vAlign w:val="center"/>
          </w:tcPr>
          <w:p>
            <w:pPr>
              <w:snapToGrid w:val="0"/>
              <w:rPr>
                <w:rFonts w:ascii="Times New Roman" w:hAnsi="Times New Roman" w:eastAsia="方正仿宋_GBK" w:cs="Times New Roman"/>
                <w:sz w:val="24"/>
                <w:szCs w:val="24"/>
              </w:rPr>
            </w:pPr>
            <w:r>
              <w:rPr>
                <w:rFonts w:ascii="Times New Roman" w:hAnsi="Times New Roman" w:eastAsia="方正仿宋_GBK" w:cs="Times New Roman"/>
                <w:sz w:val="24"/>
                <w:szCs w:val="24"/>
              </w:rPr>
              <w:t>江苏省工业和信息化厅直属的非营利性事业单位，是专业从事计算机软件检测、信息化绩效评估、ITSS咨询设计标准符合性评估、信息安全风险评估、信息安全加固/咨询、软件工程造价评估等服务的技术机构。</w:t>
            </w:r>
          </w:p>
        </w:tc>
        <w:tc>
          <w:tcPr>
            <w:tcW w:w="1984"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廖月静</w:t>
            </w:r>
          </w:p>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测试部副主任</w:t>
            </w:r>
          </w:p>
        </w:tc>
        <w:tc>
          <w:tcPr>
            <w:tcW w:w="1701"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18951738861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6"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3</w:t>
            </w:r>
          </w:p>
        </w:tc>
        <w:tc>
          <w:tcPr>
            <w:tcW w:w="1984"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南京联成科技发展股份有限公司</w:t>
            </w:r>
          </w:p>
        </w:tc>
        <w:tc>
          <w:tcPr>
            <w:tcW w:w="7230" w:type="dxa"/>
            <w:vAlign w:val="center"/>
          </w:tcPr>
          <w:p>
            <w:pPr>
              <w:snapToGrid w:val="0"/>
              <w:rPr>
                <w:rFonts w:ascii="Times New Roman" w:hAnsi="Times New Roman" w:eastAsia="方正仿宋_GBK" w:cs="Times New Roman"/>
                <w:sz w:val="24"/>
                <w:szCs w:val="24"/>
              </w:rPr>
            </w:pPr>
            <w:r>
              <w:rPr>
                <w:rFonts w:ascii="Times New Roman" w:hAnsi="Times New Roman" w:eastAsia="方正仿宋_GBK" w:cs="Times New Roman"/>
                <w:sz w:val="24"/>
                <w:szCs w:val="24"/>
              </w:rPr>
              <w:t>联成科技率先提出集中管控与数字化管理理念，以集中管控技术模型为基础，数字化运营管理与服务体系为支撑，为工业信息系统构建运营管理中心，建立系统运行与管理过程的全面管控，从人为驱动的粗放管理向数据驱动的精细化运营管理转变，实现安全管理与管理安全，促进智慧运营管理建设。</w:t>
            </w:r>
          </w:p>
        </w:tc>
        <w:tc>
          <w:tcPr>
            <w:tcW w:w="1984"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田兴苏</w:t>
            </w:r>
          </w:p>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售前技术主管</w:t>
            </w:r>
          </w:p>
        </w:tc>
        <w:tc>
          <w:tcPr>
            <w:tcW w:w="1701"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13404128708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jc w:val="center"/>
        </w:trPr>
        <w:tc>
          <w:tcPr>
            <w:tcW w:w="846"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4</w:t>
            </w:r>
          </w:p>
        </w:tc>
        <w:tc>
          <w:tcPr>
            <w:tcW w:w="1984"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博智安全科技股份有限公司</w:t>
            </w:r>
          </w:p>
        </w:tc>
        <w:tc>
          <w:tcPr>
            <w:tcW w:w="7230" w:type="dxa"/>
            <w:vAlign w:val="center"/>
          </w:tcPr>
          <w:p>
            <w:pPr>
              <w:snapToGrid w:val="0"/>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企业</w:t>
            </w:r>
            <w:r>
              <w:rPr>
                <w:rFonts w:ascii="Times New Roman" w:hAnsi="Times New Roman" w:eastAsia="方正仿宋_GBK" w:cs="Times New Roman"/>
                <w:sz w:val="24"/>
                <w:szCs w:val="24"/>
              </w:rPr>
              <w:t>专注于信息安全领域的工业安全和网络攻防两大核心方向。安全服务基于公司先进工控安全和靶场产品系列，依附专业技术团队非攻研究院，提供人才培养、安全评估、渗透测试、安全研究、安全竞赛等各项服务。</w:t>
            </w:r>
          </w:p>
        </w:tc>
        <w:tc>
          <w:tcPr>
            <w:tcW w:w="1984"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杨焱</w:t>
            </w:r>
          </w:p>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总裁业务部部长</w:t>
            </w:r>
          </w:p>
        </w:tc>
        <w:tc>
          <w:tcPr>
            <w:tcW w:w="1701"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17366369900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846"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5</w:t>
            </w:r>
          </w:p>
        </w:tc>
        <w:tc>
          <w:tcPr>
            <w:tcW w:w="1984"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江苏金陵科技集团有限公司</w:t>
            </w:r>
          </w:p>
        </w:tc>
        <w:tc>
          <w:tcPr>
            <w:tcW w:w="7230" w:type="dxa"/>
            <w:vAlign w:val="center"/>
          </w:tcPr>
          <w:p>
            <w:pPr>
              <w:snapToGrid w:val="0"/>
              <w:rPr>
                <w:rFonts w:ascii="Times New Roman" w:hAnsi="Times New Roman" w:eastAsia="方正仿宋_GBK" w:cs="Times New Roman"/>
                <w:sz w:val="24"/>
                <w:szCs w:val="24"/>
              </w:rPr>
            </w:pPr>
            <w:r>
              <w:rPr>
                <w:rFonts w:ascii="Times New Roman" w:hAnsi="Times New Roman" w:eastAsia="方正仿宋_GBK" w:cs="Times New Roman"/>
                <w:sz w:val="24"/>
                <w:szCs w:val="24"/>
              </w:rPr>
              <w:t>主要业务包括安全咨询、风险评估、安全建设与测评等；特色特长主要是具备专业的工业信息安全服务团队，主要特长包括漏洞挖掘、风险评估与检测、溯源分析等，曾被评为江苏省两化融合安全服务示范单位、2020年工业信息安全技术支撑机构等。</w:t>
            </w:r>
          </w:p>
        </w:tc>
        <w:tc>
          <w:tcPr>
            <w:tcW w:w="1984"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蒋苑青</w:t>
            </w:r>
          </w:p>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部门副主任</w:t>
            </w:r>
          </w:p>
        </w:tc>
        <w:tc>
          <w:tcPr>
            <w:tcW w:w="1701"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18951656969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6"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6</w:t>
            </w:r>
          </w:p>
        </w:tc>
        <w:tc>
          <w:tcPr>
            <w:tcW w:w="1984"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中通服咨询设计研究院有限公司</w:t>
            </w:r>
          </w:p>
        </w:tc>
        <w:tc>
          <w:tcPr>
            <w:tcW w:w="7230" w:type="dxa"/>
            <w:vAlign w:val="center"/>
          </w:tcPr>
          <w:p>
            <w:pPr>
              <w:snapToGrid w:val="0"/>
              <w:rPr>
                <w:rFonts w:ascii="Times New Roman" w:hAnsi="Times New Roman" w:eastAsia="方正仿宋_GBK" w:cs="Times New Roman"/>
                <w:sz w:val="24"/>
                <w:szCs w:val="24"/>
              </w:rPr>
            </w:pPr>
            <w:r>
              <w:rPr>
                <w:rFonts w:ascii="Times New Roman" w:hAnsi="Times New Roman" w:eastAsia="方正仿宋_GBK" w:cs="Times New Roman"/>
                <w:sz w:val="24"/>
                <w:szCs w:val="24"/>
              </w:rPr>
              <w:t>致力于通信、建筑、信息化、电力、节能环保的咨询、设计、研究与实施的国家级重点高新技术企业，可为工业企业提供安全管理及技术咨询、安全规划设计、安全风险评估、安全工程集成、安全运营支持、安全应急响应、安全竞赛培训等贯穿工业信息系统全生命周期的一体化安全技术支撑服务。</w:t>
            </w:r>
          </w:p>
        </w:tc>
        <w:tc>
          <w:tcPr>
            <w:tcW w:w="1984"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杨波</w:t>
            </w:r>
          </w:p>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网络安全服务主管</w:t>
            </w:r>
          </w:p>
          <w:p>
            <w:pPr>
              <w:snapToGrid w:val="0"/>
              <w:jc w:val="center"/>
              <w:rPr>
                <w:rFonts w:ascii="Times New Roman" w:hAnsi="Times New Roman" w:eastAsia="方正仿宋_GBK" w:cs="Times New Roman"/>
                <w:sz w:val="24"/>
                <w:szCs w:val="24"/>
              </w:rPr>
            </w:pPr>
          </w:p>
        </w:tc>
        <w:tc>
          <w:tcPr>
            <w:tcW w:w="1701"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18061689520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6"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7</w:t>
            </w:r>
          </w:p>
        </w:tc>
        <w:tc>
          <w:tcPr>
            <w:tcW w:w="1984"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江苏君立华域信息安全技术股份有限公司</w:t>
            </w:r>
          </w:p>
        </w:tc>
        <w:tc>
          <w:tcPr>
            <w:tcW w:w="7230" w:type="dxa"/>
            <w:vAlign w:val="center"/>
          </w:tcPr>
          <w:p>
            <w:pPr>
              <w:snapToGrid w:val="0"/>
              <w:rPr>
                <w:rFonts w:ascii="Times New Roman" w:hAnsi="Times New Roman" w:eastAsia="方正仿宋_GBK" w:cs="Times New Roman"/>
                <w:sz w:val="24"/>
                <w:szCs w:val="24"/>
              </w:rPr>
            </w:pPr>
            <w:r>
              <w:rPr>
                <w:rFonts w:ascii="Times New Roman" w:hAnsi="Times New Roman" w:eastAsia="方正仿宋_GBK" w:cs="Times New Roman"/>
                <w:sz w:val="24"/>
                <w:szCs w:val="24"/>
              </w:rPr>
              <w:t>主要业务围绕安全产品的开发，有蜜罐、资产探测扫描、安全攻防实训平台，安全竞赛、安全服务、安全培训、等级保护测评、无人机管制等。特色特长主要是工控安全竞赛服务、工控安全培训、工控系统资产探测发现和漏洞扫描，工控安全实训服务。</w:t>
            </w:r>
          </w:p>
        </w:tc>
        <w:tc>
          <w:tcPr>
            <w:tcW w:w="1984"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金建军</w:t>
            </w:r>
          </w:p>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副总经理</w:t>
            </w:r>
          </w:p>
        </w:tc>
        <w:tc>
          <w:tcPr>
            <w:tcW w:w="1701"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18963618235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6"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8</w:t>
            </w:r>
          </w:p>
        </w:tc>
        <w:tc>
          <w:tcPr>
            <w:tcW w:w="1984"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江苏金盾检测技术有限公司</w:t>
            </w:r>
          </w:p>
        </w:tc>
        <w:tc>
          <w:tcPr>
            <w:tcW w:w="7230" w:type="dxa"/>
            <w:vAlign w:val="center"/>
          </w:tcPr>
          <w:p>
            <w:pPr>
              <w:snapToGrid w:val="0"/>
              <w:rPr>
                <w:rFonts w:ascii="Times New Roman" w:hAnsi="Times New Roman" w:eastAsia="方正仿宋_GBK" w:cs="Times New Roman"/>
                <w:sz w:val="24"/>
                <w:szCs w:val="24"/>
              </w:rPr>
            </w:pPr>
            <w:r>
              <w:rPr>
                <w:rFonts w:ascii="Times New Roman" w:hAnsi="Times New Roman" w:eastAsia="方正仿宋_GBK" w:cs="Times New Roman"/>
                <w:sz w:val="24"/>
                <w:szCs w:val="24"/>
              </w:rPr>
              <w:t>主要业务包括网络安全等级保护测评、信息安全风险评估、全面性渗透测试、移动应用安全测试、源代码审计、信息安全合规审计、信息系统安全加固、信息系统安全运维、安全监测与预警、应急演练与应急处置、信息系统工程监理等。</w:t>
            </w:r>
          </w:p>
        </w:tc>
        <w:tc>
          <w:tcPr>
            <w:tcW w:w="1984"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钟敏</w:t>
            </w:r>
          </w:p>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销售总监</w:t>
            </w:r>
          </w:p>
        </w:tc>
        <w:tc>
          <w:tcPr>
            <w:tcW w:w="1701"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18662722353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6"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9</w:t>
            </w:r>
          </w:p>
        </w:tc>
        <w:tc>
          <w:tcPr>
            <w:tcW w:w="1984"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无锡市软测认证有限公司</w:t>
            </w:r>
          </w:p>
        </w:tc>
        <w:tc>
          <w:tcPr>
            <w:tcW w:w="7230" w:type="dxa"/>
            <w:vAlign w:val="center"/>
          </w:tcPr>
          <w:p>
            <w:pPr>
              <w:snapToGrid w:val="0"/>
              <w:rPr>
                <w:rFonts w:ascii="Times New Roman" w:hAnsi="Times New Roman" w:eastAsia="方正仿宋_GBK" w:cs="Times New Roman"/>
                <w:sz w:val="24"/>
                <w:szCs w:val="24"/>
              </w:rPr>
            </w:pPr>
            <w:r>
              <w:rPr>
                <w:rFonts w:ascii="Times New Roman" w:hAnsi="Times New Roman" w:eastAsia="方正仿宋_GBK" w:cs="Times New Roman"/>
                <w:sz w:val="24"/>
                <w:szCs w:val="24"/>
              </w:rPr>
              <w:t>从事计算机软件产品质量第三方检验检测和信息系统第三方安全评估的专业机构，基于移动App和工业控制系统安全漏洞检测与挖掘、攻击事件溯源等方面具有丰富的技术积累，提供风险评估、渗透测试和应急响应服务。</w:t>
            </w:r>
          </w:p>
        </w:tc>
        <w:tc>
          <w:tcPr>
            <w:tcW w:w="1984"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陈相云</w:t>
            </w:r>
          </w:p>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信息安全负责人</w:t>
            </w:r>
          </w:p>
        </w:tc>
        <w:tc>
          <w:tcPr>
            <w:tcW w:w="1701"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13665164202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6"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10</w:t>
            </w:r>
          </w:p>
        </w:tc>
        <w:tc>
          <w:tcPr>
            <w:tcW w:w="1984"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江苏瑞新信息技术股份有限公司</w:t>
            </w:r>
          </w:p>
        </w:tc>
        <w:tc>
          <w:tcPr>
            <w:tcW w:w="7230" w:type="dxa"/>
            <w:vAlign w:val="center"/>
          </w:tcPr>
          <w:p>
            <w:pPr>
              <w:snapToGrid w:val="0"/>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公司</w:t>
            </w:r>
            <w:r>
              <w:rPr>
                <w:rFonts w:ascii="Times New Roman" w:hAnsi="Times New Roman" w:eastAsia="方正仿宋_GBK" w:cs="Times New Roman"/>
                <w:sz w:val="24"/>
                <w:szCs w:val="24"/>
              </w:rPr>
              <w:t>是专业的信息安全服务提供商，可提供预警监测、风险评估、应急响应、安全咨询与培训、指导提升工控安全防护能力、工控安全集成等服务。长期深耕网络安全服务行业，对工控安全有独特认知，擅长工控安全评估与工控安全整体解决方案的提供。</w:t>
            </w:r>
          </w:p>
        </w:tc>
        <w:tc>
          <w:tcPr>
            <w:tcW w:w="1984"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张必友</w:t>
            </w:r>
          </w:p>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副总经理</w:t>
            </w:r>
          </w:p>
        </w:tc>
        <w:tc>
          <w:tcPr>
            <w:tcW w:w="1701"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15161185757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6"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11</w:t>
            </w:r>
          </w:p>
        </w:tc>
        <w:tc>
          <w:tcPr>
            <w:tcW w:w="1984"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中国电信股份有限公司常州分公司</w:t>
            </w:r>
          </w:p>
        </w:tc>
        <w:tc>
          <w:tcPr>
            <w:tcW w:w="7230" w:type="dxa"/>
            <w:vAlign w:val="center"/>
          </w:tcPr>
          <w:p>
            <w:pPr>
              <w:snapToGrid w:val="0"/>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公司</w:t>
            </w:r>
            <w:r>
              <w:rPr>
                <w:rFonts w:ascii="Times New Roman" w:hAnsi="Times New Roman" w:eastAsia="方正仿宋_GBK" w:cs="Times New Roman"/>
                <w:sz w:val="24"/>
                <w:szCs w:val="24"/>
              </w:rPr>
              <w:t>拥有电信级的机房建设和运维能力，专业的网络规划和运营能力，严格的保密管理制度，为各行业客户提供云网安全、数据安全、信息安全等服务。在工业信息安全方面，主要提供物理环境检查、网络架构分析、资产识别、安全基线检查、漏洞扫描、渗透测试、代码审计、安全管理评估、应急响应、数据安全防护等服务。</w:t>
            </w:r>
          </w:p>
        </w:tc>
        <w:tc>
          <w:tcPr>
            <w:tcW w:w="1984"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刘琪</w:t>
            </w:r>
          </w:p>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行业经理</w:t>
            </w:r>
          </w:p>
        </w:tc>
        <w:tc>
          <w:tcPr>
            <w:tcW w:w="1701"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13306119711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6"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12</w:t>
            </w:r>
          </w:p>
        </w:tc>
        <w:tc>
          <w:tcPr>
            <w:tcW w:w="1984"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苏州亿阳值通科技发展股份有限公司</w:t>
            </w:r>
          </w:p>
        </w:tc>
        <w:tc>
          <w:tcPr>
            <w:tcW w:w="7230" w:type="dxa"/>
            <w:vAlign w:val="center"/>
          </w:tcPr>
          <w:p>
            <w:pPr>
              <w:snapToGrid w:val="0"/>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公司</w:t>
            </w:r>
            <w:r>
              <w:rPr>
                <w:rFonts w:ascii="Times New Roman" w:hAnsi="Times New Roman" w:eastAsia="方正仿宋_GBK" w:cs="Times New Roman"/>
                <w:sz w:val="24"/>
                <w:szCs w:val="24"/>
              </w:rPr>
              <w:t>以安全测评中心、安全运营中心为依托，构建工业网络安全检测与评估，监测与运维，咨询与培训、安全应急与支援四大业务板块，利用自身优势紧跟时代潮流，为政府、企业提供全方位的工业信息安全服务。</w:t>
            </w:r>
          </w:p>
        </w:tc>
        <w:tc>
          <w:tcPr>
            <w:tcW w:w="1984"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梁立新</w:t>
            </w:r>
          </w:p>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技术总监</w:t>
            </w:r>
          </w:p>
        </w:tc>
        <w:tc>
          <w:tcPr>
            <w:tcW w:w="1701"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13861888665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6"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13</w:t>
            </w:r>
          </w:p>
        </w:tc>
        <w:tc>
          <w:tcPr>
            <w:tcW w:w="1984"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江苏国保信息系统测评中心有限公司</w:t>
            </w:r>
          </w:p>
        </w:tc>
        <w:tc>
          <w:tcPr>
            <w:tcW w:w="7230" w:type="dxa"/>
            <w:vAlign w:val="center"/>
          </w:tcPr>
          <w:p>
            <w:pPr>
              <w:snapToGrid w:val="0"/>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企业</w:t>
            </w:r>
            <w:r>
              <w:rPr>
                <w:rFonts w:ascii="Times New Roman" w:hAnsi="Times New Roman" w:eastAsia="方正仿宋_GBK" w:cs="Times New Roman"/>
                <w:sz w:val="24"/>
                <w:szCs w:val="24"/>
              </w:rPr>
              <w:t>获得</w:t>
            </w:r>
            <w:r>
              <w:rPr>
                <w:rFonts w:hint="eastAsia" w:ascii="Times New Roman" w:hAnsi="Times New Roman" w:eastAsia="方正仿宋_GBK" w:cs="Times New Roman"/>
                <w:sz w:val="24"/>
                <w:szCs w:val="24"/>
              </w:rPr>
              <w:t>过</w:t>
            </w:r>
            <w:r>
              <w:rPr>
                <w:rFonts w:ascii="Times New Roman" w:hAnsi="Times New Roman" w:eastAsia="方正仿宋_GBK" w:cs="Times New Roman"/>
                <w:sz w:val="24"/>
                <w:szCs w:val="24"/>
              </w:rPr>
              <w:t>工业信息安全产业发展联盟颁发的工业信息安全应急服务支撑单位证书，可以为用户工业信息系统提供专业的安全咨询、风险评估、渗透测试，应急演练、应急响应、安全预警、安全重保等服务。</w:t>
            </w:r>
          </w:p>
        </w:tc>
        <w:tc>
          <w:tcPr>
            <w:tcW w:w="1984"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傅钰</w:t>
            </w:r>
          </w:p>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副总经理</w:t>
            </w:r>
          </w:p>
        </w:tc>
        <w:tc>
          <w:tcPr>
            <w:tcW w:w="1701"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18994439096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9" w:hRule="atLeast"/>
          <w:jc w:val="center"/>
        </w:trPr>
        <w:tc>
          <w:tcPr>
            <w:tcW w:w="846"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14</w:t>
            </w:r>
          </w:p>
        </w:tc>
        <w:tc>
          <w:tcPr>
            <w:tcW w:w="1984"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江苏天创科技有限公司</w:t>
            </w:r>
          </w:p>
        </w:tc>
        <w:tc>
          <w:tcPr>
            <w:tcW w:w="7230" w:type="dxa"/>
            <w:vAlign w:val="center"/>
          </w:tcPr>
          <w:p>
            <w:pPr>
              <w:snapToGrid w:val="0"/>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公司</w:t>
            </w:r>
            <w:r>
              <w:rPr>
                <w:rFonts w:ascii="Times New Roman" w:hAnsi="Times New Roman" w:eastAsia="方正仿宋_GBK" w:cs="Times New Roman"/>
                <w:sz w:val="24"/>
                <w:szCs w:val="24"/>
              </w:rPr>
              <w:t>以“智慧+安全”为核心理念，为企业智能化改造和数字化转型提供安全咨询、风险评估、安全集成、软件开发、安全托管服务等一整套网络安全解决方案，协助企业建立符合等级保护2.0和其他法律法规的工控系统安全防护体系，保障企业的生产运营。</w:t>
            </w:r>
          </w:p>
        </w:tc>
        <w:tc>
          <w:tcPr>
            <w:tcW w:w="1984"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徐昊</w:t>
            </w:r>
          </w:p>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业务经理</w:t>
            </w:r>
          </w:p>
        </w:tc>
        <w:tc>
          <w:tcPr>
            <w:tcW w:w="1701"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17849970902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atLeast"/>
          <w:jc w:val="center"/>
        </w:trPr>
        <w:tc>
          <w:tcPr>
            <w:tcW w:w="846"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15</w:t>
            </w:r>
          </w:p>
        </w:tc>
        <w:tc>
          <w:tcPr>
            <w:tcW w:w="1984"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江苏新亿迪智能科技有限公司</w:t>
            </w:r>
          </w:p>
        </w:tc>
        <w:tc>
          <w:tcPr>
            <w:tcW w:w="7230" w:type="dxa"/>
            <w:vAlign w:val="center"/>
          </w:tcPr>
          <w:p>
            <w:pPr>
              <w:snapToGrid w:val="0"/>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公司</w:t>
            </w:r>
            <w:r>
              <w:rPr>
                <w:rFonts w:ascii="Times New Roman" w:hAnsi="Times New Roman" w:eastAsia="方正仿宋_GBK" w:cs="Times New Roman"/>
                <w:sz w:val="24"/>
                <w:szCs w:val="24"/>
              </w:rPr>
              <w:t>成立20余年来</w:t>
            </w:r>
            <w:r>
              <w:rPr>
                <w:rFonts w:hint="eastAsia" w:ascii="Times New Roman" w:hAnsi="Times New Roman" w:eastAsia="方正仿宋_GBK" w:cs="Times New Roman"/>
                <w:sz w:val="24"/>
                <w:szCs w:val="24"/>
              </w:rPr>
              <w:t>，</w:t>
            </w:r>
            <w:r>
              <w:rPr>
                <w:rFonts w:ascii="Times New Roman" w:hAnsi="Times New Roman" w:eastAsia="方正仿宋_GBK" w:cs="Times New Roman"/>
                <w:sz w:val="24"/>
                <w:szCs w:val="24"/>
              </w:rPr>
              <w:t>致力于信息化、系统集成、软件开发、网络安全、大数据安全、物联网、智慧城市等服务。近年来主要在工业互联、工业应用开发、工业安全；风险、渗透、等保、云建设、大数据安全、隐私计算等领域提供服务。</w:t>
            </w:r>
          </w:p>
        </w:tc>
        <w:tc>
          <w:tcPr>
            <w:tcW w:w="1984"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宋俏</w:t>
            </w:r>
          </w:p>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市场总监</w:t>
            </w:r>
          </w:p>
        </w:tc>
        <w:tc>
          <w:tcPr>
            <w:tcW w:w="1701"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13222202512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6"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16</w:t>
            </w:r>
          </w:p>
        </w:tc>
        <w:tc>
          <w:tcPr>
            <w:tcW w:w="1984"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江苏亨通工控安全研究院有限公司</w:t>
            </w:r>
          </w:p>
        </w:tc>
        <w:tc>
          <w:tcPr>
            <w:tcW w:w="7230" w:type="dxa"/>
            <w:vAlign w:val="center"/>
          </w:tcPr>
          <w:p>
            <w:pPr>
              <w:snapToGrid w:val="0"/>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公司</w:t>
            </w:r>
            <w:r>
              <w:rPr>
                <w:rFonts w:ascii="Times New Roman" w:hAnsi="Times New Roman" w:eastAsia="方正仿宋_GBK" w:cs="Times New Roman"/>
                <w:sz w:val="24"/>
                <w:szCs w:val="24"/>
              </w:rPr>
              <w:t>以提供工控安全整体解决方案为核心，支持工控安全咨询、安全培训、安全应急、安全检测、风险评估、安全建设及运维、攻防演练、漏洞挖掘及网络安全人才培养等服务。</w:t>
            </w:r>
            <w:r>
              <w:rPr>
                <w:rFonts w:hint="eastAsia" w:ascii="Times New Roman" w:hAnsi="Times New Roman" w:eastAsia="方正仿宋_GBK" w:cs="Times New Roman"/>
                <w:sz w:val="24"/>
                <w:szCs w:val="24"/>
              </w:rPr>
              <w:t>公司</w:t>
            </w:r>
            <w:r>
              <w:rPr>
                <w:rFonts w:ascii="Times New Roman" w:hAnsi="Times New Roman" w:eastAsia="方正仿宋_GBK" w:cs="Times New Roman"/>
                <w:sz w:val="24"/>
                <w:szCs w:val="24"/>
              </w:rPr>
              <w:t>拥有专业的安全团队，支撑多项安全大赛及攻防演练，实施百项工业安全项目。</w:t>
            </w:r>
          </w:p>
        </w:tc>
        <w:tc>
          <w:tcPr>
            <w:tcW w:w="1984"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黄佳敏</w:t>
            </w:r>
          </w:p>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业务经理</w:t>
            </w:r>
          </w:p>
        </w:tc>
        <w:tc>
          <w:tcPr>
            <w:tcW w:w="1701"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15001835053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6"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17</w:t>
            </w:r>
          </w:p>
        </w:tc>
        <w:tc>
          <w:tcPr>
            <w:tcW w:w="1984"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苏州如意云网络科技有限公司</w:t>
            </w:r>
          </w:p>
        </w:tc>
        <w:tc>
          <w:tcPr>
            <w:tcW w:w="7230" w:type="dxa"/>
            <w:vAlign w:val="center"/>
          </w:tcPr>
          <w:p>
            <w:pPr>
              <w:snapToGrid w:val="0"/>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企业是</w:t>
            </w:r>
            <w:r>
              <w:rPr>
                <w:rFonts w:ascii="Times New Roman" w:hAnsi="Times New Roman" w:eastAsia="方正仿宋_GBK" w:cs="Times New Roman"/>
                <w:sz w:val="24"/>
                <w:szCs w:val="24"/>
              </w:rPr>
              <w:t>专业网络安全服务提供商，除拥有网络安全等级保护测评机构资质外，也是第一批工业互联网安全评估评测机构，参与了省工业信息安全防护星级企业培育工作。公司拥有三十多位安全服务技术人员，拥有丰富的工业信息安全服务及管理经验。</w:t>
            </w:r>
          </w:p>
        </w:tc>
        <w:tc>
          <w:tcPr>
            <w:tcW w:w="1984"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周建金</w:t>
            </w:r>
          </w:p>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安全测评部技术总监</w:t>
            </w:r>
          </w:p>
        </w:tc>
        <w:tc>
          <w:tcPr>
            <w:tcW w:w="1701"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13862073466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6"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18</w:t>
            </w:r>
          </w:p>
        </w:tc>
        <w:tc>
          <w:tcPr>
            <w:tcW w:w="1984"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苏州新希望科技有限公司</w:t>
            </w:r>
          </w:p>
        </w:tc>
        <w:tc>
          <w:tcPr>
            <w:tcW w:w="7230" w:type="dxa"/>
            <w:vAlign w:val="center"/>
          </w:tcPr>
          <w:p>
            <w:pPr>
              <w:snapToGrid w:val="0"/>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公司</w:t>
            </w:r>
            <w:r>
              <w:rPr>
                <w:rFonts w:ascii="Times New Roman" w:hAnsi="Times New Roman" w:eastAsia="方正仿宋_GBK" w:cs="Times New Roman"/>
                <w:sz w:val="24"/>
                <w:szCs w:val="24"/>
              </w:rPr>
              <w:t>在安全风险评估、资产漏洞管理、安全威胁与攻击防护、应急响应等7个安全保障维度，建立了完善的信息安全服务及运维团队，通过了信息安全服务体系认证，获得了涉密信息系统集成乙级资质，具备了全方位安全服务能力。</w:t>
            </w:r>
          </w:p>
        </w:tc>
        <w:tc>
          <w:tcPr>
            <w:tcW w:w="1984"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徐伟</w:t>
            </w:r>
          </w:p>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信息安全事业部经理</w:t>
            </w:r>
          </w:p>
        </w:tc>
        <w:tc>
          <w:tcPr>
            <w:tcW w:w="1701"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13814841480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jc w:val="center"/>
        </w:trPr>
        <w:tc>
          <w:tcPr>
            <w:tcW w:w="846"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19</w:t>
            </w:r>
          </w:p>
        </w:tc>
        <w:tc>
          <w:tcPr>
            <w:tcW w:w="1984"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江苏晟晖信息科技有限公司</w:t>
            </w:r>
          </w:p>
        </w:tc>
        <w:tc>
          <w:tcPr>
            <w:tcW w:w="7230" w:type="dxa"/>
            <w:vAlign w:val="center"/>
          </w:tcPr>
          <w:p>
            <w:pPr>
              <w:snapToGrid w:val="0"/>
              <w:rPr>
                <w:rFonts w:ascii="Times New Roman" w:hAnsi="Times New Roman" w:eastAsia="方正仿宋_GBK" w:cs="Times New Roman"/>
                <w:sz w:val="24"/>
                <w:szCs w:val="24"/>
              </w:rPr>
            </w:pPr>
            <w:r>
              <w:rPr>
                <w:rFonts w:ascii="Times New Roman" w:hAnsi="Times New Roman" w:eastAsia="方正仿宋_GBK" w:cs="Times New Roman"/>
                <w:sz w:val="24"/>
                <w:szCs w:val="24"/>
              </w:rPr>
              <w:t>主要从事工业信息安全领域的系统集成、风险评估、安全性测试评估、安全监测预警、应急处突、重保支撑、安全运维、安全加固、安全咨询、安全规划、安全设计、安全培训等。建有城市网络安全运营中心实现了以监测预警为核心的“全时域”网络安全保障服务。</w:t>
            </w:r>
          </w:p>
        </w:tc>
        <w:tc>
          <w:tcPr>
            <w:tcW w:w="1984"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张卫</w:t>
            </w:r>
          </w:p>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副总经理</w:t>
            </w:r>
          </w:p>
        </w:tc>
        <w:tc>
          <w:tcPr>
            <w:tcW w:w="1701"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15950805559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846" w:type="dxa"/>
            <w:vAlign w:val="center"/>
          </w:tcPr>
          <w:p>
            <w:pPr>
              <w:snapToGrid w:val="0"/>
              <w:jc w:val="center"/>
              <w:rPr>
                <w:rFonts w:ascii="Times New Roman" w:hAnsi="Times New Roman" w:eastAsia="方正仿宋_GBK" w:cs="Times New Roman"/>
                <w:sz w:val="24"/>
                <w:szCs w:val="22"/>
              </w:rPr>
            </w:pPr>
            <w:r>
              <w:rPr>
                <w:rFonts w:hint="eastAsia" w:ascii="Times New Roman" w:hAnsi="Times New Roman" w:eastAsia="方正仿宋_GBK" w:cs="Times New Roman"/>
                <w:sz w:val="24"/>
                <w:szCs w:val="22"/>
              </w:rPr>
              <w:t>2</w:t>
            </w:r>
            <w:r>
              <w:rPr>
                <w:rFonts w:ascii="Times New Roman" w:hAnsi="Times New Roman" w:eastAsia="方正仿宋_GBK" w:cs="Times New Roman"/>
                <w:sz w:val="24"/>
                <w:szCs w:val="22"/>
              </w:rPr>
              <w:t>0</w:t>
            </w:r>
          </w:p>
        </w:tc>
        <w:tc>
          <w:tcPr>
            <w:tcW w:w="1984" w:type="dxa"/>
            <w:vAlign w:val="center"/>
          </w:tcPr>
          <w:p>
            <w:pPr>
              <w:snapToGrid w:val="0"/>
              <w:jc w:val="center"/>
              <w:rPr>
                <w:rFonts w:ascii="Times New Roman" w:hAnsi="Times New Roman" w:eastAsia="方正仿宋_GBK" w:cs="Times New Roman"/>
                <w:sz w:val="24"/>
                <w:szCs w:val="22"/>
              </w:rPr>
            </w:pPr>
            <w:r>
              <w:rPr>
                <w:rFonts w:hint="eastAsia" w:ascii="Times New Roman" w:hAnsi="Times New Roman" w:eastAsia="方正仿宋_GBK" w:cs="Times New Roman"/>
                <w:sz w:val="24"/>
                <w:szCs w:val="22"/>
              </w:rPr>
              <w:t>扬州大自然网络信息有限公司</w:t>
            </w:r>
          </w:p>
        </w:tc>
        <w:tc>
          <w:tcPr>
            <w:tcW w:w="7230" w:type="dxa"/>
            <w:vAlign w:val="center"/>
          </w:tcPr>
          <w:p>
            <w:pPr>
              <w:snapToGrid w:val="0"/>
              <w:rPr>
                <w:rFonts w:ascii="Times New Roman" w:hAnsi="Times New Roman" w:eastAsia="方正仿宋_GBK" w:cs="Times New Roman"/>
                <w:sz w:val="24"/>
                <w:szCs w:val="22"/>
              </w:rPr>
            </w:pPr>
            <w:r>
              <w:rPr>
                <w:rFonts w:hint="eastAsia" w:ascii="Times New Roman" w:hAnsi="Times New Roman" w:eastAsia="方正仿宋_GBK" w:cs="Times New Roman"/>
                <w:sz w:val="24"/>
                <w:szCs w:val="22"/>
              </w:rPr>
              <w:t>公司</w:t>
            </w:r>
            <w:r>
              <w:rPr>
                <w:rFonts w:ascii="Times New Roman" w:hAnsi="Times New Roman" w:eastAsia="方正仿宋_GBK" w:cs="Times New Roman"/>
                <w:sz w:val="24"/>
                <w:szCs w:val="22"/>
              </w:rPr>
              <w:t>是从事网络安全服务的高新技术企业</w:t>
            </w:r>
            <w:r>
              <w:rPr>
                <w:rFonts w:hint="eastAsia" w:ascii="Times New Roman" w:hAnsi="Times New Roman" w:eastAsia="方正仿宋_GBK" w:cs="Times New Roman"/>
                <w:sz w:val="24"/>
                <w:szCs w:val="22"/>
              </w:rPr>
              <w:t>，</w:t>
            </w:r>
            <w:r>
              <w:rPr>
                <w:rFonts w:ascii="Times New Roman" w:hAnsi="Times New Roman" w:eastAsia="方正仿宋_GBK" w:cs="Times New Roman"/>
                <w:sz w:val="24"/>
                <w:szCs w:val="22"/>
              </w:rPr>
              <w:t>为企业开展技术培训、方案设计、漏洞检测、问题整改和评估报告</w:t>
            </w:r>
            <w:r>
              <w:rPr>
                <w:rFonts w:hint="eastAsia" w:ascii="Times New Roman" w:hAnsi="Times New Roman" w:eastAsia="方正仿宋_GBK" w:cs="Times New Roman"/>
                <w:sz w:val="24"/>
                <w:szCs w:val="22"/>
              </w:rPr>
              <w:t>等</w:t>
            </w:r>
            <w:r>
              <w:rPr>
                <w:rFonts w:ascii="Times New Roman" w:hAnsi="Times New Roman" w:eastAsia="方正仿宋_GBK" w:cs="Times New Roman"/>
                <w:sz w:val="24"/>
                <w:szCs w:val="22"/>
              </w:rPr>
              <w:t>安全服务。作为安全专委会主任单位，建立</w:t>
            </w:r>
            <w:r>
              <w:rPr>
                <w:rFonts w:hint="eastAsia" w:ascii="Times New Roman" w:hAnsi="Times New Roman" w:eastAsia="方正仿宋_GBK" w:cs="Times New Roman"/>
                <w:sz w:val="24"/>
                <w:szCs w:val="22"/>
              </w:rPr>
              <w:t>了</w:t>
            </w:r>
            <w:r>
              <w:rPr>
                <w:rFonts w:ascii="Times New Roman" w:hAnsi="Times New Roman" w:eastAsia="方正仿宋_GBK" w:cs="Times New Roman"/>
                <w:sz w:val="24"/>
                <w:szCs w:val="22"/>
              </w:rPr>
              <w:t>工控安全实验室，引入</w:t>
            </w:r>
            <w:r>
              <w:rPr>
                <w:rFonts w:hint="eastAsia" w:ascii="Times New Roman" w:hAnsi="Times New Roman" w:eastAsia="方正仿宋_GBK" w:cs="Times New Roman"/>
                <w:sz w:val="24"/>
                <w:szCs w:val="22"/>
              </w:rPr>
              <w:t>专业</w:t>
            </w:r>
            <w:r>
              <w:rPr>
                <w:rFonts w:ascii="Times New Roman" w:hAnsi="Times New Roman" w:eastAsia="方正仿宋_GBK" w:cs="Times New Roman"/>
                <w:sz w:val="24"/>
                <w:szCs w:val="22"/>
              </w:rPr>
              <w:t>技术人员共同推动安全防护技术和服务研究。</w:t>
            </w:r>
          </w:p>
        </w:tc>
        <w:tc>
          <w:tcPr>
            <w:tcW w:w="1984" w:type="dxa"/>
            <w:vAlign w:val="center"/>
          </w:tcPr>
          <w:p>
            <w:pPr>
              <w:snapToGrid w:val="0"/>
              <w:jc w:val="center"/>
              <w:rPr>
                <w:rFonts w:ascii="Times New Roman" w:hAnsi="Times New Roman" w:eastAsia="方正仿宋_GBK" w:cs="Times New Roman"/>
                <w:sz w:val="24"/>
                <w:szCs w:val="22"/>
              </w:rPr>
            </w:pPr>
            <w:r>
              <w:rPr>
                <w:rFonts w:ascii="Times New Roman" w:hAnsi="Times New Roman" w:eastAsia="方正仿宋_GBK" w:cs="Times New Roman"/>
                <w:sz w:val="24"/>
                <w:szCs w:val="22"/>
              </w:rPr>
              <w:t>王莉</w:t>
            </w:r>
          </w:p>
          <w:p>
            <w:pPr>
              <w:snapToGrid w:val="0"/>
              <w:jc w:val="center"/>
              <w:rPr>
                <w:rFonts w:ascii="Times New Roman" w:hAnsi="Times New Roman" w:eastAsia="方正仿宋_GBK" w:cs="Times New Roman"/>
                <w:sz w:val="24"/>
                <w:szCs w:val="22"/>
              </w:rPr>
            </w:pPr>
            <w:r>
              <w:rPr>
                <w:rFonts w:ascii="Times New Roman" w:hAnsi="Times New Roman" w:eastAsia="方正仿宋_GBK" w:cs="Times New Roman"/>
                <w:sz w:val="24"/>
                <w:szCs w:val="22"/>
              </w:rPr>
              <w:t>商务部经理</w:t>
            </w:r>
          </w:p>
        </w:tc>
        <w:tc>
          <w:tcPr>
            <w:tcW w:w="1701" w:type="dxa"/>
            <w:vAlign w:val="center"/>
          </w:tcPr>
          <w:p>
            <w:pPr>
              <w:snapToGrid w:val="0"/>
              <w:jc w:val="center"/>
              <w:rPr>
                <w:rFonts w:ascii="Times New Roman" w:hAnsi="Times New Roman" w:eastAsia="方正仿宋_GBK" w:cs="Times New Roman"/>
                <w:sz w:val="24"/>
                <w:szCs w:val="22"/>
              </w:rPr>
            </w:pPr>
            <w:r>
              <w:rPr>
                <w:rFonts w:ascii="Times New Roman" w:hAnsi="Times New Roman" w:eastAsia="方正仿宋_GBK" w:cs="Times New Roman"/>
                <w:sz w:val="24"/>
                <w:szCs w:val="22"/>
              </w:rPr>
              <w:t>13338851202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6" w:type="dxa"/>
            <w:vAlign w:val="center"/>
          </w:tcPr>
          <w:p>
            <w:pPr>
              <w:snapToGrid w:val="0"/>
              <w:jc w:val="center"/>
              <w:rPr>
                <w:rFonts w:ascii="Times New Roman" w:hAnsi="Times New Roman" w:eastAsia="方正仿宋_GBK" w:cs="Times New Roman"/>
                <w:sz w:val="24"/>
                <w:szCs w:val="22"/>
              </w:rPr>
            </w:pPr>
            <w:r>
              <w:rPr>
                <w:rFonts w:hint="eastAsia" w:ascii="Times New Roman" w:hAnsi="Times New Roman" w:eastAsia="方正仿宋_GBK" w:cs="Times New Roman"/>
                <w:sz w:val="24"/>
                <w:szCs w:val="22"/>
              </w:rPr>
              <w:t>2</w:t>
            </w:r>
            <w:r>
              <w:rPr>
                <w:rFonts w:ascii="Times New Roman" w:hAnsi="Times New Roman" w:eastAsia="方正仿宋_GBK" w:cs="Times New Roman"/>
                <w:sz w:val="24"/>
                <w:szCs w:val="22"/>
              </w:rPr>
              <w:t>1</w:t>
            </w:r>
          </w:p>
        </w:tc>
        <w:tc>
          <w:tcPr>
            <w:tcW w:w="1984" w:type="dxa"/>
            <w:vAlign w:val="center"/>
          </w:tcPr>
          <w:p>
            <w:pPr>
              <w:snapToGrid w:val="0"/>
              <w:jc w:val="center"/>
              <w:rPr>
                <w:rFonts w:ascii="Times New Roman" w:hAnsi="Times New Roman" w:eastAsia="方正仿宋_GBK" w:cs="Times New Roman"/>
                <w:sz w:val="24"/>
                <w:szCs w:val="22"/>
              </w:rPr>
            </w:pPr>
            <w:r>
              <w:rPr>
                <w:rFonts w:hint="eastAsia" w:ascii="Times New Roman" w:hAnsi="Times New Roman" w:eastAsia="方正仿宋_GBK" w:cs="Times New Roman"/>
                <w:sz w:val="24"/>
                <w:szCs w:val="22"/>
              </w:rPr>
              <w:t>江苏怡通智能科技有限公司</w:t>
            </w:r>
          </w:p>
        </w:tc>
        <w:tc>
          <w:tcPr>
            <w:tcW w:w="7230" w:type="dxa"/>
            <w:vAlign w:val="center"/>
          </w:tcPr>
          <w:p>
            <w:pPr>
              <w:snapToGrid w:val="0"/>
              <w:rPr>
                <w:rFonts w:ascii="Times New Roman" w:hAnsi="Times New Roman" w:eastAsia="方正仿宋_GBK" w:cs="Times New Roman"/>
                <w:sz w:val="24"/>
                <w:szCs w:val="22"/>
              </w:rPr>
            </w:pPr>
            <w:r>
              <w:rPr>
                <w:rFonts w:hint="eastAsia" w:ascii="Times New Roman" w:hAnsi="Times New Roman" w:eastAsia="方正仿宋_GBK" w:cs="Times New Roman"/>
                <w:sz w:val="24"/>
                <w:szCs w:val="22"/>
              </w:rPr>
              <w:t>公司能够</w:t>
            </w:r>
            <w:r>
              <w:rPr>
                <w:rFonts w:ascii="Times New Roman" w:hAnsi="Times New Roman" w:eastAsia="方正仿宋_GBK" w:cs="Times New Roman"/>
                <w:sz w:val="24"/>
                <w:szCs w:val="22"/>
              </w:rPr>
              <w:t>为工业企业提供一站式信息安全公共服务，服务内容包括工业信息安全保障体系规划设计、风险评估、渗透测试、诊断咨询、安全加固、安全培训、应急演练等。加强工业企业事前检测预警、事中监测防护、事后应急响应的能力。</w:t>
            </w:r>
          </w:p>
        </w:tc>
        <w:tc>
          <w:tcPr>
            <w:tcW w:w="1984" w:type="dxa"/>
            <w:vAlign w:val="center"/>
          </w:tcPr>
          <w:p>
            <w:pPr>
              <w:snapToGrid w:val="0"/>
              <w:jc w:val="center"/>
              <w:rPr>
                <w:rFonts w:ascii="Times New Roman" w:hAnsi="Times New Roman" w:eastAsia="方正仿宋_GBK" w:cs="Times New Roman"/>
                <w:sz w:val="24"/>
                <w:szCs w:val="22"/>
              </w:rPr>
            </w:pPr>
            <w:r>
              <w:rPr>
                <w:rFonts w:ascii="Times New Roman" w:hAnsi="Times New Roman" w:eastAsia="方正仿宋_GBK" w:cs="Times New Roman"/>
                <w:sz w:val="24"/>
                <w:szCs w:val="22"/>
              </w:rPr>
              <w:t>虞志鹏</w:t>
            </w:r>
          </w:p>
          <w:p>
            <w:pPr>
              <w:snapToGrid w:val="0"/>
              <w:jc w:val="center"/>
              <w:rPr>
                <w:rFonts w:ascii="Times New Roman" w:hAnsi="Times New Roman" w:eastAsia="方正仿宋_GBK" w:cs="Times New Roman"/>
                <w:sz w:val="24"/>
                <w:szCs w:val="22"/>
              </w:rPr>
            </w:pPr>
            <w:r>
              <w:rPr>
                <w:rFonts w:hint="eastAsia" w:ascii="Times New Roman" w:hAnsi="Times New Roman" w:eastAsia="方正仿宋_GBK" w:cs="Times New Roman"/>
                <w:sz w:val="24"/>
                <w:szCs w:val="22"/>
              </w:rPr>
              <w:t>副总经理</w:t>
            </w:r>
          </w:p>
        </w:tc>
        <w:tc>
          <w:tcPr>
            <w:tcW w:w="1701" w:type="dxa"/>
            <w:vAlign w:val="center"/>
          </w:tcPr>
          <w:p>
            <w:pPr>
              <w:snapToGrid w:val="0"/>
              <w:jc w:val="center"/>
              <w:rPr>
                <w:rFonts w:ascii="Times New Roman" w:hAnsi="Times New Roman" w:eastAsia="方正仿宋_GBK" w:cs="Times New Roman"/>
                <w:sz w:val="24"/>
                <w:szCs w:val="22"/>
              </w:rPr>
            </w:pPr>
            <w:r>
              <w:rPr>
                <w:rFonts w:ascii="Times New Roman" w:hAnsi="Times New Roman" w:eastAsia="方正仿宋_GBK" w:cs="Times New Roman"/>
                <w:sz w:val="24"/>
                <w:szCs w:val="22"/>
              </w:rPr>
              <w:t>15365991390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6" w:type="dxa"/>
            <w:vAlign w:val="center"/>
          </w:tcPr>
          <w:p>
            <w:pPr>
              <w:snapToGrid w:val="0"/>
              <w:jc w:val="center"/>
              <w:rPr>
                <w:rFonts w:ascii="Times New Roman" w:hAnsi="Times New Roman" w:eastAsia="方正仿宋_GBK" w:cs="Times New Roman"/>
                <w:sz w:val="24"/>
                <w:szCs w:val="22"/>
              </w:rPr>
            </w:pPr>
            <w:r>
              <w:rPr>
                <w:rFonts w:hint="eastAsia" w:ascii="Times New Roman" w:hAnsi="Times New Roman" w:eastAsia="方正仿宋_GBK" w:cs="Times New Roman"/>
                <w:sz w:val="24"/>
                <w:szCs w:val="22"/>
              </w:rPr>
              <w:t>2</w:t>
            </w:r>
            <w:r>
              <w:rPr>
                <w:rFonts w:ascii="Times New Roman" w:hAnsi="Times New Roman" w:eastAsia="方正仿宋_GBK" w:cs="Times New Roman"/>
                <w:sz w:val="24"/>
                <w:szCs w:val="22"/>
              </w:rPr>
              <w:t>2</w:t>
            </w:r>
          </w:p>
        </w:tc>
        <w:tc>
          <w:tcPr>
            <w:tcW w:w="1984" w:type="dxa"/>
            <w:vAlign w:val="center"/>
          </w:tcPr>
          <w:p>
            <w:pPr>
              <w:snapToGrid w:val="0"/>
              <w:jc w:val="center"/>
              <w:rPr>
                <w:rFonts w:ascii="Times New Roman" w:hAnsi="Times New Roman" w:eastAsia="方正仿宋_GBK" w:cs="Times New Roman"/>
                <w:sz w:val="24"/>
                <w:szCs w:val="22"/>
              </w:rPr>
            </w:pPr>
            <w:r>
              <w:rPr>
                <w:rFonts w:hint="eastAsia" w:ascii="Times New Roman" w:hAnsi="Times New Roman" w:eastAsia="方正仿宋_GBK" w:cs="Times New Roman"/>
                <w:sz w:val="24"/>
                <w:szCs w:val="22"/>
              </w:rPr>
              <w:t>江苏富深协通科技股份有限公司</w:t>
            </w:r>
          </w:p>
        </w:tc>
        <w:tc>
          <w:tcPr>
            <w:tcW w:w="7230" w:type="dxa"/>
            <w:vAlign w:val="center"/>
          </w:tcPr>
          <w:p>
            <w:pPr>
              <w:snapToGrid w:val="0"/>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可为企业提供工控系统信息安全的风险评估、防护工程建设、日常运维等服务。服务内容包括（1）国内外标准结合：如等保2</w:t>
            </w:r>
            <w:r>
              <w:rPr>
                <w:rFonts w:ascii="Times New Roman" w:hAnsi="Times New Roman" w:eastAsia="方正仿宋_GBK" w:cs="Times New Roman"/>
                <w:sz w:val="24"/>
                <w:szCs w:val="24"/>
              </w:rPr>
              <w:t>.0</w:t>
            </w:r>
            <w:r>
              <w:rPr>
                <w:rFonts w:hint="eastAsia" w:ascii="Times New Roman" w:hAnsi="Times New Roman" w:eastAsia="方正仿宋_GBK" w:cs="Times New Roman"/>
                <w:sz w:val="24"/>
                <w:szCs w:val="24"/>
              </w:rPr>
              <w:t>、G</w:t>
            </w:r>
            <w:r>
              <w:rPr>
                <w:rFonts w:ascii="Times New Roman" w:hAnsi="Times New Roman" w:eastAsia="方正仿宋_GBK" w:cs="Times New Roman"/>
                <w:sz w:val="24"/>
                <w:szCs w:val="24"/>
              </w:rPr>
              <w:t>B</w:t>
            </w:r>
            <w:r>
              <w:rPr>
                <w:rFonts w:hint="eastAsia" w:ascii="Times New Roman" w:hAnsi="Times New Roman" w:eastAsia="方正仿宋_GBK" w:cs="Times New Roman"/>
                <w:sz w:val="24"/>
                <w:szCs w:val="24"/>
              </w:rPr>
              <w:t>/</w:t>
            </w:r>
            <w:r>
              <w:rPr>
                <w:rFonts w:ascii="Times New Roman" w:hAnsi="Times New Roman" w:eastAsia="方正仿宋_GBK" w:cs="Times New Roman"/>
                <w:sz w:val="24"/>
                <w:szCs w:val="24"/>
              </w:rPr>
              <w:t>T 26333</w:t>
            </w:r>
            <w:r>
              <w:rPr>
                <w:rFonts w:hint="eastAsia" w:ascii="Times New Roman" w:hAnsi="Times New Roman" w:eastAsia="方正仿宋_GBK" w:cs="Times New Roman"/>
                <w:sz w:val="24"/>
                <w:szCs w:val="24"/>
              </w:rPr>
              <w:t>、G</w:t>
            </w:r>
            <w:r>
              <w:rPr>
                <w:rFonts w:ascii="Times New Roman" w:hAnsi="Times New Roman" w:eastAsia="方正仿宋_GBK" w:cs="Times New Roman"/>
                <w:sz w:val="24"/>
                <w:szCs w:val="24"/>
              </w:rPr>
              <w:t>B/T 30976</w:t>
            </w:r>
            <w:r>
              <w:rPr>
                <w:rFonts w:hint="eastAsia" w:ascii="Times New Roman" w:hAnsi="Times New Roman" w:eastAsia="方正仿宋_GBK" w:cs="Times New Roman"/>
                <w:sz w:val="24"/>
                <w:szCs w:val="24"/>
              </w:rPr>
              <w:t>、I</w:t>
            </w:r>
            <w:r>
              <w:rPr>
                <w:rFonts w:ascii="Times New Roman" w:hAnsi="Times New Roman" w:eastAsia="方正仿宋_GBK" w:cs="Times New Roman"/>
                <w:sz w:val="24"/>
                <w:szCs w:val="24"/>
              </w:rPr>
              <w:t>EC62443</w:t>
            </w:r>
            <w:r>
              <w:rPr>
                <w:rFonts w:hint="eastAsia" w:ascii="Times New Roman" w:hAnsi="Times New Roman" w:eastAsia="方正仿宋_GBK" w:cs="Times New Roman"/>
                <w:sz w:val="24"/>
                <w:szCs w:val="24"/>
              </w:rPr>
              <w:t>等；（2）信息系统、工控系统安全的规范性与专业性的统一；（3）工控安全可以涵盖设备使用、产品设计生产。</w:t>
            </w:r>
          </w:p>
        </w:tc>
        <w:tc>
          <w:tcPr>
            <w:tcW w:w="1984" w:type="dxa"/>
            <w:vAlign w:val="center"/>
          </w:tcPr>
          <w:p>
            <w:pPr>
              <w:snapToGrid w:val="0"/>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朱志斌</w:t>
            </w:r>
          </w:p>
          <w:p>
            <w:pPr>
              <w:snapToGrid w:val="0"/>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业务经理</w:t>
            </w:r>
          </w:p>
        </w:tc>
        <w:tc>
          <w:tcPr>
            <w:tcW w:w="1701" w:type="dxa"/>
            <w:vAlign w:val="center"/>
          </w:tcPr>
          <w:p>
            <w:pPr>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13382827210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846" w:type="dxa"/>
            <w:vAlign w:val="center"/>
          </w:tcPr>
          <w:p>
            <w:pPr>
              <w:snapToGrid w:val="0"/>
              <w:jc w:val="center"/>
              <w:rPr>
                <w:rFonts w:ascii="Times New Roman" w:hAnsi="Times New Roman" w:eastAsia="方正仿宋_GBK" w:cs="Times New Roman"/>
                <w:sz w:val="24"/>
                <w:szCs w:val="22"/>
              </w:rPr>
            </w:pPr>
            <w:r>
              <w:rPr>
                <w:rFonts w:hint="eastAsia" w:ascii="Times New Roman" w:hAnsi="Times New Roman" w:eastAsia="方正仿宋_GBK" w:cs="Times New Roman"/>
                <w:sz w:val="24"/>
                <w:szCs w:val="22"/>
              </w:rPr>
              <w:t>2</w:t>
            </w:r>
            <w:r>
              <w:rPr>
                <w:rFonts w:ascii="Times New Roman" w:hAnsi="Times New Roman" w:eastAsia="方正仿宋_GBK" w:cs="Times New Roman"/>
                <w:sz w:val="24"/>
                <w:szCs w:val="22"/>
              </w:rPr>
              <w:t>3</w:t>
            </w:r>
          </w:p>
        </w:tc>
        <w:tc>
          <w:tcPr>
            <w:tcW w:w="1984" w:type="dxa"/>
            <w:vAlign w:val="center"/>
          </w:tcPr>
          <w:p>
            <w:pPr>
              <w:snapToGrid w:val="0"/>
              <w:jc w:val="center"/>
              <w:rPr>
                <w:rFonts w:ascii="Times New Roman" w:hAnsi="Times New Roman" w:eastAsia="方正仿宋_GBK" w:cs="Times New Roman"/>
                <w:sz w:val="24"/>
                <w:szCs w:val="22"/>
              </w:rPr>
            </w:pPr>
            <w:r>
              <w:rPr>
                <w:rFonts w:hint="eastAsia" w:ascii="Times New Roman" w:hAnsi="Times New Roman" w:eastAsia="方正仿宋_GBK" w:cs="Times New Roman"/>
                <w:sz w:val="24"/>
                <w:szCs w:val="22"/>
              </w:rPr>
              <w:t>江苏诚通网络科技有限公司</w:t>
            </w:r>
          </w:p>
        </w:tc>
        <w:tc>
          <w:tcPr>
            <w:tcW w:w="7230" w:type="dxa"/>
            <w:vAlign w:val="center"/>
          </w:tcPr>
          <w:p>
            <w:pPr>
              <w:snapToGrid w:val="0"/>
              <w:rPr>
                <w:rFonts w:ascii="Times New Roman" w:hAnsi="Times New Roman" w:eastAsia="方正仿宋_GBK" w:cs="Times New Roman"/>
                <w:sz w:val="24"/>
                <w:szCs w:val="22"/>
              </w:rPr>
            </w:pPr>
            <w:r>
              <w:rPr>
                <w:rFonts w:ascii="Times New Roman" w:hAnsi="Times New Roman" w:eastAsia="方正仿宋_GBK" w:cs="Times New Roman"/>
                <w:sz w:val="24"/>
                <w:szCs w:val="22"/>
              </w:rPr>
              <w:t>主要</w:t>
            </w:r>
            <w:r>
              <w:rPr>
                <w:rFonts w:hint="eastAsia" w:ascii="Times New Roman" w:hAnsi="Times New Roman" w:eastAsia="方正仿宋_GBK" w:cs="Times New Roman"/>
                <w:sz w:val="24"/>
                <w:szCs w:val="22"/>
              </w:rPr>
              <w:t>从事</w:t>
            </w:r>
            <w:r>
              <w:rPr>
                <w:rFonts w:ascii="Times New Roman" w:hAnsi="Times New Roman" w:eastAsia="方正仿宋_GBK" w:cs="Times New Roman"/>
                <w:sz w:val="24"/>
                <w:szCs w:val="22"/>
              </w:rPr>
              <w:t>工业信息安全设计咨询服务及工业企业信息系统的安全风险评估</w:t>
            </w:r>
            <w:r>
              <w:rPr>
                <w:rFonts w:hint="eastAsia" w:ascii="Times New Roman" w:hAnsi="Times New Roman" w:eastAsia="方正仿宋_GBK" w:cs="Times New Roman"/>
                <w:sz w:val="24"/>
                <w:szCs w:val="22"/>
              </w:rPr>
              <w:t>。</w:t>
            </w:r>
          </w:p>
        </w:tc>
        <w:tc>
          <w:tcPr>
            <w:tcW w:w="1984" w:type="dxa"/>
            <w:vAlign w:val="center"/>
          </w:tcPr>
          <w:p>
            <w:pPr>
              <w:snapToGrid w:val="0"/>
              <w:jc w:val="center"/>
              <w:rPr>
                <w:rFonts w:ascii="Times New Roman" w:hAnsi="Times New Roman" w:eastAsia="方正仿宋_GBK" w:cs="Times New Roman"/>
                <w:sz w:val="24"/>
                <w:szCs w:val="22"/>
              </w:rPr>
            </w:pPr>
            <w:r>
              <w:rPr>
                <w:rFonts w:ascii="Times New Roman" w:hAnsi="Times New Roman" w:eastAsia="方正仿宋_GBK" w:cs="Times New Roman"/>
                <w:sz w:val="24"/>
                <w:szCs w:val="22"/>
              </w:rPr>
              <w:t>杨冠</w:t>
            </w:r>
          </w:p>
          <w:p>
            <w:pPr>
              <w:snapToGrid w:val="0"/>
              <w:jc w:val="center"/>
              <w:rPr>
                <w:rFonts w:ascii="Times New Roman" w:hAnsi="Times New Roman" w:eastAsia="方正仿宋_GBK" w:cs="Times New Roman"/>
                <w:sz w:val="24"/>
                <w:szCs w:val="22"/>
              </w:rPr>
            </w:pPr>
            <w:r>
              <w:rPr>
                <w:rFonts w:hint="eastAsia" w:ascii="Times New Roman" w:hAnsi="Times New Roman" w:eastAsia="方正仿宋_GBK" w:cs="Times New Roman"/>
                <w:sz w:val="24"/>
                <w:szCs w:val="22"/>
              </w:rPr>
              <w:t>安全工程师</w:t>
            </w:r>
          </w:p>
        </w:tc>
        <w:tc>
          <w:tcPr>
            <w:tcW w:w="1701" w:type="dxa"/>
            <w:vAlign w:val="center"/>
          </w:tcPr>
          <w:p>
            <w:pPr>
              <w:snapToGrid w:val="0"/>
              <w:jc w:val="center"/>
              <w:rPr>
                <w:rFonts w:ascii="Times New Roman" w:hAnsi="Times New Roman" w:eastAsia="方正仿宋_GBK" w:cs="Times New Roman"/>
                <w:sz w:val="24"/>
                <w:szCs w:val="22"/>
              </w:rPr>
            </w:pPr>
            <w:r>
              <w:rPr>
                <w:rFonts w:ascii="Times New Roman" w:hAnsi="Times New Roman" w:eastAsia="方正仿宋_GBK" w:cs="Times New Roman"/>
                <w:sz w:val="24"/>
                <w:szCs w:val="22"/>
              </w:rPr>
              <w:t>15161198889</w:t>
            </w:r>
          </w:p>
        </w:tc>
      </w:tr>
    </w:tbl>
    <w:p>
      <w:pPr>
        <w:snapToGrid w:val="0"/>
        <w:jc w:val="left"/>
        <w:rPr>
          <w:rFonts w:ascii="Times New Roman" w:hAnsi="Times New Roman" w:eastAsia="方正仿宋_GBK" w:cs="Times New Roman"/>
          <w:sz w:val="10"/>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5C2"/>
    <w:rsid w:val="000263F3"/>
    <w:rsid w:val="0004405A"/>
    <w:rsid w:val="000728E5"/>
    <w:rsid w:val="0008608D"/>
    <w:rsid w:val="00097572"/>
    <w:rsid w:val="000A21FE"/>
    <w:rsid w:val="000C4704"/>
    <w:rsid w:val="000D441D"/>
    <w:rsid w:val="000E0897"/>
    <w:rsid w:val="000E0FAC"/>
    <w:rsid w:val="000E347A"/>
    <w:rsid w:val="001A7A5C"/>
    <w:rsid w:val="00217464"/>
    <w:rsid w:val="0024466C"/>
    <w:rsid w:val="002661A4"/>
    <w:rsid w:val="00272B26"/>
    <w:rsid w:val="00275C48"/>
    <w:rsid w:val="002920F7"/>
    <w:rsid w:val="002A0471"/>
    <w:rsid w:val="002D6131"/>
    <w:rsid w:val="002E2961"/>
    <w:rsid w:val="002F41D9"/>
    <w:rsid w:val="00300B9A"/>
    <w:rsid w:val="00315D5E"/>
    <w:rsid w:val="0031624A"/>
    <w:rsid w:val="003354C3"/>
    <w:rsid w:val="00350E90"/>
    <w:rsid w:val="00353EBD"/>
    <w:rsid w:val="00354B7E"/>
    <w:rsid w:val="00363EB9"/>
    <w:rsid w:val="00372445"/>
    <w:rsid w:val="00387753"/>
    <w:rsid w:val="0044729E"/>
    <w:rsid w:val="00451CBA"/>
    <w:rsid w:val="00452502"/>
    <w:rsid w:val="004B238C"/>
    <w:rsid w:val="004B7120"/>
    <w:rsid w:val="004D3E70"/>
    <w:rsid w:val="004F0D19"/>
    <w:rsid w:val="00556645"/>
    <w:rsid w:val="00567184"/>
    <w:rsid w:val="00567260"/>
    <w:rsid w:val="00575155"/>
    <w:rsid w:val="00584D69"/>
    <w:rsid w:val="00596E10"/>
    <w:rsid w:val="005F7A32"/>
    <w:rsid w:val="00617405"/>
    <w:rsid w:val="006C2F18"/>
    <w:rsid w:val="006D1783"/>
    <w:rsid w:val="006D1D86"/>
    <w:rsid w:val="006E0B88"/>
    <w:rsid w:val="006E3ED3"/>
    <w:rsid w:val="006E4E43"/>
    <w:rsid w:val="006F33CF"/>
    <w:rsid w:val="00702FE9"/>
    <w:rsid w:val="00730CE1"/>
    <w:rsid w:val="0073377B"/>
    <w:rsid w:val="007525C7"/>
    <w:rsid w:val="007915CD"/>
    <w:rsid w:val="007D1D41"/>
    <w:rsid w:val="008102E8"/>
    <w:rsid w:val="00856A3D"/>
    <w:rsid w:val="0086167F"/>
    <w:rsid w:val="00872E52"/>
    <w:rsid w:val="008A5F2F"/>
    <w:rsid w:val="008B08A6"/>
    <w:rsid w:val="008D6F57"/>
    <w:rsid w:val="008F65B3"/>
    <w:rsid w:val="009176D0"/>
    <w:rsid w:val="00924496"/>
    <w:rsid w:val="0095415E"/>
    <w:rsid w:val="00975DB5"/>
    <w:rsid w:val="009A105B"/>
    <w:rsid w:val="009A258A"/>
    <w:rsid w:val="009B7BE6"/>
    <w:rsid w:val="009C4CE8"/>
    <w:rsid w:val="009E4A0E"/>
    <w:rsid w:val="009E6459"/>
    <w:rsid w:val="00A31A4C"/>
    <w:rsid w:val="00A31D8A"/>
    <w:rsid w:val="00A36C0B"/>
    <w:rsid w:val="00A502B2"/>
    <w:rsid w:val="00AC01CC"/>
    <w:rsid w:val="00AE19CA"/>
    <w:rsid w:val="00AF77D0"/>
    <w:rsid w:val="00B14D78"/>
    <w:rsid w:val="00B46EB6"/>
    <w:rsid w:val="00B50AB6"/>
    <w:rsid w:val="00B536F2"/>
    <w:rsid w:val="00BB3157"/>
    <w:rsid w:val="00BB57B2"/>
    <w:rsid w:val="00BC4779"/>
    <w:rsid w:val="00BD45B3"/>
    <w:rsid w:val="00C34A61"/>
    <w:rsid w:val="00C40E36"/>
    <w:rsid w:val="00C86203"/>
    <w:rsid w:val="00CD75D5"/>
    <w:rsid w:val="00CF6B1E"/>
    <w:rsid w:val="00D05F52"/>
    <w:rsid w:val="00D12E31"/>
    <w:rsid w:val="00D207AE"/>
    <w:rsid w:val="00D3544B"/>
    <w:rsid w:val="00D4171D"/>
    <w:rsid w:val="00D60BE0"/>
    <w:rsid w:val="00DA56D4"/>
    <w:rsid w:val="00DE6B95"/>
    <w:rsid w:val="00E13AE3"/>
    <w:rsid w:val="00E2610F"/>
    <w:rsid w:val="00E26880"/>
    <w:rsid w:val="00E325C2"/>
    <w:rsid w:val="00E4258C"/>
    <w:rsid w:val="00E467BC"/>
    <w:rsid w:val="00ED5056"/>
    <w:rsid w:val="00F00952"/>
    <w:rsid w:val="00F10DED"/>
    <w:rsid w:val="00F25FC1"/>
    <w:rsid w:val="00F44E79"/>
    <w:rsid w:val="00F5519E"/>
    <w:rsid w:val="00F8445D"/>
    <w:rsid w:val="00F952D6"/>
    <w:rsid w:val="00FA1D4B"/>
    <w:rsid w:val="EDB7A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0"/>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rPr>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firstLine="420" w:firstLineChars="200"/>
    </w:p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0"/>
    <w:rPr>
      <w:sz w:val="18"/>
      <w:szCs w:val="18"/>
    </w:rPr>
  </w:style>
  <w:style w:type="character" w:customStyle="1" w:styleId="11">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732</Words>
  <Characters>4178</Characters>
  <Lines>34</Lines>
  <Paragraphs>9</Paragraphs>
  <TotalTime>193</TotalTime>
  <ScaleCrop>false</ScaleCrop>
  <LinksUpToDate>false</LinksUpToDate>
  <CharactersWithSpaces>4901</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2021-08-10T10:22:00Z</dcterms:created>
  <dc:creator>ck</dc:creator>
  <cp:lastModifiedBy>uos</cp:lastModifiedBy>
  <cp:lastPrinted>2022-06-17T11:14:00Z</cp:lastPrinted>
  <dcterms:modified xsi:type="dcterms:W3CDTF">2022-06-22T16:41:12Z</dcterms:modified>
  <cp:revision>132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