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124"/>
        <w:rPr>
          <w:rFonts w:hint="eastAsia"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2</w:t>
      </w: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  <w:t>全国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  <w:t>工业APP和信息消费大赛</w:t>
      </w: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ascii="Times New Roman [TMC ]" w:hAnsi="Times New Roman [TMC ]" w:eastAsia="黑体" w:cs="Times New Roman [TMC ]"/>
          <w:bCs/>
          <w:snapToGrid/>
          <w:kern w:val="0"/>
          <w:sz w:val="36"/>
          <w:szCs w:val="36"/>
          <w:lang w:val="en-US" w:eastAsia="zh-CN" w:bidi="ar-SA"/>
        </w:rPr>
        <w:t>参赛报名表</w:t>
      </w:r>
    </w:p>
    <w:bookmarkEnd w:id="0"/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仿宋_GB2312" w:cs="Times New Roman [TMC ]"/>
          <w:bCs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bCs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1840" w:firstLineChars="575"/>
        <w:jc w:val="left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u w:val="single"/>
          <w:lang w:val="en-US" w:eastAsia="zh-CN" w:bidi="ar-SA"/>
        </w:rPr>
      </w:pP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项目名称：</w:t>
      </w:r>
    </w:p>
    <w:p>
      <w:pPr>
        <w:kinsoku/>
        <w:autoSpaceDE/>
        <w:autoSpaceDN/>
        <w:adjustRightInd/>
        <w:snapToGrid/>
        <w:spacing w:line="580" w:lineRule="exact"/>
        <w:ind w:firstLine="1840" w:firstLineChars="575"/>
        <w:jc w:val="left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参赛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单位：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u w:val="single"/>
          <w:lang w:val="en-US" w:eastAsia="zh-CN" w:bidi="ar-SA"/>
        </w:rPr>
        <w:t xml:space="preserve">    （加盖单位公章）</w:t>
      </w:r>
    </w:p>
    <w:p>
      <w:pPr>
        <w:kinsoku/>
        <w:autoSpaceDE/>
        <w:autoSpaceDN/>
        <w:adjustRightInd/>
        <w:snapToGrid/>
        <w:spacing w:line="580" w:lineRule="exact"/>
        <w:ind w:firstLine="1840" w:firstLineChars="575"/>
        <w:jc w:val="left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申报日期：</w:t>
      </w:r>
      <w:r>
        <w:rPr>
          <w:rFonts w:hint="eastAsia"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 xml:space="preserve">      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日</w:t>
      </w:r>
    </w:p>
    <w:p>
      <w:pPr>
        <w:kinsoku/>
        <w:autoSpaceDE/>
        <w:autoSpaceDN/>
        <w:adjustRightInd/>
        <w:snapToGrid/>
        <w:spacing w:line="580" w:lineRule="exact"/>
        <w:jc w:val="left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仿宋_GB2312" w:cs="Times New Roman [TMC ]"/>
          <w:bCs/>
          <w:snapToGrid/>
          <w:kern w:val="0"/>
          <w:sz w:val="32"/>
          <w:szCs w:val="32"/>
          <w:lang w:val="zh-TW" w:eastAsia="zh-CN" w:bidi="ar-SA"/>
        </w:rPr>
      </w:pPr>
      <w:r>
        <w:rPr>
          <w:rFonts w:ascii="Times New Roman [TMC ]" w:hAnsi="Times New Roman [TMC ]" w:eastAsia="黑体" w:cs="Times New Roman [TMC ]"/>
          <w:bCs/>
          <w:snapToGrid/>
          <w:kern w:val="0"/>
          <w:sz w:val="32"/>
          <w:szCs w:val="32"/>
          <w:lang w:val="en-US" w:eastAsia="zh-CN" w:bidi="ar-SA"/>
        </w:rPr>
        <w:t>大赛组委会编制</w:t>
      </w: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</w:pPr>
      <w:r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  <w:br w:type="page"/>
      </w: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黑体" w:cs="Times New Roman [TMC ]"/>
          <w:snapToGrid/>
          <w:kern w:val="0"/>
          <w:sz w:val="44"/>
          <w:szCs w:val="36"/>
          <w:lang w:val="en-US" w:eastAsia="zh-CN" w:bidi="ar-SA"/>
        </w:rPr>
      </w:pPr>
      <w:r>
        <w:rPr>
          <w:rFonts w:ascii="Times New Roman [TMC ]" w:hAnsi="Times New Roman [TMC ]" w:eastAsia="黑体" w:cs="Times New Roman [TMC ]"/>
          <w:snapToGrid/>
          <w:kern w:val="0"/>
          <w:sz w:val="44"/>
          <w:szCs w:val="36"/>
          <w:lang w:val="en-US" w:eastAsia="zh-CN" w:bidi="ar-SA"/>
        </w:rPr>
        <w:t>填表须知</w:t>
      </w: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黑体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参赛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单位应仔细阅读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全国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工业APP和信息消费大赛组委会的有关说明，如实、详细地填写每一部分内容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，并对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申报数据的真实性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负责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。</w:t>
      </w: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 xml:space="preserve">    二、除另有说明外，申报表中栏目不得空缺。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三、申报主体所申报的项目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必须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拥有自主知识产权，对提供参评的全部资料的真实性负责，并签署申报主体责任声明。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四、申报材料要求盖章处，须加盖公章，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扫描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后上传官网。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</w:pPr>
    </w:p>
    <w:p>
      <w:p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 [TMC ]" w:hAnsi="Times New Roman [TMC ]" w:eastAsia="黑体" w:cs="Times New Roman [TMC ]"/>
          <w:snapToGrid/>
          <w:kern w:val="0"/>
          <w:sz w:val="44"/>
          <w:szCs w:val="36"/>
          <w:lang w:val="en-US" w:eastAsia="zh-CN" w:bidi="ar-SA"/>
        </w:rPr>
      </w:pPr>
      <w:r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  <w:br w:type="page"/>
      </w:r>
    </w:p>
    <w:p>
      <w:pPr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黑体" w:cs="Times New Roman [TMC ]"/>
          <w:snapToGrid/>
          <w:kern w:val="0"/>
          <w:sz w:val="44"/>
          <w:szCs w:val="36"/>
          <w:lang w:val="en-US" w:eastAsia="zh-CN" w:bidi="ar-SA"/>
        </w:rPr>
        <w:t>主体责任声明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本次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全国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工业APP和信息消费大赛参赛项目的名称为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，系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（公司/团队）自行开发生产或拥有自主知识产权的作品，产权归本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（公司/团队）所有。我们保证提交的所有文件真实、合法，如有不实，由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（公司/团队）承担一切法律责任。特此声明。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</w:p>
    <w:p>
      <w:pPr>
        <w:kinsoku/>
        <w:autoSpaceDE/>
        <w:autoSpaceDN/>
        <w:adjustRightInd/>
        <w:snapToGrid/>
        <w:spacing w:line="580" w:lineRule="exact"/>
        <w:ind w:firstLine="2880" w:firstLineChars="900"/>
        <w:jc w:val="both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声明</w:t>
      </w: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单位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（盖章）：</w:t>
      </w:r>
    </w:p>
    <w:p>
      <w:pPr>
        <w:kinsoku/>
        <w:autoSpaceDE/>
        <w:autoSpaceDN/>
        <w:adjustRightInd/>
        <w:snapToGrid/>
        <w:spacing w:line="580" w:lineRule="exact"/>
        <w:ind w:firstLine="640" w:firstLineChars="200"/>
        <w:jc w:val="center"/>
        <w:textAlignment w:val="auto"/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 xml:space="preserve">                  </w:t>
      </w:r>
      <w:r>
        <w:rPr>
          <w:rFonts w:ascii="Times New Roman [TMC ]" w:hAnsi="Times New Roman [TMC ]" w:eastAsia="仿宋" w:cs="Times New Roman [TMC ]"/>
          <w:snapToGrid/>
          <w:kern w:val="0"/>
          <w:sz w:val="32"/>
          <w:szCs w:val="32"/>
          <w:lang w:val="en-US" w:eastAsia="zh-CN" w:bidi="ar-SA"/>
        </w:rPr>
        <w:t>日期：</w:t>
      </w:r>
    </w:p>
    <w:p>
      <w:pPr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</w:pPr>
      <w:r>
        <w:rPr>
          <w:rFonts w:ascii="Times New Roman [TMC ]" w:hAnsi="Times New Roman [TMC ]" w:eastAsia="仿宋_GB2312" w:cs="Times New Roman [TMC ]"/>
          <w:snapToGrid/>
          <w:kern w:val="0"/>
          <w:sz w:val="32"/>
          <w:szCs w:val="24"/>
          <w:lang w:val="zh-TW" w:eastAsia="zh-CN" w:bidi="ar-SA"/>
        </w:rPr>
        <w:br w:type="page"/>
      </w:r>
    </w:p>
    <w:tbl>
      <w:tblPr>
        <w:tblStyle w:val="3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90"/>
        <w:gridCol w:w="2126"/>
        <w:gridCol w:w="12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0" w:type="dxa"/>
            <w:gridSpan w:val="5"/>
            <w:shd w:val="clear" w:color="auto" w:fill="BFBFBF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一、报名基本信息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单位名称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营业执照企业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申报联系人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手机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传真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邮箱</w:t>
            </w:r>
          </w:p>
        </w:tc>
        <w:tc>
          <w:tcPr>
            <w:tcW w:w="5268" w:type="dxa"/>
            <w:gridSpan w:val="3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注册资本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法定代表人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单位注册地址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单位办公地址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单位性质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□社会团体  □国有企业  □民营企业   □国有参股企业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□外资企业  □合资企业  □国有控股企业 □科研院所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ind w:left="420" w:hanging="420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是否上市公司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□否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□是（上市时间：        ，上市地点：        ，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股票代码：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申报单位简介</w:t>
            </w:r>
          </w:p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（企业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简称、发展历程、主营业务、市场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占有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、技术成果转化能力等方面基本情况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00-1000字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，控制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字数，具体成果案例等可在后面部分体现。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0" w:type="dxa"/>
            <w:gridSpan w:val="5"/>
            <w:shd w:val="clear" w:color="auto" w:fill="BFBFBF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zh-CN" w:bidi="ar-SA"/>
              </w:rPr>
              <w:t>二、参赛项目基本信息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名称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全称（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与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官网报名名称保持一致）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项目介绍</w:t>
            </w:r>
          </w:p>
        </w:tc>
        <w:tc>
          <w:tcPr>
            <w:tcW w:w="6558" w:type="dxa"/>
            <w:gridSpan w:val="4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简要阐述项目主要内容、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技术架构、实现功能、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应用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情况和竞争优势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等有关情况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800-1000字，控制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字数，具体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介绍</w:t>
            </w:r>
            <w:r>
              <w:rPr>
                <w:rFonts w:ascii="Times New Roman [TMC ]" w:hAnsi="Times New Roman [TMC ]" w:eastAsia="仿宋_GB2312" w:cs="Times New Roman [TMC ]"/>
                <w:snapToGrid/>
                <w:color w:val="767171"/>
                <w:kern w:val="0"/>
                <w:sz w:val="24"/>
                <w:szCs w:val="24"/>
                <w:lang w:val="en-US" w:eastAsia="zh-CN" w:bidi="ar-SA"/>
              </w:rPr>
              <w:t>可在后面部分体现。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260" w:type="dxa"/>
            <w:gridSpan w:val="5"/>
            <w:shd w:val="clear" w:color="auto" w:fill="BEBEBE"/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zh-CN" w:bidi="ar-SA"/>
              </w:rPr>
              <w:t>三、参赛项目详细介绍（可以附件形式提交WORD、PPT、视频等素材详细介绍）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826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113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项目基本情况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（1）企业资质与能力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（申报主体资质、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上一财年收入及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利润、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研发支出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、技术基础、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专利拥有量、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产业化能力等。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>
            <w:pPr>
              <w:widowControl w:val="0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设计方案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（注册用户规模、技术建设方案、服务推广及成果转化、保障措施、进度安排、预期目标、效益分析、风险分析、成长性分析等。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>
            <w:pPr>
              <w:widowControl w:val="0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实施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情况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已开展工作情况，实施主体、服务对象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用户数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、应用价值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适用场景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市场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份额、系统软硬件部署、数据开发利用、要素资源保障、合作模式、投资回报周期等方面内容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 xml:space="preserve"> ）</w:t>
            </w:r>
          </w:p>
          <w:p>
            <w:pPr>
              <w:widowControl w:val="0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项目负责人与项目团队实力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（项目负责人资质及工作经验、项目团队人员素质和类似项目经验等、团队人员参与省部级及以上科研项目情况。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113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核心优势</w:t>
            </w:r>
          </w:p>
          <w:p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0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项目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创新性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（技术创新、模式创新及相关知识产权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0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项目的可推广性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（示范意义及推广价值、推广可行性、推广范围。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0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项目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en-US" w:bidi="ar-SA"/>
              </w:rPr>
              <w:t>核心优势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市场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同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类型解决方案情况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如何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，与同类型解决方案相比的差异性和竞争力。）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113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应用</w:t>
            </w:r>
            <w:r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案例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(企业应用解决方案的应用场景、部署环节及步骤、功能实现情况，在企业的实际应用中实现了哪些具体成效)</w:t>
            </w:r>
          </w:p>
          <w:p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580" w:lineRule="exact"/>
              <w:ind w:left="0" w:firstLine="113"/>
              <w:jc w:val="both"/>
              <w:textAlignment w:val="auto"/>
              <w:rPr>
                <w:rFonts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napToGrid/>
                <w:kern w:val="0"/>
                <w:sz w:val="24"/>
                <w:szCs w:val="24"/>
                <w:lang w:val="en-US" w:eastAsia="en-US" w:bidi="ar-SA"/>
              </w:rPr>
              <w:t>其他</w:t>
            </w:r>
          </w:p>
          <w:p>
            <w:pPr>
              <w:kinsoku/>
              <w:autoSpaceDE/>
              <w:autoSpaceDN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（其他可</w:t>
            </w:r>
            <w:r>
              <w:rPr>
                <w:rFonts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补充的说明材料</w:t>
            </w:r>
            <w:r>
              <w:rPr>
                <w:rFonts w:hint="eastAsia" w:ascii="Times New Roman [TMC ]" w:hAnsi="Times New Roman [TMC ]" w:eastAsia="仿宋_GB2312" w:cs="Times New Roman [TMC ]"/>
                <w:snapToGrid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2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F406D"/>
    <w:multiLevelType w:val="multilevel"/>
    <w:tmpl w:val="0A3F406D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  <w:pPr>
        <w:ind w:left="0" w:firstLine="113"/>
      </w:pPr>
      <w:rPr>
        <w:rFonts w:hint="eastAsia"/>
      </w:rPr>
    </w:lvl>
  </w:abstractNum>
  <w:abstractNum w:abstractNumId="2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QyYTA1Y2I2YTY5MTBjMDFjZmIwOTczZGFhZTEwZTEifQ=="/>
  </w:docVars>
  <w:rsids>
    <w:rsidRoot w:val="00000000"/>
    <w:rsid w:val="01986AC5"/>
    <w:rsid w:val="023F02F6"/>
    <w:rsid w:val="02654FC5"/>
    <w:rsid w:val="0EA73B06"/>
    <w:rsid w:val="10F45636"/>
    <w:rsid w:val="14824090"/>
    <w:rsid w:val="161E125E"/>
    <w:rsid w:val="17A37341"/>
    <w:rsid w:val="1902223E"/>
    <w:rsid w:val="1A1B1785"/>
    <w:rsid w:val="1B1F09DB"/>
    <w:rsid w:val="1EE84128"/>
    <w:rsid w:val="26AF0B42"/>
    <w:rsid w:val="27A8425E"/>
    <w:rsid w:val="2BCA040E"/>
    <w:rsid w:val="2C1E2499"/>
    <w:rsid w:val="36A078D1"/>
    <w:rsid w:val="36F20DDA"/>
    <w:rsid w:val="3808683C"/>
    <w:rsid w:val="38892192"/>
    <w:rsid w:val="3F0F50FF"/>
    <w:rsid w:val="459F58AA"/>
    <w:rsid w:val="4F8B1BBF"/>
    <w:rsid w:val="59B529CA"/>
    <w:rsid w:val="5FC65CF2"/>
    <w:rsid w:val="60AA5E68"/>
    <w:rsid w:val="6154524A"/>
    <w:rsid w:val="64AF2FE7"/>
    <w:rsid w:val="6AA23FC4"/>
    <w:rsid w:val="6CD9720D"/>
    <w:rsid w:val="701972AF"/>
    <w:rsid w:val="73585FFE"/>
    <w:rsid w:val="741C5E0B"/>
    <w:rsid w:val="767855A3"/>
    <w:rsid w:val="77902869"/>
    <w:rsid w:val="788D3EFF"/>
    <w:rsid w:val="7AA07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1168</Words>
  <Characters>1198</Characters>
  <TotalTime>8</TotalTime>
  <ScaleCrop>false</ScaleCrop>
  <LinksUpToDate>false</LinksUpToDate>
  <CharactersWithSpaces>1336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2022-06-25T08:11:00Z</dcterms:created>
  <dc:creator>Kingsoft-PDF</dc:creator>
  <cp:keywords>62b652c23ff91100159b5b76</cp:keywords>
  <cp:lastModifiedBy>xtlqgp2012</cp:lastModifiedBy>
  <cp:lastPrinted>2022-06-27T06:11:00Z</cp:lastPrinted>
  <dcterms:modified xsi:type="dcterms:W3CDTF">2022-06-28T01:08:19Z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2022-06-25T08:11:59Z</vt:filetime>
  </property>
  <property fmtid="{D5CDD505-2E9C-101B-9397-08002B2CF9AE}" pid="4" name="KSOProductBuildVer">
    <vt:lpwstr>2052-11.1.0.11830</vt:lpwstr>
  </property>
  <property fmtid="{D5CDD505-2E9C-101B-9397-08002B2CF9AE}" pid="5" name="ICV">
    <vt:lpwstr>4CA6F45DD26D4BB289BD28F7D0C5D62B</vt:lpwstr>
  </property>
</Properties>
</file>