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A88" w:rsidRDefault="00196A88" w:rsidP="006C4D93">
      <w:pPr>
        <w:spacing w:line="560" w:lineRule="exact"/>
        <w:jc w:val="center"/>
        <w:rPr>
          <w:rFonts w:ascii="方正小标宋_GBK" w:eastAsia="方正小标宋_GBK"/>
          <w:sz w:val="44"/>
          <w:szCs w:val="44"/>
        </w:rPr>
      </w:pPr>
    </w:p>
    <w:p w:rsidR="00F30A1F" w:rsidRDefault="00F30A1F" w:rsidP="0046327E">
      <w:pPr>
        <w:spacing w:line="580" w:lineRule="exact"/>
        <w:jc w:val="center"/>
        <w:rPr>
          <w:rFonts w:ascii="方正小标宋简体" w:eastAsia="方正小标宋简体" w:hAnsi="Times New Roman" w:cs="Times New Roman"/>
          <w:sz w:val="44"/>
          <w:szCs w:val="44"/>
        </w:rPr>
      </w:pPr>
      <w:bookmarkStart w:id="0" w:name="_GoBack"/>
      <w:bookmarkEnd w:id="0"/>
      <w:r w:rsidRPr="00F30A1F">
        <w:rPr>
          <w:rFonts w:ascii="方正小标宋简体" w:eastAsia="方正小标宋简体" w:hAnsi="Times New Roman" w:cs="Times New Roman" w:hint="eastAsia"/>
          <w:sz w:val="44"/>
          <w:szCs w:val="44"/>
        </w:rPr>
        <w:t>2022年新型研发机构联合技术攻关项目</w:t>
      </w:r>
    </w:p>
    <w:p w:rsidR="00532904" w:rsidRDefault="00F30A1F" w:rsidP="0046327E">
      <w:pPr>
        <w:spacing w:line="580" w:lineRule="exact"/>
        <w:jc w:val="center"/>
        <w:rPr>
          <w:rFonts w:ascii="方正小标宋简体" w:eastAsia="方正小标宋简体" w:hAnsi="Times New Roman" w:cs="Times New Roman"/>
          <w:sz w:val="44"/>
          <w:szCs w:val="44"/>
        </w:rPr>
      </w:pPr>
      <w:r w:rsidRPr="00F30A1F">
        <w:rPr>
          <w:rFonts w:ascii="方正小标宋简体" w:eastAsia="方正小标宋简体" w:hAnsi="Times New Roman" w:cs="Times New Roman" w:hint="eastAsia"/>
          <w:sz w:val="44"/>
          <w:szCs w:val="44"/>
        </w:rPr>
        <w:t>拟立项名单</w:t>
      </w:r>
    </w:p>
    <w:p w:rsidR="00532904" w:rsidRDefault="00532904" w:rsidP="0046327E">
      <w:pPr>
        <w:spacing w:line="580" w:lineRule="exac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（排名不分先后）</w:t>
      </w:r>
    </w:p>
    <w:p w:rsidR="00532904" w:rsidRDefault="00532904" w:rsidP="00CE259C">
      <w:pPr>
        <w:spacing w:line="500" w:lineRule="exact"/>
        <w:jc w:val="center"/>
        <w:rPr>
          <w:rFonts w:ascii="方正仿宋_GBK" w:eastAsia="方正仿宋_GBK" w:hAnsi="Times New Roman" w:cs="Times New Roman"/>
          <w:sz w:val="32"/>
          <w:szCs w:val="32"/>
        </w:rPr>
      </w:pPr>
    </w:p>
    <w:tbl>
      <w:tblPr>
        <w:tblStyle w:val="a6"/>
        <w:tblW w:w="9180" w:type="dxa"/>
        <w:jc w:val="center"/>
        <w:tblLook w:val="04A0" w:firstRow="1" w:lastRow="0" w:firstColumn="1" w:lastColumn="0" w:noHBand="0" w:noVBand="1"/>
      </w:tblPr>
      <w:tblGrid>
        <w:gridCol w:w="958"/>
        <w:gridCol w:w="4111"/>
        <w:gridCol w:w="4111"/>
      </w:tblGrid>
      <w:tr w:rsidR="00532904" w:rsidRPr="00A02401" w:rsidTr="00D9428C">
        <w:trPr>
          <w:trHeight w:val="644"/>
          <w:tblHeader/>
          <w:jc w:val="center"/>
        </w:trPr>
        <w:tc>
          <w:tcPr>
            <w:tcW w:w="958" w:type="dxa"/>
            <w:vAlign w:val="center"/>
          </w:tcPr>
          <w:p w:rsidR="00532904" w:rsidRPr="00A02401" w:rsidRDefault="00532904" w:rsidP="00532904">
            <w:pPr>
              <w:jc w:val="center"/>
              <w:rPr>
                <w:rFonts w:ascii="Times New Roman" w:eastAsia="方正黑体_GBK" w:hAnsi="Times New Roman" w:cs="Times New Roman"/>
                <w:sz w:val="28"/>
                <w:szCs w:val="28"/>
              </w:rPr>
            </w:pPr>
            <w:r w:rsidRPr="00A02401">
              <w:rPr>
                <w:rFonts w:ascii="Times New Roman" w:eastAsia="方正黑体_GBK" w:hAnsi="Times New Roman" w:cs="Times New Roman"/>
                <w:sz w:val="28"/>
                <w:szCs w:val="28"/>
              </w:rPr>
              <w:t>序号</w:t>
            </w:r>
          </w:p>
        </w:tc>
        <w:tc>
          <w:tcPr>
            <w:tcW w:w="4111" w:type="dxa"/>
            <w:vAlign w:val="center"/>
          </w:tcPr>
          <w:p w:rsidR="00532904" w:rsidRPr="00A02401" w:rsidRDefault="00F30A1F" w:rsidP="00532904">
            <w:pPr>
              <w:jc w:val="center"/>
              <w:rPr>
                <w:rFonts w:ascii="Times New Roman" w:eastAsia="方正黑体_GBK" w:hAnsi="Times New Roman" w:cs="Times New Roman"/>
                <w:sz w:val="28"/>
                <w:szCs w:val="28"/>
              </w:rPr>
            </w:pPr>
            <w:r>
              <w:rPr>
                <w:rFonts w:ascii="Times New Roman" w:eastAsia="方正黑体_GBK" w:hAnsi="Times New Roman" w:cs="Times New Roman" w:hint="eastAsia"/>
                <w:sz w:val="28"/>
                <w:szCs w:val="28"/>
              </w:rPr>
              <w:t>项目名</w:t>
            </w:r>
            <w:r w:rsidR="00AA18B6">
              <w:rPr>
                <w:rFonts w:ascii="Times New Roman" w:eastAsia="方正黑体_GBK" w:hAnsi="Times New Roman" w:cs="Times New Roman" w:hint="eastAsia"/>
                <w:sz w:val="28"/>
                <w:szCs w:val="28"/>
              </w:rPr>
              <w:t>称</w:t>
            </w:r>
          </w:p>
        </w:tc>
        <w:tc>
          <w:tcPr>
            <w:tcW w:w="4111" w:type="dxa"/>
            <w:vAlign w:val="center"/>
          </w:tcPr>
          <w:p w:rsidR="00532904" w:rsidRPr="00A02401" w:rsidRDefault="00F30A1F" w:rsidP="00532904">
            <w:pPr>
              <w:jc w:val="center"/>
              <w:rPr>
                <w:rFonts w:ascii="Times New Roman" w:eastAsia="方正黑体_GBK" w:hAnsi="Times New Roman" w:cs="Times New Roman"/>
                <w:sz w:val="28"/>
                <w:szCs w:val="28"/>
              </w:rPr>
            </w:pPr>
            <w:r>
              <w:rPr>
                <w:rFonts w:ascii="Times New Roman" w:eastAsia="方正黑体_GBK" w:hAnsi="Times New Roman" w:cs="Times New Roman" w:hint="eastAsia"/>
                <w:sz w:val="28"/>
                <w:szCs w:val="28"/>
              </w:rPr>
              <w:t>申报单位</w:t>
            </w:r>
          </w:p>
        </w:tc>
      </w:tr>
      <w:tr w:rsidR="00F30A1F" w:rsidRPr="00A02401" w:rsidTr="00F30A1F">
        <w:trPr>
          <w:trHeight w:val="1077"/>
          <w:jc w:val="center"/>
        </w:trPr>
        <w:tc>
          <w:tcPr>
            <w:tcW w:w="958" w:type="dxa"/>
            <w:vAlign w:val="center"/>
          </w:tcPr>
          <w:p w:rsidR="00F30A1F" w:rsidRPr="00D9428C" w:rsidRDefault="00F30A1F" w:rsidP="00F30A1F">
            <w:pPr>
              <w:widowControl/>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1</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无碳源脱氮除磷功能化材料与靶向菌群协同深度处理关键技术产业化</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南京华创环境技术研究院有限公司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2</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基于多源时空数据的疫情防控一体化系统</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图灵人工智能研究院（南京）有限公司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3</w:t>
            </w:r>
          </w:p>
        </w:tc>
        <w:tc>
          <w:tcPr>
            <w:tcW w:w="4111" w:type="dxa"/>
            <w:vAlign w:val="center"/>
          </w:tcPr>
          <w:p w:rsidR="00F30A1F" w:rsidRPr="00F30A1F" w:rsidRDefault="00F30A1F" w:rsidP="00D14BCB">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新媒体内容巡查和移动取证</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南京莱斯网信技术研究院有限公司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4</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面向神经系统疾病的高通量精细化人工智能药物筛选关键技术的联合开发</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南京景瑞</w:t>
            </w:r>
            <w:proofErr w:type="gramStart"/>
            <w:r w:rsidRPr="00F30A1F">
              <w:rPr>
                <w:rFonts w:ascii="Times New Roman" w:eastAsia="方正仿宋_GBK" w:hAnsi="Times New Roman" w:hint="eastAsia"/>
                <w:color w:val="000000"/>
                <w:sz w:val="28"/>
                <w:szCs w:val="28"/>
              </w:rPr>
              <w:t>康分子</w:t>
            </w:r>
            <w:proofErr w:type="gramEnd"/>
            <w:r w:rsidRPr="00F30A1F">
              <w:rPr>
                <w:rFonts w:ascii="Times New Roman" w:eastAsia="方正仿宋_GBK" w:hAnsi="Times New Roman" w:hint="eastAsia"/>
                <w:color w:val="000000"/>
                <w:sz w:val="28"/>
                <w:szCs w:val="28"/>
              </w:rPr>
              <w:t>医药科技有限公司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5</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基于区域工业互联网平台的工控系统安全策略研究与产业化</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南京东奇智能制造研究院有限公司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6</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基于区块链的乳制品生产流通金融服务关键技术与平台研发</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proofErr w:type="gramStart"/>
            <w:r w:rsidRPr="00F30A1F">
              <w:rPr>
                <w:rFonts w:ascii="Times New Roman" w:eastAsia="方正仿宋_GBK" w:hAnsi="Times New Roman" w:hint="eastAsia"/>
                <w:color w:val="000000"/>
                <w:sz w:val="28"/>
                <w:szCs w:val="28"/>
              </w:rPr>
              <w:t>中诚区块链</w:t>
            </w:r>
            <w:proofErr w:type="gramEnd"/>
            <w:r w:rsidRPr="00F30A1F">
              <w:rPr>
                <w:rFonts w:ascii="Times New Roman" w:eastAsia="方正仿宋_GBK" w:hAnsi="Times New Roman" w:hint="eastAsia"/>
                <w:color w:val="000000"/>
                <w:sz w:val="28"/>
                <w:szCs w:val="28"/>
              </w:rPr>
              <w:t>研究院（南京）有限公司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7</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proofErr w:type="gramStart"/>
            <w:r w:rsidRPr="00F30A1F">
              <w:rPr>
                <w:rFonts w:ascii="Times New Roman" w:eastAsia="方正仿宋_GBK" w:hAnsi="Times New Roman" w:hint="eastAsia"/>
                <w:color w:val="000000"/>
                <w:sz w:val="28"/>
                <w:szCs w:val="28"/>
              </w:rPr>
              <w:t>基于众包和</w:t>
            </w:r>
            <w:proofErr w:type="gramEnd"/>
            <w:r w:rsidRPr="00F30A1F">
              <w:rPr>
                <w:rFonts w:ascii="Times New Roman" w:eastAsia="方正仿宋_GBK" w:hAnsi="Times New Roman" w:hint="eastAsia"/>
                <w:color w:val="000000"/>
                <w:sz w:val="28"/>
                <w:szCs w:val="28"/>
              </w:rPr>
              <w:t>半监督学习的跨</w:t>
            </w:r>
            <w:proofErr w:type="gramStart"/>
            <w:r w:rsidRPr="00F30A1F">
              <w:rPr>
                <w:rFonts w:ascii="Times New Roman" w:eastAsia="方正仿宋_GBK" w:hAnsi="Times New Roman" w:hint="eastAsia"/>
                <w:color w:val="000000"/>
                <w:sz w:val="28"/>
                <w:szCs w:val="28"/>
              </w:rPr>
              <w:t>场景风控系统</w:t>
            </w:r>
            <w:proofErr w:type="gramEnd"/>
            <w:r w:rsidRPr="00F30A1F">
              <w:rPr>
                <w:rFonts w:ascii="Times New Roman" w:eastAsia="方正仿宋_GBK" w:hAnsi="Times New Roman" w:hint="eastAsia"/>
                <w:color w:val="000000"/>
                <w:sz w:val="28"/>
                <w:szCs w:val="28"/>
              </w:rPr>
              <w:t>的研究与产业化</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江苏凤凰智慧教育研究院有限公司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8</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人机协同</w:t>
            </w:r>
            <w:proofErr w:type="gramStart"/>
            <w:r w:rsidRPr="00F30A1F">
              <w:rPr>
                <w:rFonts w:ascii="Times New Roman" w:eastAsia="方正仿宋_GBK" w:hAnsi="Times New Roman" w:hint="eastAsia"/>
                <w:color w:val="000000"/>
                <w:sz w:val="28"/>
                <w:szCs w:val="28"/>
              </w:rPr>
              <w:t>激光增材修复</w:t>
            </w:r>
            <w:proofErr w:type="gramEnd"/>
            <w:r w:rsidRPr="00F30A1F">
              <w:rPr>
                <w:rFonts w:ascii="Times New Roman" w:eastAsia="方正仿宋_GBK" w:hAnsi="Times New Roman" w:hint="eastAsia"/>
                <w:color w:val="000000"/>
                <w:sz w:val="28"/>
                <w:szCs w:val="28"/>
              </w:rPr>
              <w:t>关键技术及装备</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南京先进激光技术研究院</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9</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电力</w:t>
            </w:r>
            <w:proofErr w:type="gramStart"/>
            <w:r w:rsidRPr="00F30A1F">
              <w:rPr>
                <w:rFonts w:ascii="Times New Roman" w:eastAsia="方正仿宋_GBK" w:hAnsi="Times New Roman" w:hint="eastAsia"/>
                <w:color w:val="000000"/>
                <w:sz w:val="28"/>
                <w:szCs w:val="28"/>
              </w:rPr>
              <w:t>数智平台双碳</w:t>
            </w:r>
            <w:proofErr w:type="gramEnd"/>
            <w:r w:rsidRPr="00F30A1F">
              <w:rPr>
                <w:rFonts w:ascii="Times New Roman" w:eastAsia="方正仿宋_GBK" w:hAnsi="Times New Roman" w:hint="eastAsia"/>
                <w:color w:val="000000"/>
                <w:sz w:val="28"/>
                <w:szCs w:val="28"/>
              </w:rPr>
              <w:t>大脑研究与产业化</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南京东博智慧能源研究院有限公司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lastRenderedPageBreak/>
              <w:t>10</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强实时跨平台服务机器人通用操作系统关键技术研发及应用</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江苏集萃智能制造技术研究所有限公司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11</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基于</w:t>
            </w:r>
            <w:r w:rsidRPr="00F30A1F">
              <w:rPr>
                <w:rFonts w:ascii="Times New Roman" w:eastAsia="方正仿宋_GBK" w:hAnsi="Times New Roman" w:hint="eastAsia"/>
                <w:color w:val="000000"/>
                <w:sz w:val="28"/>
                <w:szCs w:val="28"/>
              </w:rPr>
              <w:t>FPGA</w:t>
            </w:r>
            <w:r w:rsidRPr="00F30A1F">
              <w:rPr>
                <w:rFonts w:ascii="Times New Roman" w:eastAsia="方正仿宋_GBK" w:hAnsi="Times New Roman" w:hint="eastAsia"/>
                <w:color w:val="000000"/>
                <w:sz w:val="28"/>
                <w:szCs w:val="28"/>
              </w:rPr>
              <w:t>芯片的智慧路灯纯国产化替代研究与产业化</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南京中智腾飞航空科技研究院有限公司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12</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城市轨道交通智能运维及应急防灾关键技术研究与产业化</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南京派光高速载运智慧感知研究院有限公司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13</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大功率微波毫米波高端芯片研究与产业化</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南京中</w:t>
            </w:r>
            <w:proofErr w:type="gramStart"/>
            <w:r w:rsidRPr="00F30A1F">
              <w:rPr>
                <w:rFonts w:ascii="Times New Roman" w:eastAsia="方正仿宋_GBK" w:hAnsi="Times New Roman" w:hint="eastAsia"/>
                <w:color w:val="000000"/>
                <w:sz w:val="28"/>
                <w:szCs w:val="28"/>
              </w:rPr>
              <w:t>电芯谷高频</w:t>
            </w:r>
            <w:proofErr w:type="gramEnd"/>
            <w:r w:rsidRPr="00F30A1F">
              <w:rPr>
                <w:rFonts w:ascii="Times New Roman" w:eastAsia="方正仿宋_GBK" w:hAnsi="Times New Roman" w:hint="eastAsia"/>
                <w:color w:val="000000"/>
                <w:sz w:val="28"/>
                <w:szCs w:val="28"/>
              </w:rPr>
              <w:t>器件产业技术研究院有限公司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14</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高性能大型构件受控电弧智能</w:t>
            </w:r>
            <w:proofErr w:type="gramStart"/>
            <w:r w:rsidRPr="00F30A1F">
              <w:rPr>
                <w:rFonts w:ascii="Times New Roman" w:eastAsia="方正仿宋_GBK" w:hAnsi="Times New Roman" w:hint="eastAsia"/>
                <w:color w:val="000000"/>
                <w:sz w:val="28"/>
                <w:szCs w:val="28"/>
              </w:rPr>
              <w:t>增材技术</w:t>
            </w:r>
            <w:proofErr w:type="gramEnd"/>
            <w:r w:rsidRPr="00F30A1F">
              <w:rPr>
                <w:rFonts w:ascii="Times New Roman" w:eastAsia="方正仿宋_GBK" w:hAnsi="Times New Roman" w:hint="eastAsia"/>
                <w:color w:val="000000"/>
                <w:sz w:val="28"/>
                <w:szCs w:val="28"/>
              </w:rPr>
              <w:t>研发及产业化</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南京</w:t>
            </w:r>
            <w:proofErr w:type="gramStart"/>
            <w:r w:rsidRPr="00F30A1F">
              <w:rPr>
                <w:rFonts w:ascii="Times New Roman" w:eastAsia="方正仿宋_GBK" w:hAnsi="Times New Roman" w:hint="eastAsia"/>
                <w:color w:val="000000"/>
                <w:sz w:val="28"/>
                <w:szCs w:val="28"/>
              </w:rPr>
              <w:t>联空智能增材</w:t>
            </w:r>
            <w:proofErr w:type="gramEnd"/>
            <w:r w:rsidRPr="00F30A1F">
              <w:rPr>
                <w:rFonts w:ascii="Times New Roman" w:eastAsia="方正仿宋_GBK" w:hAnsi="Times New Roman" w:hint="eastAsia"/>
                <w:color w:val="000000"/>
                <w:sz w:val="28"/>
                <w:szCs w:val="28"/>
              </w:rPr>
              <w:t>研究院有限公司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15</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基于微量多组学技术的肺癌高危人群早筛试剂盒研发及其产业化</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proofErr w:type="gramStart"/>
            <w:r w:rsidRPr="00F30A1F">
              <w:rPr>
                <w:rFonts w:ascii="Times New Roman" w:eastAsia="方正仿宋_GBK" w:hAnsi="Times New Roman" w:hint="eastAsia"/>
                <w:color w:val="000000"/>
                <w:sz w:val="28"/>
                <w:szCs w:val="28"/>
              </w:rPr>
              <w:t>南京亿科人群</w:t>
            </w:r>
            <w:proofErr w:type="gramEnd"/>
            <w:r w:rsidRPr="00F30A1F">
              <w:rPr>
                <w:rFonts w:ascii="Times New Roman" w:eastAsia="方正仿宋_GBK" w:hAnsi="Times New Roman" w:hint="eastAsia"/>
                <w:color w:val="000000"/>
                <w:sz w:val="28"/>
                <w:szCs w:val="28"/>
              </w:rPr>
              <w:t>健康研究院有限公司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16</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基于等离子体催化原理的空气净化强化技术联合攻关及产业化</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南京长三角绿色发展研究院有限公司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17</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高端球形钛</w:t>
            </w:r>
            <w:proofErr w:type="gramStart"/>
            <w:r w:rsidRPr="00F30A1F">
              <w:rPr>
                <w:rFonts w:ascii="Times New Roman" w:eastAsia="方正仿宋_GBK" w:hAnsi="Times New Roman" w:hint="eastAsia"/>
                <w:color w:val="000000"/>
                <w:sz w:val="28"/>
                <w:szCs w:val="28"/>
              </w:rPr>
              <w:t>及钛基复材</w:t>
            </w:r>
            <w:proofErr w:type="gramEnd"/>
            <w:r w:rsidRPr="00F30A1F">
              <w:rPr>
                <w:rFonts w:ascii="Times New Roman" w:eastAsia="方正仿宋_GBK" w:hAnsi="Times New Roman" w:hint="eastAsia"/>
                <w:color w:val="000000"/>
                <w:sz w:val="28"/>
                <w:szCs w:val="28"/>
              </w:rPr>
              <w:t>粉末制备技术研究与产业化</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南京尚吉增材制造研究院有限公司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18</w:t>
            </w:r>
          </w:p>
        </w:tc>
        <w:tc>
          <w:tcPr>
            <w:tcW w:w="4111" w:type="dxa"/>
            <w:vAlign w:val="center"/>
          </w:tcPr>
          <w:p w:rsidR="00F30A1F" w:rsidRPr="00F30A1F" w:rsidRDefault="00F30A1F" w:rsidP="00636F4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固定</w:t>
            </w:r>
            <w:r w:rsidRPr="00F30A1F">
              <w:rPr>
                <w:rFonts w:ascii="Times New Roman" w:eastAsia="方正仿宋_GBK" w:hAnsi="Times New Roman" w:hint="eastAsia"/>
                <w:color w:val="000000"/>
                <w:sz w:val="28"/>
                <w:szCs w:val="28"/>
              </w:rPr>
              <w:t>/</w:t>
            </w:r>
            <w:r w:rsidRPr="00F30A1F">
              <w:rPr>
                <w:rFonts w:ascii="Times New Roman" w:eastAsia="方正仿宋_GBK" w:hAnsi="Times New Roman" w:hint="eastAsia"/>
                <w:color w:val="000000"/>
                <w:sz w:val="28"/>
                <w:szCs w:val="28"/>
              </w:rPr>
              <w:t>移动式无人机起降平台电力巡检系统</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proofErr w:type="gramStart"/>
            <w:r w:rsidRPr="00F30A1F">
              <w:rPr>
                <w:rFonts w:ascii="Times New Roman" w:eastAsia="方正仿宋_GBK" w:hAnsi="Times New Roman" w:hint="eastAsia"/>
                <w:color w:val="000000"/>
                <w:sz w:val="28"/>
                <w:szCs w:val="28"/>
              </w:rPr>
              <w:t>南京拓恒无人</w:t>
            </w:r>
            <w:proofErr w:type="gramEnd"/>
            <w:r w:rsidRPr="00F30A1F">
              <w:rPr>
                <w:rFonts w:ascii="Times New Roman" w:eastAsia="方正仿宋_GBK" w:hAnsi="Times New Roman" w:hint="eastAsia"/>
                <w:color w:val="000000"/>
                <w:sz w:val="28"/>
                <w:szCs w:val="28"/>
              </w:rPr>
              <w:t>系统研究院有限公司</w:t>
            </w:r>
          </w:p>
        </w:tc>
      </w:tr>
      <w:tr w:rsidR="00F30A1F" w:rsidRPr="00A02401" w:rsidTr="00F30A1F">
        <w:trPr>
          <w:trHeight w:val="1077"/>
          <w:jc w:val="center"/>
        </w:trPr>
        <w:tc>
          <w:tcPr>
            <w:tcW w:w="958" w:type="dxa"/>
            <w:vAlign w:val="center"/>
          </w:tcPr>
          <w:p w:rsidR="00F30A1F" w:rsidRPr="00D9428C" w:rsidRDefault="00F30A1F" w:rsidP="00F30A1F">
            <w:pPr>
              <w:jc w:val="center"/>
              <w:rPr>
                <w:rFonts w:ascii="Times New Roman" w:eastAsia="等线" w:hAnsi="Times New Roman" w:cs="Times New Roman"/>
                <w:color w:val="000000"/>
                <w:sz w:val="28"/>
                <w:szCs w:val="28"/>
              </w:rPr>
            </w:pPr>
            <w:r w:rsidRPr="00D9428C">
              <w:rPr>
                <w:rFonts w:ascii="Times New Roman" w:eastAsia="等线" w:hAnsi="Times New Roman" w:cs="Times New Roman"/>
                <w:color w:val="000000"/>
                <w:sz w:val="28"/>
                <w:szCs w:val="28"/>
              </w:rPr>
              <w:t>19</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基于智能装备技术的紫杉</w:t>
            </w:r>
            <w:proofErr w:type="gramStart"/>
            <w:r w:rsidRPr="00F30A1F">
              <w:rPr>
                <w:rFonts w:ascii="Times New Roman" w:eastAsia="方正仿宋_GBK" w:hAnsi="Times New Roman" w:hint="eastAsia"/>
                <w:color w:val="000000"/>
                <w:sz w:val="28"/>
                <w:szCs w:val="28"/>
              </w:rPr>
              <w:t>醇</w:t>
            </w:r>
            <w:proofErr w:type="gramEnd"/>
            <w:r w:rsidRPr="00F30A1F">
              <w:rPr>
                <w:rFonts w:ascii="Times New Roman" w:eastAsia="方正仿宋_GBK" w:hAnsi="Times New Roman" w:hint="eastAsia"/>
                <w:color w:val="000000"/>
                <w:sz w:val="28"/>
                <w:szCs w:val="28"/>
              </w:rPr>
              <w:t>脂质体技术攻关及产业化项目</w:t>
            </w:r>
          </w:p>
        </w:tc>
        <w:tc>
          <w:tcPr>
            <w:tcW w:w="4111" w:type="dxa"/>
            <w:vAlign w:val="center"/>
          </w:tcPr>
          <w:p w:rsidR="00F30A1F" w:rsidRPr="00F30A1F" w:rsidRDefault="00F30A1F" w:rsidP="00F30A1F">
            <w:pPr>
              <w:spacing w:line="300" w:lineRule="exact"/>
              <w:rPr>
                <w:rFonts w:ascii="Times New Roman" w:eastAsia="方正仿宋_GBK" w:hAnsi="Times New Roman"/>
                <w:color w:val="000000"/>
                <w:sz w:val="28"/>
                <w:szCs w:val="28"/>
              </w:rPr>
            </w:pPr>
            <w:r w:rsidRPr="00F30A1F">
              <w:rPr>
                <w:rFonts w:ascii="Times New Roman" w:eastAsia="方正仿宋_GBK" w:hAnsi="Times New Roman" w:hint="eastAsia"/>
                <w:color w:val="000000"/>
                <w:sz w:val="28"/>
                <w:szCs w:val="28"/>
              </w:rPr>
              <w:t>南京智欧智能技术研究院有限公司</w:t>
            </w:r>
          </w:p>
        </w:tc>
      </w:tr>
    </w:tbl>
    <w:p w:rsidR="00532904" w:rsidRDefault="00532904" w:rsidP="00532904">
      <w:pPr>
        <w:spacing w:line="300" w:lineRule="auto"/>
        <w:jc w:val="center"/>
        <w:rPr>
          <w:rFonts w:ascii="方正仿宋_GBK" w:eastAsia="方正仿宋_GBK" w:hAnsi="Times New Roman" w:cs="Times New Roman"/>
          <w:sz w:val="32"/>
          <w:szCs w:val="32"/>
        </w:rPr>
      </w:pPr>
    </w:p>
    <w:p w:rsidR="00F30A1F" w:rsidRPr="00532904" w:rsidRDefault="00F30A1F" w:rsidP="00532904">
      <w:pPr>
        <w:spacing w:line="300" w:lineRule="auto"/>
        <w:jc w:val="center"/>
        <w:rPr>
          <w:rFonts w:ascii="方正仿宋_GBK" w:eastAsia="方正仿宋_GBK" w:hAnsi="Times New Roman" w:cs="Times New Roman"/>
          <w:sz w:val="32"/>
          <w:szCs w:val="32"/>
        </w:rPr>
      </w:pPr>
    </w:p>
    <w:sectPr w:rsidR="00F30A1F" w:rsidRPr="00532904" w:rsidSect="00D07006">
      <w:pgSz w:w="11906" w:h="16838" w:code="9"/>
      <w:pgMar w:top="1440" w:right="1416"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427" w:rsidRDefault="00646427" w:rsidP="00D15434">
      <w:r>
        <w:separator/>
      </w:r>
    </w:p>
  </w:endnote>
  <w:endnote w:type="continuationSeparator" w:id="0">
    <w:p w:rsidR="00646427" w:rsidRDefault="00646427" w:rsidP="00D1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427" w:rsidRDefault="00646427" w:rsidP="00D15434">
      <w:r>
        <w:separator/>
      </w:r>
    </w:p>
  </w:footnote>
  <w:footnote w:type="continuationSeparator" w:id="0">
    <w:p w:rsidR="00646427" w:rsidRDefault="00646427" w:rsidP="00D15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F6"/>
    <w:rsid w:val="00030D44"/>
    <w:rsid w:val="000632C8"/>
    <w:rsid w:val="00081B89"/>
    <w:rsid w:val="000A7936"/>
    <w:rsid w:val="000B2B90"/>
    <w:rsid w:val="000E7D11"/>
    <w:rsid w:val="00137356"/>
    <w:rsid w:val="001659E7"/>
    <w:rsid w:val="0019285B"/>
    <w:rsid w:val="00196A88"/>
    <w:rsid w:val="00196D07"/>
    <w:rsid w:val="001F56EB"/>
    <w:rsid w:val="002160A4"/>
    <w:rsid w:val="002170C0"/>
    <w:rsid w:val="00283E95"/>
    <w:rsid w:val="00352214"/>
    <w:rsid w:val="0036272E"/>
    <w:rsid w:val="0037417E"/>
    <w:rsid w:val="00384CEF"/>
    <w:rsid w:val="003E0E16"/>
    <w:rsid w:val="0046327E"/>
    <w:rsid w:val="00486EFC"/>
    <w:rsid w:val="004D34EF"/>
    <w:rsid w:val="004E7F60"/>
    <w:rsid w:val="00532904"/>
    <w:rsid w:val="0058076F"/>
    <w:rsid w:val="005C77C4"/>
    <w:rsid w:val="0060675F"/>
    <w:rsid w:val="006120F6"/>
    <w:rsid w:val="00636F4F"/>
    <w:rsid w:val="00646427"/>
    <w:rsid w:val="006C4D93"/>
    <w:rsid w:val="006C5E8B"/>
    <w:rsid w:val="006D25A5"/>
    <w:rsid w:val="00756E40"/>
    <w:rsid w:val="00827C86"/>
    <w:rsid w:val="008D3098"/>
    <w:rsid w:val="008F3395"/>
    <w:rsid w:val="00931183"/>
    <w:rsid w:val="0099004F"/>
    <w:rsid w:val="009B49D5"/>
    <w:rsid w:val="00A02401"/>
    <w:rsid w:val="00A45086"/>
    <w:rsid w:val="00A75381"/>
    <w:rsid w:val="00A906E3"/>
    <w:rsid w:val="00AA18B6"/>
    <w:rsid w:val="00B41CAA"/>
    <w:rsid w:val="00B41DEB"/>
    <w:rsid w:val="00B96BB9"/>
    <w:rsid w:val="00BF67FD"/>
    <w:rsid w:val="00CE259C"/>
    <w:rsid w:val="00D07006"/>
    <w:rsid w:val="00D14BCB"/>
    <w:rsid w:val="00D15434"/>
    <w:rsid w:val="00D87C0E"/>
    <w:rsid w:val="00D9428C"/>
    <w:rsid w:val="00DB52BD"/>
    <w:rsid w:val="00EA3B11"/>
    <w:rsid w:val="00EA41D8"/>
    <w:rsid w:val="00EA61A8"/>
    <w:rsid w:val="00EF4E5C"/>
    <w:rsid w:val="00F258C3"/>
    <w:rsid w:val="00F30A1F"/>
    <w:rsid w:val="00F43701"/>
    <w:rsid w:val="00F52408"/>
    <w:rsid w:val="00F56058"/>
    <w:rsid w:val="00FE0267"/>
    <w:rsid w:val="00FF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5434"/>
    <w:rPr>
      <w:sz w:val="18"/>
      <w:szCs w:val="18"/>
    </w:rPr>
  </w:style>
  <w:style w:type="paragraph" w:styleId="a4">
    <w:name w:val="footer"/>
    <w:basedOn w:val="a"/>
    <w:link w:val="Char0"/>
    <w:uiPriority w:val="99"/>
    <w:unhideWhenUsed/>
    <w:rsid w:val="00D15434"/>
    <w:pPr>
      <w:tabs>
        <w:tab w:val="center" w:pos="4153"/>
        <w:tab w:val="right" w:pos="8306"/>
      </w:tabs>
      <w:snapToGrid w:val="0"/>
      <w:jc w:val="left"/>
    </w:pPr>
    <w:rPr>
      <w:sz w:val="18"/>
      <w:szCs w:val="18"/>
    </w:rPr>
  </w:style>
  <w:style w:type="character" w:customStyle="1" w:styleId="Char0">
    <w:name w:val="页脚 Char"/>
    <w:basedOn w:val="a0"/>
    <w:link w:val="a4"/>
    <w:uiPriority w:val="99"/>
    <w:rsid w:val="00D15434"/>
    <w:rPr>
      <w:sz w:val="18"/>
      <w:szCs w:val="18"/>
    </w:rPr>
  </w:style>
  <w:style w:type="paragraph" w:styleId="a5">
    <w:name w:val="Balloon Text"/>
    <w:basedOn w:val="a"/>
    <w:link w:val="Char1"/>
    <w:uiPriority w:val="99"/>
    <w:semiHidden/>
    <w:unhideWhenUsed/>
    <w:rsid w:val="00D87C0E"/>
    <w:rPr>
      <w:sz w:val="18"/>
      <w:szCs w:val="18"/>
    </w:rPr>
  </w:style>
  <w:style w:type="character" w:customStyle="1" w:styleId="Char1">
    <w:name w:val="批注框文本 Char"/>
    <w:basedOn w:val="a0"/>
    <w:link w:val="a5"/>
    <w:uiPriority w:val="99"/>
    <w:semiHidden/>
    <w:rsid w:val="00D87C0E"/>
    <w:rPr>
      <w:sz w:val="18"/>
      <w:szCs w:val="18"/>
    </w:rPr>
  </w:style>
  <w:style w:type="table" w:styleId="a6">
    <w:name w:val="Table Grid"/>
    <w:basedOn w:val="a1"/>
    <w:uiPriority w:val="59"/>
    <w:rsid w:val="0053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5434"/>
    <w:rPr>
      <w:sz w:val="18"/>
      <w:szCs w:val="18"/>
    </w:rPr>
  </w:style>
  <w:style w:type="paragraph" w:styleId="a4">
    <w:name w:val="footer"/>
    <w:basedOn w:val="a"/>
    <w:link w:val="Char0"/>
    <w:uiPriority w:val="99"/>
    <w:unhideWhenUsed/>
    <w:rsid w:val="00D15434"/>
    <w:pPr>
      <w:tabs>
        <w:tab w:val="center" w:pos="4153"/>
        <w:tab w:val="right" w:pos="8306"/>
      </w:tabs>
      <w:snapToGrid w:val="0"/>
      <w:jc w:val="left"/>
    </w:pPr>
    <w:rPr>
      <w:sz w:val="18"/>
      <w:szCs w:val="18"/>
    </w:rPr>
  </w:style>
  <w:style w:type="character" w:customStyle="1" w:styleId="Char0">
    <w:name w:val="页脚 Char"/>
    <w:basedOn w:val="a0"/>
    <w:link w:val="a4"/>
    <w:uiPriority w:val="99"/>
    <w:rsid w:val="00D15434"/>
    <w:rPr>
      <w:sz w:val="18"/>
      <w:szCs w:val="18"/>
    </w:rPr>
  </w:style>
  <w:style w:type="paragraph" w:styleId="a5">
    <w:name w:val="Balloon Text"/>
    <w:basedOn w:val="a"/>
    <w:link w:val="Char1"/>
    <w:uiPriority w:val="99"/>
    <w:semiHidden/>
    <w:unhideWhenUsed/>
    <w:rsid w:val="00D87C0E"/>
    <w:rPr>
      <w:sz w:val="18"/>
      <w:szCs w:val="18"/>
    </w:rPr>
  </w:style>
  <w:style w:type="character" w:customStyle="1" w:styleId="Char1">
    <w:name w:val="批注框文本 Char"/>
    <w:basedOn w:val="a0"/>
    <w:link w:val="a5"/>
    <w:uiPriority w:val="99"/>
    <w:semiHidden/>
    <w:rsid w:val="00D87C0E"/>
    <w:rPr>
      <w:sz w:val="18"/>
      <w:szCs w:val="18"/>
    </w:rPr>
  </w:style>
  <w:style w:type="table" w:styleId="a6">
    <w:name w:val="Table Grid"/>
    <w:basedOn w:val="a1"/>
    <w:uiPriority w:val="59"/>
    <w:rsid w:val="0053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4620">
      <w:bodyDiv w:val="1"/>
      <w:marLeft w:val="0"/>
      <w:marRight w:val="0"/>
      <w:marTop w:val="0"/>
      <w:marBottom w:val="0"/>
      <w:divBdr>
        <w:top w:val="none" w:sz="0" w:space="0" w:color="auto"/>
        <w:left w:val="none" w:sz="0" w:space="0" w:color="auto"/>
        <w:bottom w:val="none" w:sz="0" w:space="0" w:color="auto"/>
        <w:right w:val="none" w:sz="0" w:space="0" w:color="auto"/>
      </w:divBdr>
    </w:div>
    <w:div w:id="351422667">
      <w:bodyDiv w:val="1"/>
      <w:marLeft w:val="0"/>
      <w:marRight w:val="0"/>
      <w:marTop w:val="0"/>
      <w:marBottom w:val="0"/>
      <w:divBdr>
        <w:top w:val="none" w:sz="0" w:space="0" w:color="auto"/>
        <w:left w:val="none" w:sz="0" w:space="0" w:color="auto"/>
        <w:bottom w:val="none" w:sz="0" w:space="0" w:color="auto"/>
        <w:right w:val="none" w:sz="0" w:space="0" w:color="auto"/>
      </w:divBdr>
    </w:div>
    <w:div w:id="1077165173">
      <w:bodyDiv w:val="1"/>
      <w:marLeft w:val="0"/>
      <w:marRight w:val="0"/>
      <w:marTop w:val="0"/>
      <w:marBottom w:val="0"/>
      <w:divBdr>
        <w:top w:val="none" w:sz="0" w:space="0" w:color="auto"/>
        <w:left w:val="none" w:sz="0" w:space="0" w:color="auto"/>
        <w:bottom w:val="none" w:sz="0" w:space="0" w:color="auto"/>
        <w:right w:val="none" w:sz="0" w:space="0" w:color="auto"/>
      </w:divBdr>
    </w:div>
    <w:div w:id="10940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0B018-408D-49E9-8289-EF2900C1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764</Characters>
  <Application>Microsoft Office Word</Application>
  <DocSecurity>0</DocSecurity>
  <Lines>6</Lines>
  <Paragraphs>1</Paragraphs>
  <ScaleCrop>false</ScaleCrop>
  <Company>Microsoft</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张雯丽</cp:lastModifiedBy>
  <cp:revision>3</cp:revision>
  <cp:lastPrinted>2021-07-02T03:26:00Z</cp:lastPrinted>
  <dcterms:created xsi:type="dcterms:W3CDTF">2022-07-05T10:17:00Z</dcterms:created>
  <dcterms:modified xsi:type="dcterms:W3CDTF">2022-07-05T10:17:00Z</dcterms:modified>
</cp:coreProperties>
</file>