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Arial" w:hAnsi="Arial" w:cs="Arial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</w:rPr>
        <w:t>三级达标企业基本情况登记表</w:t>
      </w:r>
      <w:bookmarkStart w:id="0" w:name="_GoBack"/>
      <w:bookmarkEnd w:id="0"/>
    </w:p>
    <w:tbl>
      <w:tblPr>
        <w:tblW w:w="150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5669"/>
        <w:gridCol w:w="554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申请类型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南京百安居家居有限公司</w:t>
            </w:r>
          </w:p>
        </w:tc>
        <w:tc>
          <w:tcPr>
            <w:tcW w:w="5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卡子门大街90号1F-01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直接定级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麦德龙商业集团有限公司南京雨花商场</w:t>
            </w:r>
          </w:p>
        </w:tc>
        <w:tc>
          <w:tcPr>
            <w:tcW w:w="5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卡子门大街98号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直接定级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艾德克斯电子（南京）有限公司</w:t>
            </w:r>
          </w:p>
        </w:tc>
        <w:tc>
          <w:tcPr>
            <w:tcW w:w="5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西善桥南路108号1栋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期满复评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南京康祺资产经营管理有限公司</w:t>
            </w:r>
          </w:p>
        </w:tc>
        <w:tc>
          <w:tcPr>
            <w:tcW w:w="5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雨花东路158号1幢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初次申请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南京宇能机械有限公司</w:t>
            </w:r>
          </w:p>
        </w:tc>
        <w:tc>
          <w:tcPr>
            <w:tcW w:w="5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西善桥街道古遗井社区丁家凹22-2号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4"/>
                <w:szCs w:val="24"/>
                <w:bdr w:val="none" w:color="auto" w:sz="0" w:space="0"/>
              </w:rPr>
              <w:t>期满复评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6B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163</Characters>
  <Lines>0</Lines>
  <Paragraphs>0</Paragraphs>
  <TotalTime>5</TotalTime>
  <ScaleCrop>false</ScaleCrop>
  <LinksUpToDate>false</LinksUpToDate>
  <CharactersWithSpaces>163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2022-07-11T09:15:19Z</dcterms:created>
  <dc:creator>Administrator</dc:creator>
  <cp:lastModifiedBy>阿淼</cp:lastModifiedBy>
  <dcterms:modified xsi:type="dcterms:W3CDTF">2022-07-11T09:21:12Z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9C3F88B2DF23469588F6F106FBF0F55F</vt:lpwstr>
  </property>
</Properties>
</file>