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510"/>
        <w:jc w:val="both"/>
        <w:rPr>
          <w:rFonts w:ascii="微软雅黑" w:hAnsi="微软雅黑" w:eastAsia="微软雅黑" w:cs="微软雅黑"/>
          <w:b w:val="0"/>
          <w:bCs w:val="0"/>
          <w:i w:val="0"/>
          <w:iCs w:val="0"/>
          <w:caps w:val="0"/>
          <w:color w:val="000000"/>
          <w:spacing w:val="13"/>
        </w:rPr>
      </w:pPr>
      <w:r>
        <w:rPr>
          <w:rFonts w:hint="eastAsia" w:ascii="微软雅黑" w:hAnsi="微软雅黑" w:eastAsia="微软雅黑" w:cs="微软雅黑"/>
          <w:b w:val="0"/>
          <w:bCs w:val="0"/>
          <w:i w:val="0"/>
          <w:iCs w:val="0"/>
          <w:caps w:val="0"/>
          <w:color w:val="000000"/>
          <w:spacing w:val="13"/>
          <w:bdr w:val="none" w:color="auto" w:sz="0" w:space="0"/>
          <w:shd w:val="clear" w:fill="FFFFFF"/>
        </w:rPr>
        <w:t>附件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20"/>
        <w:jc w:val="center"/>
        <w:rPr>
          <w:rFonts w:hint="eastAsia" w:ascii="微软雅黑" w:hAnsi="微软雅黑" w:eastAsia="微软雅黑" w:cs="微软雅黑"/>
          <w:b/>
          <w:bCs/>
          <w:i w:val="0"/>
          <w:iCs w:val="0"/>
          <w:caps w:val="0"/>
          <w:color w:val="000000"/>
          <w:spacing w:val="13"/>
          <w:sz w:val="25"/>
          <w:szCs w:val="25"/>
        </w:rPr>
      </w:pPr>
      <w:r>
        <w:rPr>
          <w:rFonts w:hint="eastAsia" w:ascii="微软雅黑" w:hAnsi="微软雅黑" w:eastAsia="微软雅黑" w:cs="微软雅黑"/>
          <w:b/>
          <w:bCs/>
          <w:i w:val="0"/>
          <w:iCs w:val="0"/>
          <w:caps w:val="0"/>
          <w:color w:val="000000"/>
          <w:spacing w:val="13"/>
          <w:sz w:val="25"/>
          <w:szCs w:val="25"/>
          <w:bdr w:val="none" w:color="auto" w:sz="0" w:space="0"/>
          <w:shd w:val="clear" w:fill="FFFFFF"/>
        </w:rPr>
        <w:t>宿迁市“十四五”生态环境基础设施重点工程项目表</w:t>
      </w:r>
    </w:p>
    <w:tbl>
      <w:tblPr>
        <w:tblW w:w="0" w:type="auto"/>
        <w:tblInd w:w="0" w:type="dxa"/>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890"/>
        <w:gridCol w:w="1590"/>
        <w:gridCol w:w="4319"/>
        <w:gridCol w:w="3099"/>
        <w:gridCol w:w="1734"/>
        <w:gridCol w:w="1591"/>
        <w:gridCol w:w="1185"/>
      </w:tblGrid>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rPr>
          <w:trHeight w:val="1416" w:hRule="atLeast"/>
        </w:trPr>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序号</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所在区域</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工程名称</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主要建设内容/建设规模</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投资估算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（万元）</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建设期限</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责任单位</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一</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城镇生活污水处理设施新（改、扩）建工程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bCs/>
                <w:sz w:val="22"/>
                <w:szCs w:val="22"/>
                <w:bdr w:val="none" w:color="auto" w:sz="0" w:space="0"/>
              </w:rPr>
              <w:t>260445.03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洋北污水处理厂扩建项目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本次扩容规模为1.5万吨/天，一期为1.5万吨/天，扩建后总规模3.0万吨/天。污水处理主体工艺采用A²O/A-MBR处理工艺，消毒采用次氯酸钠消毒工艺。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4605.03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宿豫区人民政府、江苏润民环境集团有限公司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乡镇污水厂人工湿地建设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建设大兴镇、曹集镇、新庄镇、丁嘴镇等4座污水处理厂尾水湿地。</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1050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宿豫区污水处理厂扩建工程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扩建高新区污水处理厂，污水处理能力增加1.5万吨/日；扩建宿豫城东污水厂，由3万吨/日扩建为6万吨/日；扩建张家港园区污水厂，由3万吨/日扩建为6万吨/日。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宿豫区城东污水处理厂尾水净化工程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利用城东污水厂出水口周边及珠江医院北侧地块进行尾水净化设施建设，净化尾水3万吨/日。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21790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宿豫区乡镇污水处理厂改扩建工程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对大兴镇、曹集乡、新庄镇、关庙镇、仰化镇等镇区污水处理厂进行扩建。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2023-2025年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沭阳县城区污水处理厂尾水导流工程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铺设管道将城东、城南两个污水处理厂尾水收集后导入生态湿地，深化处理后经提升泵站排入新沂河北偏泓。</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沭阳经济技术开发区管委会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城南污水厂扩建工程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完成城南污水处理厂扩建工程（规模6万吨/日），满足城区生活污水处理需求。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泗洪县城区污水处理提质增效达标区建设工程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划分11个达标区，到2025年完成建成区65%面积达标建设。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建制镇污水处理设施建设工程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双沟镇、龙集镇、界集镇、临淮镇、梅花镇、上塘镇等12个建制镇19个污水处理厂进行扩建，新增污水处理能力1.82万吨/日，出水水质达一级A标准；铺设污水管网150公里；新增尾水生态湿地16.7万平方米，新建提升泵站15个。</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城南污水处理厂迁建及生态安全缓冲区建设工程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城南污水处理厂迁建工程，一期规模5万吨/天，配套建设生态安全缓冲区。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37000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泗阳淩湖生态安全缓冲区建设项目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建设组合式人工湿地，处理泗阳县城北污水处理厂尾水。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龙窝潭生态安全缓冲区水处理工程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对城南污水处理厂尾水进行进一步处理，建设生态塘系统、表面流湿地系统，辅以沉水植物净化水质，占地面积2.2万平方米，处理水量0.5万吨/天。</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二</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城镇雨污水管网新建及修复工程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162700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宿城区乡镇污水管网“十必接”工程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针对乡镇镇区机关、学校、医院、浴室、宾馆、饭店、农贸市场、垃圾中转站、居住区和工业区等10类场所排放的污水，完善污水管网，将污水接入乡镇污水处理厂。包含10个乡镇（街道），分别为支口街道、蔡集镇、王官集镇、耿车镇、埠子镇、龙河镇、洋北街道、屠园镇、陈集镇、中扬镇。排查管网错接、混接、未接等问题，及时清除管网中淤泥，保障管网畅通，完善配套管网及污水泵站建设和修复，实现镇区污水全部截污纳管，应收尽收。新建（改建）污水管网约65km，截流井20余座。</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滨河路西延雨污水及污水管网新建工程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共铺设雨水管道2642米，污水管道1196.1米，总计3838.1米。</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宿豫区排水设施完善工程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开展混错接管网整治、修复，积水点整治，新建、改造污水管网约60公里，雨水管网约80公里。</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宿豫城区小区雨污分流改造项目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实施城区卧龙湾、盛世家园等55个小区雨污分流改造，建设雨污管网、隔油池、毛发池等。</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城后河黑臭水体流域性整治工程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对城后河流域内未雨污分流的单位进行雨污分流改造。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10600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2021-2024年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圩东河片区综合整治</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对圩东河流域范围内老旧小区、学校、医院、公厕等排水单位进行雨污分流改造。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孙巷片区综合整治</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对河滨新村、江南枫景、孙巷小区一、二、三期等5个小区进行雨污分流改造。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城区易涝片区整治工程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双沟路与嵩山路、杭州路与嵩山路、金沙江路两侧全线、衡山花园西门、健康路（尚城府邸南侧）、罗卜里路与团结河交叉处、衡山路与团结河交叉处、仁和路与人民路交叉路口、洪桥商城等12处，实施雨污分流，建设雨污水管网约20公里，建设排涝泵站3座。</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泗水大道提升改造项目雨污管网工程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新建泗水大道雨污管网6.7公里。</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5400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泗阳经济开发区众兴路（267省道-长江路段）雨污水管网改造工程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众兴路（267省道-长江路段）雨污管网改造，全长2.526km，道路宽33.5米，其中雨水管径最大为1.5米，污水管径最大为0.5米。</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江苏泗阳经济开发区管理委员会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支四路（众兴路-运河大道）建设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全长280米，主要建设内容包括新建沥青道路、给水、雨水管道及配套井、给水、路灯照明、交通设施、绿化等。</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市洋河新区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郑楼片区农村污水管网改造工程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建设污水管网10公里，污水提升泵站1座。</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市洋河新区管委会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13</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市湖滨新区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湖滨新区排水设施完善工程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新建配套雨污水管网20公里，排查、疏通市政管网50公里。</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市湖滨新区管委会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宿迁经开区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经开区苏州路部分实施城市空间治理</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对苏州路老旧污水管网、路面及排水进行改造提升。</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2600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宿迁经济技术开发区管委会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三</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农村生活污水处理设施建设工程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69942.5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村级污水处理设施建设工程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围绕规划保留行政村和自然村，因地制宜开展农村生活污水处理设施建设。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宿豫区农村生活污水处理设施建设工程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对全区63个自然村进行治理，建设39处污水处理设施。</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村级生活污水处理设施建设项目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新建50处农村污水处理设施，计划新增3000吨/天规模。</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农村污水处理设施建设工程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新（扩）建污水处理厂站17座，新增污水处理规模4650吨/日，采用MBR膜处理工艺，出水水质达到一级A标准；铺设污水管网50公里、配套尾水生态湿地，新建提升泵站4个。</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沭阳县农村生活污水处理设施提升改造项目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拆除重建赵庄（100吨/天）、汤圩（100吨/天）、蔡庄（300吨/天）3座污水处理站；改造31座污水站站区；数字化改造192座污水站。</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1142.5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农村生活污水处理设施建设工程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在沂南河沿线王洼大沟、淮东河、圩东河、二支沟、乡界河、官西大沟、老官西排涝河、汤涧六支沟、李恒三支沟等支流建设9座（总处理能力5600吨/日）农村生活污水处理设施。</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市湖滨新区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村庄污水处理设施新建及提标改造工程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对现有不能正常运行的12个村庄污水处理设施开展提标改造。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1800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市湖滨新区管委会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四</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工业污水处理厂新（改、扩）建及管网工程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180700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运河宿迁港产业园水生态处理项目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新建恒力时尚产业园污水处理厂尾水湿地公园，占地493亩，设计规模9万吨/日，近期3万吨/日，配套尾水排放提升泵站1座，尾水管道15公里。</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34000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宿城区人民政府、宿迁市运河港区开发集团有限公司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工业企业排水整治工程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长江润发、江苏益客食品集团股份有限公司、江苏益客食品有限公司宿迁分公司、正大食品（宿迁）有限公司、宿迁南钢金鑫轧钢有限公司、江苏华亮热镀锌有限公司、秀强玻璃、宿迁楚霸体育器械有限公司等重点涉水企业以及排查发现相关问题的涉水企业开展一企一管、清雨污分流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沭阳县青伊湖农场污水处理厂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新建处理规模3000吨/天（其中，工业废水2000吨/天，生活污水1000吨/天）污水处理厂一座。</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2800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沭阳经开区污水处理设施提标改造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对经开区污水处理厂（凌志水务）进行提标改造，降低污染物排放浓度。</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沭阳经济技术开发区管委会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高新区污水处理厂总承包EPC项目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占地约64亩，建设初沉池、水解酸化池、气浮池及1套带式压滤机等，污水处理能力为2万吨/日。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泗阳高新技术产业开发区管委会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王集镇特色产业园东污水处理厂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新建日处理5000吨工业污水处理厂，处理工艺为A</w:t>
            </w:r>
            <w:r>
              <w:rPr>
                <w:rFonts w:hint="eastAsia" w:ascii="微软雅黑" w:hAnsi="微软雅黑" w:eastAsia="微软雅黑" w:cs="微软雅黑"/>
                <w:sz w:val="18"/>
                <w:szCs w:val="18"/>
                <w:bdr w:val="none" w:color="auto" w:sz="0" w:space="0"/>
                <w:vertAlign w:val="baseline"/>
              </w:rPr>
              <w:t>2</w:t>
            </w:r>
            <w:r>
              <w:rPr>
                <w:rFonts w:hint="eastAsia" w:ascii="微软雅黑" w:hAnsi="微软雅黑" w:eastAsia="微软雅黑" w:cs="微软雅黑"/>
                <w:sz w:val="22"/>
                <w:szCs w:val="22"/>
                <w:bdr w:val="none" w:color="auto" w:sz="0" w:space="0"/>
              </w:rPr>
              <w:t>O，污水处理厂工艺为粗格栅进水泵房+细格栅曝气沉砂池及膜格栅+一体化MBR池+消毒池。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2022-2024年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泗阳城东污水处理厂扩容工程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对泗阳城东污水处理厂已建一期、二期项目进行扩容，新增污水处理能力5万吨/日，总处理能力提升至11万吨/日。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24000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高新区污水管网建设工程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新建祁连山路、盛虹路、吴江大道管网约9120m，管径400mm。</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泗洪经济开发区污水处理二厂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设计规模5万吨/日，一期2.5万吨/日。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宿迁经开区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污水处理厂建设项目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铺设污水管网16.4公里，新建经开区污水处理厂，总规模10万吨/日，一期5万吨/日。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宿迁经济技术开发区管委会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宿城区、宿迁经开区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西南片区管网建设改造项目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开展混错接管网整治、修复，积水点整治，新改建污水管道54.5公里，管道疏通修复100公里，混错接改造90处；新改建雨水管渠24.2公里，改造雨水口200处；新建东吴路污水泵站、改造九支沟与小白河污水泵站；新建深圳路雨水泵站1座，改造6座雨水泵站。</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38900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宿城区人民政府、宿迁经济技术开发区管委会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五</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一般工业固废收集处理工程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354770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年焚烧30万吨工业固体废弃物（不含危废）处置配套发电供热项目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建设主厂房、综合楼、水处理、变电所、泵房等，配置两台90吨/小时锅炉和15MW汽轮发电机、7.5MW汽轮发电机各一台。</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46270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宿城区人民政府、光大绿色环保热电（宿迁）有限公司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一般工业固废污泥处置项目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建设一般工业固废（含废布条掺烧）处置设施一座，处置规模20万吨/年。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23500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宿城区人民政府、江苏明德环保有限公司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废弃物处理处置设施建设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以废旧饮料瓶、涤纶丝、聚酯切片为原料，年产涤纶短纤维12万吨、长丝土工布2万吨。</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160000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2023-2025年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泗洪县人民政府、江苏美宁高纤有限公司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燃烧棒和再生 PET 块料生产项目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以回收废纺织品为原料，年产3万吨燃烧棒及3万吨再生PET块料项目。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2023-2023年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泗洪县人民政府、宿迁金弘裕环保新材料有限公司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年产80万立方米陶粒及10万吨萤石颗粒项目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以污水处理厂污泥、印染污泥、污染土壤、无机废水污泥、黏土、氟化钙污泥等，经鉴定属于一般固废的污泥以及沼渣等为主要原料，年产80万立方米陶粒及10万吨萤石颗粒。</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泗洪县人民政府、江苏纳格环保新材料有限公司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宿迁经开区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回收处理包装桶项目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年回收处理40万只200-208L包装桶。</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宿迁经济技术开发区管委会、宿迁市三石包装容器有限公司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六</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生活垃圾及城镇污泥处理工程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71000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生活垃圾焚烧发电协同厨余垃圾处理项目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生活垃圾处理规模500吨/日、厨余垃圾150吨/日。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36000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宿迁市城市管理局、宿城区人民政府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园林垃圾处理设施建设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处理规模50吨/日。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宿迁市住建局、宿城区人民政府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污泥资源化利用项目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污泥资源化利用规模800吨/日，其中一期建设一套污泥直掺系统，规模为300吨/日，二期建设一套污泥干化系统，规模为500吨/日。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宿城区人民政府、国家能源集团宿迁发电有限公司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沭阳县城镇污泥处置项目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年处理处置污泥10万吨。</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泗洪县餐厨垃圾资源化处置厂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处理规模150吨/天（含50吨厨余垃圾），主要建设餐厨垃圾收运系统、预处理系统、毛油提取及暂存系统、固渣出料系统、污水暂存系统、除臭系统、给排水、通风系统等。</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泗洪县人民政府、泗洪高能环境生物质能有限公司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七</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危险废物收集处理工程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230231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小微危险废物收集系统试点项目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试点建设1个小微危废收集暂存项目，集中收集、规范分类暂存，定期交由有资质的处置单位进行规范化处置。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宿城区人民政府、宿迁大成环保科技有限公司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回收暂存废铅酸蓄电池和废矿物油项目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年回收与暂存5万吨废铅酸蓄电池和3万吨废矿物油。</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宿城区人民政府、江苏芳草地再生资源有限公司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有机危废盐渣无害化资源化项目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总规模2万吨/年，一期0.4万吨/年，二期1.6万吨/年。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15109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宿豫区人民政府、江苏江淮环保科技有限公司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小微危险废物收集系统试点项目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试点建设1-2个小微危废收集暂存项目，集中收集、规范分类暂存，定期交由有资质的处置单位进行规范化处置。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废铅蓄电池（含铅废物）无害化综合利用项目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江苏天能资源循环科技有限公司年产25万吨废铅蓄电池（含铅废物）无害化综合利用项目，包括废铅蓄电池20万吨/年、含铅废物5万吨/年。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42822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沭阳县人民政府、江苏天能资源循环科技有限公司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沭阳县废钢灰处置利用项目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处置利用废钢灰30000吨/年。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沭阳县人民政府、沭阳县飞宏金属新材料有限公司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废活性炭再生利用项目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对废活性炭进行再生利用。</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小微危险废物收集系统试点项目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试点建设1-2个小微危废收集暂存项目，集中收集、规范分类暂存，定期交由有资质的处置单位进行规范化处置。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年综合利用31.7万吨含稀贵金属废物项目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建设综合利用设施，年综合利用31.7万吨含稀贵金属废物。</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泗阳县人民政府、江苏昇田环保科技有限公司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废矿物油与含矿物油废物综合利用项目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废矿物油与含矿物油废物（HW08）综合利用规模8万吨/年，废旧锂电池资源化利用规模5万吨/年，含锌废物综合利用规模20万吨/年。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泗阳县人民政府、江苏云果再生资源利用有限公司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年加工30万吨废铝资源综合利用技改项目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年处置利用铝灰渣11.7万吨。</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泗阳县人民政府、江苏海光金属有限公司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小微危险废物收集系统试点项目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试点建设1-2个小微危废收集暂存项目，集中收集、规范分类暂存，定期交由有资质的处置单位进行规范化处置。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废矿物油收集与贮存项目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收集与贮存机动车维修过程中产生的废矿物油，规模3000吨/年。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泗洪县人民政府，泗洪绿能再生资源有限公司、泗洪洪景环保有限公司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10万吨铝灰渣综合利用项目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年综合利用10万吨铝灰渣。</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泗洪县人民政府、江苏龙盛泰科技有限公司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小微危险废物收集系统试点项目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试点建设1-2个小微危废收集暂存项目，集中收集、规范分类暂存，定期交由有资质的处置单位进行规范化处置。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八</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医疗废弃物收集处理工程</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2200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医疗废物焚烧项目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新建医疗废物焚烧设施，处置规模15吨/天。</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宿豫区人民政府、宿迁宇新固体废物处置有限公司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医疗废物焚烧项目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将现有2万吨/年危险废物焚烧项目改造为1.6万吨/年危险废物焚烧和0.4万吨/年医疗废物焚烧。</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宿豫区人民政府、宿迁市中油优艺环保服务有限公司</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九</w:t>
            </w:r>
          </w:p>
        </w:tc>
        <w:tc>
          <w:tcPr>
            <w:tcW w:w="0" w:type="auto"/>
            <w:gridSpan w:val="2"/>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环境监测监控能力及设施建设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19360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相关区县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（园区）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大气PM2.5网格监测微站加密建设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在市经济开发区、湖滨新区、宿城经济开发区、宿豫高新区、膜材料产业园、重点工地等重点区域加密布设185个监测点位和100个视频监控点位，达到500米*500米的溯源精度。</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宿迁市生态环境局、相关县区政府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全市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城市重要区域 VOCs 自动监测站建设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在城市主导上风向或背景区域，VOCs高浓度区域以及城市主导下风向建设3个VOCs自动监测站。</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1050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宿迁市生态环境局</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相关园区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园区周边空气自动监测站建设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在全市7个省级及以上工业园区和1个化工园区的主导上/下风向各建1个空气质量自动监测站（现有7个站，需新建9个站），配置气象五参数、常规六参数、挥发性有机物等监测指标。</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1960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省级以上工业园区及化工园区管委会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全市</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新增市考断面水质自动监测站建设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新建12个水质自动监测站，配置常规五参数、高锰酸盐指数、氨氮、总磷、总氮、流量等监测指标。</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宿迁市生态环境局、各县区政府（管委会）</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骆马湖饮用水水源地自动监测站升级改造</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为骆马湖宿城水源地水质自动监测站增配挥发酚、挥发性有机物监测因子。</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250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宿迁市生态环境局</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实验室基础环境标准化建设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开展市生态环境监测监控服务中心新址标准化建设，完成市生态环境监测监控服务中心的搬迁工作，全面改善实验室环境。</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2021-2024年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江苏省环境监测中心、市生态环境监测监控服务中心</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大气污染防治攻坚装备购置</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建成一套VOC</w:t>
            </w:r>
            <w:r>
              <w:rPr>
                <w:rFonts w:hint="eastAsia" w:ascii="微软雅黑" w:hAnsi="微软雅黑" w:eastAsia="微软雅黑" w:cs="微软雅黑"/>
                <w:sz w:val="18"/>
                <w:szCs w:val="18"/>
                <w:bdr w:val="none" w:color="auto" w:sz="0" w:space="0"/>
                <w:vertAlign w:val="baseline"/>
              </w:rPr>
              <w:t>S</w:t>
            </w:r>
            <w:r>
              <w:rPr>
                <w:rFonts w:hint="eastAsia" w:ascii="微软雅黑" w:hAnsi="微软雅黑" w:eastAsia="微软雅黑" w:cs="微软雅黑"/>
                <w:sz w:val="22"/>
                <w:szCs w:val="22"/>
                <w:bdr w:val="none" w:color="auto" w:sz="0" w:space="0"/>
              </w:rPr>
              <w:t>及颗粒物高时空分辨及走航监测系统和一套PM</w:t>
            </w:r>
            <w:r>
              <w:rPr>
                <w:rFonts w:hint="eastAsia" w:ascii="微软雅黑" w:hAnsi="微软雅黑" w:eastAsia="微软雅黑" w:cs="微软雅黑"/>
                <w:sz w:val="18"/>
                <w:szCs w:val="18"/>
                <w:bdr w:val="none" w:color="auto" w:sz="0" w:space="0"/>
                <w:vertAlign w:val="baseline"/>
              </w:rPr>
              <w:t>2.5</w:t>
            </w:r>
            <w:r>
              <w:rPr>
                <w:rFonts w:hint="eastAsia" w:ascii="微软雅黑" w:hAnsi="微软雅黑" w:eastAsia="微软雅黑" w:cs="微软雅黑"/>
                <w:sz w:val="22"/>
                <w:szCs w:val="22"/>
                <w:bdr w:val="none" w:color="auto" w:sz="0" w:space="0"/>
              </w:rPr>
              <w:t>在线来源解析质谱移动监测系统，具备VOC</w:t>
            </w:r>
            <w:r>
              <w:rPr>
                <w:rFonts w:hint="eastAsia" w:ascii="微软雅黑" w:hAnsi="微软雅黑" w:eastAsia="微软雅黑" w:cs="微软雅黑"/>
                <w:sz w:val="18"/>
                <w:szCs w:val="18"/>
                <w:bdr w:val="none" w:color="auto" w:sz="0" w:space="0"/>
                <w:vertAlign w:val="baseline"/>
              </w:rPr>
              <w:t>S</w:t>
            </w:r>
            <w:r>
              <w:rPr>
                <w:rFonts w:hint="eastAsia" w:ascii="微软雅黑" w:hAnsi="微软雅黑" w:eastAsia="微软雅黑" w:cs="微软雅黑"/>
                <w:sz w:val="22"/>
                <w:szCs w:val="22"/>
                <w:bdr w:val="none" w:color="auto" w:sz="0" w:space="0"/>
              </w:rPr>
              <w:t>、PM</w:t>
            </w:r>
            <w:r>
              <w:rPr>
                <w:rFonts w:hint="eastAsia" w:ascii="微软雅黑" w:hAnsi="微软雅黑" w:eastAsia="微软雅黑" w:cs="微软雅黑"/>
                <w:sz w:val="18"/>
                <w:szCs w:val="18"/>
                <w:bdr w:val="none" w:color="auto" w:sz="0" w:space="0"/>
                <w:vertAlign w:val="baseline"/>
              </w:rPr>
              <w:t>2.5</w:t>
            </w:r>
            <w:r>
              <w:rPr>
                <w:rFonts w:hint="eastAsia" w:ascii="微软雅黑" w:hAnsi="微软雅黑" w:eastAsia="微软雅黑" w:cs="微软雅黑"/>
                <w:sz w:val="22"/>
                <w:szCs w:val="22"/>
                <w:bdr w:val="none" w:color="auto" w:sz="0" w:space="0"/>
              </w:rPr>
              <w:t>常态化溯源走航监测能力。</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市生态环境监测监控服务中心</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大数据中心数据服务能力完善</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建设纵向覆盖市-县-乡镇（园区）三级生态环境监测监控体系，横向融合市大数据局、市水利局等部门（单位），汇聚全市生态环境监测监控数据资源，实现互联共享。</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2021-2024年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市生态环境监测监控服务中心</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便携式应急监测现场处置能力建设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针对突发环境事件现场处置需要，加快应用便携式、高效、高科技的现代化处置设施装备，为环境应急综合指挥提供服务。</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宿迁市生态环境局</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宿城区污染防治监管平台</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搭建覆盖全区大气、水等实时监测数据的监管平台，建立及时反馈机制，实现监测数据闭环管理。</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宿城区人民政府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经开区上下游水质自动监测站</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在省级以上工业园区及化工园区主排口所在水体上、下游各建1个水质自动监测站，包含常规五参数、高锰酸盐指数、氨氮、总磷、总氮、流量等监测指标。</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建设重点河流沿线乡镇边界水质自动监测站</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在古泊善后河、柴米河干流沿线安装（微型）水质自动站，实现干流水质分段监控预警，及时开展溯源排查。</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2021-2022年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沭阳县人民政府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13</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“生态眼”建设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在泗洪洪泽湖湿地国家级自然保护区内建设生态地面观测站点。</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2022-2023年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江苏省环境监测中心</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14</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泗洪县智能环境治理实验基地建设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对泗洪县乡镇污水处理厂进行智能化监管，开展智能农田微型湿地系统建设。</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1000</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2022-2025年</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泗洪县人民政府</w:t>
            </w:r>
          </w:p>
        </w:tc>
      </w:tr>
      <w:tr>
        <w:tblPrEx>
          <w:tblBorders>
            <w:top w:val="single" w:color="DDDDDD" w:sz="6" w:space="0"/>
            <w:left w:val="single" w:color="DDDDDD" w:sz="6" w:space="0"/>
            <w:bottom w:val="single" w:color="DDDDDD" w:sz="6" w:space="0"/>
            <w:right w:val="single" w:color="DDDDDD"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bCs/>
                <w:sz w:val="22"/>
                <w:szCs w:val="22"/>
                <w:bdr w:val="none" w:color="auto" w:sz="0" w:space="0"/>
              </w:rPr>
              <w:t>*</w:t>
            </w:r>
          </w:p>
        </w:tc>
        <w:tc>
          <w:tcPr>
            <w:tcW w:w="0" w:type="auto"/>
            <w:tcBorders>
              <w:top w:val="single" w:color="DDDDDD" w:sz="6" w:space="0"/>
              <w:left w:val="single" w:color="DDDDDD" w:sz="6" w:space="0"/>
              <w:bottom w:val="single" w:color="DDDDDD" w:sz="6" w:space="0"/>
              <w:right w:val="single" w:color="DDDDDD" w:sz="6" w:space="0"/>
            </w:tcBorders>
            <w:shd w:val="clear"/>
            <w:noWrap/>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bCs/>
                <w:sz w:val="22"/>
                <w:szCs w:val="22"/>
                <w:bdr w:val="none" w:color="auto" w:sz="0" w:space="0"/>
              </w:rPr>
              <w:t>合计</w:t>
            </w: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rPr>
                <w:rFonts w:hint="eastAsia" w:ascii="微软雅黑" w:hAnsi="微软雅黑" w:eastAsia="微软雅黑" w:cs="微软雅黑"/>
                <w:sz w:val="22"/>
                <w:szCs w:val="22"/>
              </w:rPr>
            </w:pPr>
          </w:p>
        </w:tc>
        <w:tc>
          <w:tcPr>
            <w:tcW w:w="0" w:type="auto"/>
            <w:tcBorders>
              <w:top w:val="single" w:color="DDDDDD" w:sz="6" w:space="0"/>
              <w:left w:val="single" w:color="DDDDDD" w:sz="6" w:space="0"/>
              <w:bottom w:val="single" w:color="DDDDDD" w:sz="6" w:space="0"/>
              <w:right w:val="single" w:color="DDDDDD" w:sz="6" w:space="0"/>
            </w:tcBorders>
            <w:shd w:val="clear"/>
            <w:tcMar>
              <w:top w:w="120" w:type="dxa"/>
              <w:left w:w="225" w:type="dxa"/>
              <w:bottom w:w="120" w:type="dxa"/>
              <w:right w:w="22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bCs/>
                <w:sz w:val="22"/>
                <w:szCs w:val="22"/>
                <w:bdr w:val="none" w:color="auto" w:sz="0" w:space="0"/>
              </w:rPr>
              <w:t>1351348.53</w:t>
            </w:r>
          </w:p>
        </w:tc>
        <w:tc>
          <w:tcPr>
            <w:tcW w:w="0" w:type="auto"/>
            <w:tcBorders>
              <w:top w:val="outset" w:color="000000" w:sz="6" w:space="0"/>
              <w:left w:val="nil"/>
              <w:bottom w:val="outset" w:color="000000" w:sz="6" w:space="0"/>
              <w:right w:val="outset" w:color="000000" w:sz="6" w:space="0"/>
            </w:tcBorders>
            <w:shd w:val="clear"/>
            <w:vAlign w:val="center"/>
          </w:tcPr>
          <w:p>
            <w:pPr>
              <w:rPr>
                <w:rFonts w:hint="eastAsia" w:ascii="微软雅黑" w:hAnsi="微软雅黑" w:eastAsia="微软雅黑" w:cs="微软雅黑"/>
                <w:sz w:val="22"/>
                <w:szCs w:val="22"/>
              </w:rPr>
            </w:pPr>
          </w:p>
        </w:tc>
        <w:tc>
          <w:tcPr>
            <w:tcW w:w="0" w:type="auto"/>
            <w:tcBorders>
              <w:top w:val="outset" w:color="000000" w:sz="6" w:space="0"/>
              <w:left w:val="nil"/>
              <w:bottom w:val="outset" w:color="000000" w:sz="6" w:space="0"/>
              <w:right w:val="outset" w:color="000000" w:sz="6" w:space="0"/>
            </w:tcBorders>
            <w:shd w:val="clear"/>
            <w:vAlign w:val="center"/>
          </w:tcPr>
          <w:p>
            <w:pPr>
              <w:rPr>
                <w:rFonts w:hint="eastAsia" w:ascii="微软雅黑" w:hAnsi="微软雅黑" w:eastAsia="微软雅黑" w:cs="微软雅黑"/>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34A6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2022-08-12T10:29:56Z</dcterms:created>
  <dc:creator>Administrator</dc:creator>
  <cp:lastModifiedBy>阿淼</cp:lastModifiedBy>
  <dcterms:modified xsi:type="dcterms:W3CDTF">2022-08-12T10:32:55Z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BECB401C02E54836AEB7A8312D54E80C</vt:lpwstr>
  </property>
</Properties>
</file>