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43"/>
          <w:szCs w:val="43"/>
          <w:bdr w:val="none" w:color="auto" w:sz="0" w:space="0"/>
          <w:shd w:val="clear" w:fill="FFFFFF"/>
        </w:rPr>
        <w:t>品牌首店、旗舰店说明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</w:p>
    <w:tbl>
      <w:tblPr>
        <w:tblW w:w="91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44"/>
        <w:gridCol w:w="75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ascii="等线" w:hAnsi="等线" w:eastAsia="等线" w:cs="等线"/>
                <w:color w:val="111111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hint="eastAsia" w:ascii="等线" w:hAnsi="等线" w:eastAsia="等线" w:cs="等线"/>
                <w:color w:val="111111"/>
                <w:sz w:val="24"/>
                <w:szCs w:val="24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46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全球首店、亚洲首店</w:t>
            </w: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．国内外品牌在全球或亚洲设立的首家线下实体门店。原则上该品牌须入选以下榜单之一：世界品牌实验室发布的《世界品牌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强榜单》；中国企业联合会、中国企业家协会发布的《中国服务业企业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强榜单》；世界品牌实验室发布的《中国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最具价值品牌排行榜》；胡润研究院发布的《胡润中国餐饮连锁企业投资价值榜》；胡润研究院发布的《胡润品牌榜》；品牌联盟发布的《中国品牌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强》；德勤发布的《全球奢侈品力量排行榜》；品牌金融发布的《全球最有价值零售品牌榜》；米其林餐厅榜单。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中国（内地）首店</w:t>
            </w: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．符合全球首店、亚洲首店品牌清单内的品牌在中国（内地）设立的首家线下实体门店。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．知名国外品牌在中国（内地）设立的首家线下实体门店。该品牌须在全球知名消费城市（纽约、洛杉矶、伦敦、巴黎、米兰、迪拜、日内瓦、苏黎世、都柏林、哥本哈根、悉尼、东京、香港、新加坡、首尔）开设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家（含）以上门店；获得国家级媒体平台或知名时尚媒体（包括但不限于《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VOGUE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》《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ELLE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》《时尚芭莎》《时尚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COSMO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》《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GQ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》《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T Magazine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》等）对该品牌宣传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次（含）以上。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．知名国内品牌在中国（内地）设立的首家线下实体门店。原则上该品牌须入选以下榜单之一（包括但不限于）：中国连锁经营协会发布的《中国时尚零售百强榜单》、《中国特许连锁百强榜单》、《中国超市百强榜单》；胡润研究院发布的《中国瞪羚企业榜》、《中国最具历史文化底蕴品牌榜》；赢商网发布的《季度热搜品牌榜》、《年度中国领军品牌百强榜》、《年度新兴品牌百强榜》；美团发布的《黑珍珠餐厅指南》；商务部发布的中华老字号名单，各省发布的省级老字号名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．上一年度线上零售额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万元（含）以上的互联网品牌设立的首家线下实体门店，并获得全国性媒体平台或知名时尚媒体对该品牌宣传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次（含）以上。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江苏首店</w:t>
            </w: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．符合上文全球首店、亚洲首店品牌清单内的品牌在江苏范围内设立的首家线下实体门店。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．符合上文中国（内地）首店标准内品牌在江苏范围内设立的首家线下实体门店。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6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旗舰店</w:t>
            </w: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充分体现品牌形象，面积在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平方米以上（含）的独立门店或位于商业载体内、面积在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平方米以上（含）的门店，且门店面积超过该品牌在南京开设的其他实体店，商品类别涵盖该品牌当前主要商品线的零售业态实体门店。门店每年至少代表品牌举办一次与旗舰店定位匹配的新品发布活动；获得全国性媒体平台或知名时尚媒体宣传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次（含）以上。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不同类型首店符合一种条件即可。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43"/>
          <w:szCs w:val="43"/>
          <w:bdr w:val="none" w:color="auto" w:sz="0" w:space="0"/>
          <w:shd w:val="clear" w:fill="FFFFFF"/>
        </w:rPr>
        <w:t>商业品牌首发、首秀活动评价指标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19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</w:p>
    <w:tbl>
      <w:tblPr>
        <w:tblW w:w="88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73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color w:val="111111"/>
                <w:sz w:val="24"/>
                <w:szCs w:val="24"/>
                <w:bdr w:val="none" w:color="auto" w:sz="0" w:space="0"/>
              </w:rPr>
              <w:t>指标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111111"/>
                <w:sz w:val="24"/>
                <w:szCs w:val="24"/>
                <w:bdr w:val="none" w:color="auto" w:sz="0" w:space="0"/>
              </w:rPr>
              <w:t>指标说明及分值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1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品牌级别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世界品牌实验室发布的《世界品牌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强榜单》；中国企业联合会、中国企业家协会发布的《中国服务业企业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强榜单》；世界品牌实验室发布的《中国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最具价值品牌排行榜》；胡润研究院发布的《胡润中国餐饮连锁企业投资价值榜》；胡润研究院发布的《胡润品牌榜》；品牌联盟发布的《中国品牌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强》；德勤发布的《全球奢侈品力量排行榜》；品牌金融发布的《全球最有价值零售品牌榜》；米其林餐饮榜单；美团发布的《黑珍珠餐厅指南》；商务部发布的中华老字号名单，各省发布的省级老字号名单。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列入以上品牌排行榜且排名前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分，排名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201—500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分，未列入榜单得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活动级别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7"/>
                <w:szCs w:val="27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7"/>
                <w:szCs w:val="27"/>
                <w:bdr w:val="none" w:color="auto" w:sz="0" w:space="0"/>
              </w:rPr>
              <w:t>分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品牌全球首发首秀活动得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分；全国首发首秀活动得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分；其他活动得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活动费用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活动费用（场租、搭建、宣传推广）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高于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万的得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分；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100—200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万的得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分；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50—100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万的得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分；低于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万的得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媒体报道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、境外媒体（含纸媒、电视、广播、互联网媒体、微信公众号、自媒体等）相关报道（含转载）不少于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条，每增加一条得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分，最高得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、全国性知名商业媒体或时尚媒体（含纸媒、互联网媒体、微信公众号等）相关报道（含转载）不少于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条，每增加一条得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分，最高得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bdr w:val="none" w:color="auto" w:sz="0" w:space="0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单项指标得分不能为</w:t>
            </w:r>
            <w:r>
              <w:rPr>
                <w:color w:val="111111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111111"/>
                <w:sz w:val="24"/>
                <w:szCs w:val="24"/>
                <w:bdr w:val="none" w:color="auto" w:sz="0" w:space="0"/>
              </w:rPr>
              <w:t>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B3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2022-08-15T09:37:48Z</dcterms:created>
  <dc:creator>Administrator</dc:creator>
  <cp:lastModifiedBy>阿淼</cp:lastModifiedBy>
  <dcterms:modified xsi:type="dcterms:W3CDTF">2022-08-15T09:38:06Z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A20C5458660945F5ABEC5B78BC4461EB</vt:lpwstr>
  </property>
</Properties>
</file>