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/>
        <w:autoSpaceDN/>
        <w:snapToGrid/>
        <w:spacing w:line="640" w:lineRule="exact"/>
        <w:ind w:firstLine="0" w:firstLineChars="0"/>
        <w:jc w:val="left"/>
        <w:rPr>
          <w:rFonts w:ascii="黑体" w:hAnsi="黑体" w:eastAsia="黑体" w:cs="黑体"/>
          <w:snapToGrid/>
          <w:kern w:val="2"/>
          <w:szCs w:val="32"/>
        </w:rPr>
      </w:pPr>
      <w:r>
        <w:rPr>
          <w:rFonts w:hint="eastAsia" w:ascii="黑体" w:hAnsi="黑体" w:eastAsia="黑体" w:cs="黑体"/>
          <w:snapToGrid/>
          <w:kern w:val="2"/>
          <w:szCs w:val="32"/>
        </w:rPr>
        <w:t>附件</w:t>
      </w:r>
    </w:p>
    <w:p>
      <w:pPr>
        <w:pStyle w:val="4"/>
        <w:autoSpaceDE/>
        <w:autoSpaceDN/>
        <w:snapToGrid/>
        <w:spacing w:line="640" w:lineRule="exact"/>
        <w:ind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</w:p>
    <w:p>
      <w:pPr>
        <w:pStyle w:val="4"/>
        <w:autoSpaceDE/>
        <w:autoSpaceDN/>
        <w:snapToGrid/>
        <w:spacing w:line="640" w:lineRule="exact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napToGrid/>
          <w:kern w:val="2"/>
          <w:sz w:val="44"/>
          <w:szCs w:val="44"/>
        </w:rPr>
      </w:pPr>
      <w:bookmarkStart w:id="0" w:name="_GoBack"/>
      <w:r>
        <w:rPr>
          <w:rFonts w:hint="eastAsia" w:eastAsia="仿宋_GB2312"/>
          <w:b/>
          <w:bCs/>
          <w:snapToGrid/>
          <w:color w:val="000000"/>
          <w:kern w:val="2"/>
          <w:sz w:val="44"/>
          <w:szCs w:val="44"/>
        </w:rPr>
        <w:t>2022</w:t>
      </w:r>
      <w:r>
        <w:rPr>
          <w:rFonts w:hint="eastAsia" w:ascii="华文中宋" w:hAnsi="华文中宋" w:eastAsia="华文中宋" w:cs="华文中宋"/>
          <w:b/>
          <w:bCs/>
          <w:snapToGrid/>
          <w:kern w:val="2"/>
          <w:sz w:val="44"/>
          <w:szCs w:val="44"/>
        </w:rPr>
        <w:t>年度江苏省智慧广电示范项目</w:t>
      </w:r>
    </w:p>
    <w:bookmarkEnd w:id="0"/>
    <w:p>
      <w:pPr>
        <w:pStyle w:val="4"/>
        <w:autoSpaceDE/>
        <w:autoSpaceDN/>
        <w:snapToGrid/>
        <w:spacing w:line="640" w:lineRule="exact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napToGrid/>
          <w:kern w:val="2"/>
          <w:sz w:val="44"/>
          <w:szCs w:val="44"/>
        </w:rPr>
      </w:pP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hint="eastAsia" w:ascii="黑体" w:hAnsi="黑体" w:eastAsia="黑体" w:cs="仿宋"/>
          <w:b/>
          <w:snapToGrid/>
          <w:kern w:val="2"/>
          <w:szCs w:val="32"/>
        </w:rPr>
      </w:pPr>
      <w:r>
        <w:rPr>
          <w:rFonts w:hint="eastAsia" w:ascii="黑体" w:hAnsi="黑体" w:eastAsia="黑体" w:cs="仿宋"/>
          <w:b/>
          <w:snapToGrid/>
          <w:kern w:val="2"/>
          <w:szCs w:val="32"/>
        </w:rPr>
        <w:t>一、平台类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Cs w:val="32"/>
        </w:rPr>
        <w:t>沭阳县数字乡村融合云平台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Cs w:val="32"/>
        </w:rPr>
        <w:t>宜兴市智慧广电乡村工程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3. 宁南生态创新城（上兴镇）一镇一品平台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Cs w:val="32"/>
        </w:rPr>
        <w:t>金湖县＂水韵湖城＂全域智慧广电乡村工程建设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5. 昆山市智慧广电乡镇建设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hint="eastAsia"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Cs w:val="32"/>
        </w:rPr>
        <w:t>张家港市智慧广电乡镇建设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hint="eastAsia"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7. 智慧九华融合管理服务平台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黑体" w:hAnsi="黑体" w:eastAsia="黑体" w:cs="仿宋"/>
          <w:snapToGrid/>
          <w:kern w:val="2"/>
          <w:szCs w:val="32"/>
        </w:rPr>
      </w:pPr>
      <w:r>
        <w:rPr>
          <w:rFonts w:hint="eastAsia" w:ascii="黑体" w:hAnsi="黑体" w:eastAsia="黑体" w:cs="仿宋"/>
          <w:snapToGrid/>
          <w:kern w:val="2"/>
          <w:szCs w:val="32"/>
        </w:rPr>
        <w:t>二、应用类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Cs w:val="32"/>
        </w:rPr>
        <w:t>白马湖旅游度假区智慧景区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Cs w:val="32"/>
        </w:rPr>
        <w:t>苏州数字化“视·听”党史学习教育融媒平台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Cs w:val="32"/>
        </w:rPr>
        <w:t>吴江“治惠东联村”数字乡村应用建设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4. 东港镇农业农村现代化提升工程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  <w:r>
        <w:rPr>
          <w:rFonts w:hint="eastAsia" w:ascii="仿宋" w:hAnsi="仿宋" w:eastAsia="仿宋" w:cs="仿宋"/>
          <w:snapToGrid/>
          <w:kern w:val="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napToGrid/>
          <w:kern w:val="2"/>
          <w:szCs w:val="32"/>
        </w:rPr>
        <w:t>靖江数字农业物联网应用及优质粮食溯源平台</w:t>
      </w:r>
    </w:p>
    <w:p>
      <w:pPr>
        <w:pStyle w:val="4"/>
        <w:autoSpaceDE/>
        <w:autoSpaceDN/>
        <w:snapToGrid/>
        <w:spacing w:line="640" w:lineRule="exact"/>
        <w:ind w:left="630" w:firstLine="0" w:firstLineChars="0"/>
        <w:jc w:val="left"/>
        <w:rPr>
          <w:rFonts w:ascii="仿宋" w:hAnsi="仿宋" w:eastAsia="仿宋" w:cs="仿宋"/>
          <w:snapToGrid/>
          <w:kern w:val="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D5ABF"/>
    <w:rsid w:val="3C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2022-09-05T02:32:00Z</dcterms:created>
  <dc:creator>仇乐</dc:creator>
  <cp:lastModifiedBy>仇乐</cp:lastModifiedBy>
  <dcterms:modified xsi:type="dcterms:W3CDTF">2022-09-05T02:33:16Z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