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spacing w:before="0" w:after="0" w:line="560" w:lineRule="exact"/>
        <w:ind w:right="0"/>
        <w:jc w:val="center"/>
        <w:textAlignment w:val="auto"/>
        <w:outlineLvl w:val="9"/>
        <w:rPr>
          <w:rFonts w:hint="eastAsia" w:ascii="方正小标宋_GBK" w:hAnsi="方正小标宋_GBK" w:eastAsia="方正小标宋_GBK" w:cs="方正小标宋_GBK"/>
          <w:spacing w:val="0"/>
          <w:w w:val="100"/>
          <w:kern w:val="2"/>
          <w:position w:val="0"/>
          <w:sz w:val="44"/>
          <w:szCs w:val="44"/>
          <w:shd w:val="clear"/>
          <w:lang w:val="en-US" w:eastAsia="zh-CN" w:bidi="ar-SA"/>
        </w:rPr>
      </w:pPr>
      <w:r>
        <w:rPr>
          <w:rFonts w:hint="eastAsia" w:ascii="方正小标宋_GBK" w:hAnsi="方正小标宋_GBK" w:eastAsia="方正小标宋_GBK" w:cs="方正小标宋_GBK"/>
          <w:spacing w:val="0"/>
          <w:w w:val="100"/>
          <w:kern w:val="2"/>
          <w:position w:val="0"/>
          <w:sz w:val="44"/>
          <w:szCs w:val="44"/>
          <w:shd w:val="clear"/>
          <w:lang w:val="en-US" w:eastAsia="zh-CN" w:bidi="ar-SA"/>
        </w:rPr>
        <w:t>商务部办公厅 发展改革委办公厅</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right="0"/>
        <w:jc w:val="center"/>
        <w:textAlignment w:val="auto"/>
        <w:outlineLvl w:val="9"/>
        <w:rPr>
          <w:rFonts w:hint="eastAsia" w:ascii="方正仿宋_GBK" w:hAnsi="方正仿宋_GBK" w:eastAsia="方正仿宋_GBK" w:cs="方正仿宋_GBK"/>
          <w:spacing w:val="0"/>
          <w:w w:val="100"/>
          <w:kern w:val="2"/>
          <w:position w:val="0"/>
          <w:sz w:val="44"/>
          <w:szCs w:val="44"/>
          <w:shd w:val="clear"/>
          <w:lang w:val="en-US" w:eastAsia="zh-CN" w:bidi="ar-SA"/>
        </w:rPr>
      </w:pPr>
      <w:r>
        <w:rPr>
          <w:rFonts w:hint="eastAsia" w:ascii="方正小标宋_GBK" w:hAnsi="方正小标宋_GBK" w:eastAsia="方正小标宋_GBK" w:cs="方正小标宋_GBK"/>
          <w:spacing w:val="0"/>
          <w:w w:val="100"/>
          <w:kern w:val="2"/>
          <w:position w:val="0"/>
          <w:sz w:val="44"/>
          <w:szCs w:val="44"/>
          <w:shd w:val="clear"/>
          <w:lang w:val="en-US" w:eastAsia="zh-CN" w:bidi="ar-SA"/>
        </w:rPr>
        <w:t>生态环境部办公厅 住房城乡建设部办公厅关于进一步加强废旧家电回收工作的通知</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right="0"/>
        <w:jc w:val="both"/>
        <w:textAlignment w:val="auto"/>
        <w:outlineLvl w:val="9"/>
        <w:rPr>
          <w:rFonts w:hint="eastAsia" w:ascii="方正楷体_GBK" w:hAnsi="方正楷体_GBK" w:eastAsia="方正楷体_GBK" w:cs="方正楷体_GBK"/>
          <w:sz w:val="28"/>
          <w:szCs w:val="28"/>
          <w:lang w:val="en" w:eastAsia="zh-CN"/>
        </w:rPr>
      </w:pP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right="0"/>
        <w:jc w:val="center"/>
        <w:textAlignment w:val="auto"/>
        <w:outlineLvl w:val="9"/>
        <w:rPr>
          <w:rFonts w:hint="eastAsia" w:ascii="方正楷体_GBK" w:hAnsi="方正楷体_GBK" w:eastAsia="方正楷体_GBK" w:cs="方正楷体_GBK"/>
          <w:sz w:val="28"/>
          <w:szCs w:val="28"/>
          <w:lang w:val="en" w:eastAsia="zh-CN"/>
        </w:rPr>
      </w:pPr>
      <w:r>
        <w:rPr>
          <w:rFonts w:hint="eastAsia" w:ascii="方正楷体_GBK" w:hAnsi="方正楷体_GBK" w:eastAsia="方正楷体_GBK" w:cs="方正楷体_GBK"/>
          <w:sz w:val="28"/>
          <w:szCs w:val="28"/>
          <w:lang w:val="en" w:eastAsia="zh-CN"/>
        </w:rPr>
        <w:t>（</w:t>
      </w:r>
      <w:r>
        <w:rPr>
          <w:rFonts w:hint="eastAsia" w:ascii="方正楷体_GBK" w:hAnsi="方正楷体_GBK" w:eastAsia="方正楷体_GBK" w:cs="方正楷体_GBK"/>
          <w:sz w:val="28"/>
          <w:szCs w:val="28"/>
          <w:lang w:val="en-US" w:eastAsia="zh-CN"/>
        </w:rPr>
        <w:t>商办流通函〔2022〕219号</w:t>
      </w:r>
      <w:r>
        <w:rPr>
          <w:rFonts w:hint="eastAsia" w:ascii="方正楷体_GBK" w:hAnsi="方正楷体_GBK" w:eastAsia="方正楷体_GBK" w:cs="方正楷体_GBK"/>
          <w:sz w:val="28"/>
          <w:szCs w:val="28"/>
          <w:lang w:val="en" w:eastAsia="zh-CN"/>
        </w:rPr>
        <w:t>）</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right="0"/>
        <w:jc w:val="both"/>
        <w:textAlignment w:val="auto"/>
        <w:outlineLvl w:val="9"/>
        <w:rPr>
          <w:rFonts w:hint="eastAsia" w:ascii="方正楷体_GBK" w:hAnsi="方正楷体_GBK" w:eastAsia="方正楷体_GBK" w:cs="方正楷体_GBK"/>
          <w:sz w:val="28"/>
          <w:szCs w:val="28"/>
          <w:lang w:val="en-US" w:eastAsia="zh-CN"/>
        </w:rPr>
      </w:pPr>
    </w:p>
    <w:p>
      <w:pPr>
        <w:keepNext w:val="0"/>
        <w:keepLines w:val="0"/>
        <w:shd w:val="clear"/>
        <w:bidi w:val="0"/>
        <w:spacing w:before="0" w:after="0" w:line="240" w:lineRule="auto"/>
        <w:ind w:right="0"/>
        <w:jc w:val="both"/>
        <w:rPr>
          <w:rFonts w:hint="eastAsia" w:ascii="方正仿宋_GBK" w:hAnsi="方正仿宋_GBK" w:eastAsia="方正仿宋_GBK" w:cs="方正仿宋_GBK"/>
          <w:spacing w:val="0"/>
          <w:w w:val="100"/>
          <w:kern w:val="2"/>
          <w:position w:val="0"/>
          <w:sz w:val="32"/>
          <w:szCs w:val="32"/>
          <w:shd w:val="clear"/>
          <w:lang w:val="en-US" w:eastAsia="zh-CN" w:bidi="ar-SA"/>
        </w:rPr>
      </w:pPr>
      <w:r>
        <w:rPr>
          <w:rFonts w:hint="eastAsia" w:ascii="方正仿宋_GBK" w:hAnsi="方正仿宋_GBK" w:eastAsia="方正仿宋_GBK" w:cs="方正仿宋_GBK"/>
          <w:spacing w:val="0"/>
          <w:w w:val="100"/>
          <w:kern w:val="2"/>
          <w:position w:val="0"/>
          <w:sz w:val="32"/>
          <w:szCs w:val="32"/>
          <w:shd w:val="clear"/>
          <w:lang w:val="en-US" w:eastAsia="zh-CN" w:bidi="ar-SA"/>
        </w:rPr>
        <w:t>各省、自治区、</w:t>
      </w:r>
      <w:r>
        <w:rPr>
          <w:rFonts w:hint="eastAsia" w:ascii="方正仿宋_GBK" w:hAnsi="方正仿宋_GBK" w:eastAsia="方正仿宋_GBK" w:cs="方正仿宋_GBK"/>
          <w:spacing w:val="0"/>
          <w:w w:val="100"/>
          <w:kern w:val="2"/>
          <w:position w:val="0"/>
          <w:sz w:val="32"/>
          <w:szCs w:val="32"/>
          <w:shd w:val="clear"/>
          <w:lang w:val="zh-CN" w:eastAsia="zh-CN" w:bidi="ar-SA"/>
        </w:rPr>
        <w:t>直辖</w:t>
      </w:r>
      <w:r>
        <w:rPr>
          <w:rFonts w:hint="eastAsia" w:ascii="方正仿宋_GBK" w:hAnsi="方正仿宋_GBK" w:eastAsia="方正仿宋_GBK" w:cs="方正仿宋_GBK"/>
          <w:spacing w:val="0"/>
          <w:w w:val="100"/>
          <w:kern w:val="2"/>
          <w:position w:val="0"/>
          <w:sz w:val="32"/>
          <w:szCs w:val="32"/>
          <w:shd w:val="clear"/>
          <w:lang w:val="en-US" w:eastAsia="zh-CN" w:bidi="ar-SA"/>
        </w:rPr>
        <w:t>市及计划单列市、新疆生产建设兵团商务、发展改革、生态环境、住房城乡建设（环境卫生）主管部门：</w:t>
      </w:r>
    </w:p>
    <w:p>
      <w:pPr>
        <w:keepNext w:val="0"/>
        <w:keepLines w:val="0"/>
        <w:shd w:val="clear"/>
        <w:bidi w:val="0"/>
        <w:spacing w:before="0" w:after="0" w:line="240" w:lineRule="auto"/>
        <w:ind w:right="0" w:firstLine="640" w:firstLineChars="200"/>
        <w:jc w:val="both"/>
        <w:rPr>
          <w:rFonts w:hint="eastAsia" w:ascii="方正仿宋_GBK" w:hAnsi="方正仿宋_GBK" w:eastAsia="方正仿宋_GBK" w:cs="方正仿宋_GBK"/>
          <w:spacing w:val="0"/>
          <w:w w:val="100"/>
          <w:kern w:val="2"/>
          <w:position w:val="0"/>
          <w:sz w:val="32"/>
          <w:szCs w:val="32"/>
          <w:shd w:val="clear"/>
          <w:lang w:val="en-US" w:eastAsia="zh-CN" w:bidi="ar-SA"/>
        </w:rPr>
      </w:pPr>
      <w:r>
        <w:rPr>
          <w:rFonts w:hint="eastAsia" w:ascii="方正仿宋_GBK" w:hAnsi="方正仿宋_GBK" w:eastAsia="方正仿宋_GBK" w:cs="方正仿宋_GBK"/>
          <w:spacing w:val="0"/>
          <w:w w:val="100"/>
          <w:kern w:val="2"/>
          <w:position w:val="0"/>
          <w:sz w:val="32"/>
          <w:szCs w:val="32"/>
          <w:shd w:val="clear"/>
          <w:lang w:val="en-US" w:eastAsia="zh-CN" w:bidi="ar-SA"/>
        </w:rPr>
        <w:t>为深入贯彻党中央、国务院关于促进家电消费的决策部署，落实《商务部等13部门关于促进绿色智能家电消费若干措施的通知》有关要求，促进废旧家电回收行业发展，现将有关工作通知如下：</w:t>
      </w:r>
      <w:bookmarkStart w:id="0" w:name="bookmark0"/>
    </w:p>
    <w:p>
      <w:pPr>
        <w:keepNext w:val="0"/>
        <w:keepLines w:val="0"/>
        <w:shd w:val="clear"/>
        <w:bidi w:val="0"/>
        <w:spacing w:before="0" w:after="0" w:line="240" w:lineRule="auto"/>
        <w:ind w:right="0" w:firstLine="640" w:firstLineChars="200"/>
        <w:jc w:val="both"/>
        <w:rPr>
          <w:rFonts w:hint="eastAsia" w:ascii="方正黑体_GBK" w:hAnsi="方正黑体_GBK" w:eastAsia="方正黑体_GBK" w:cs="方正黑体_GBK"/>
          <w:spacing w:val="0"/>
          <w:w w:val="100"/>
          <w:kern w:val="2"/>
          <w:position w:val="0"/>
          <w:sz w:val="32"/>
          <w:szCs w:val="32"/>
          <w:shd w:val="clear"/>
          <w:lang w:val="en-US" w:eastAsia="zh-CN" w:bidi="ar-SA"/>
        </w:rPr>
      </w:pPr>
      <w:r>
        <w:rPr>
          <w:rFonts w:hint="eastAsia" w:ascii="方正黑体_GBK" w:hAnsi="方正黑体_GBK" w:eastAsia="方正黑体_GBK" w:cs="方正黑体_GBK"/>
          <w:spacing w:val="0"/>
          <w:w w:val="100"/>
          <w:kern w:val="2"/>
          <w:position w:val="0"/>
          <w:sz w:val="32"/>
          <w:szCs w:val="32"/>
          <w:shd w:val="clear"/>
          <w:lang w:val="en-US" w:eastAsia="zh-CN" w:bidi="ar-SA"/>
        </w:rPr>
        <w:t>一</w:t>
      </w:r>
      <w:bookmarkEnd w:id="0"/>
      <w:r>
        <w:rPr>
          <w:rFonts w:hint="eastAsia" w:ascii="方正黑体_GBK" w:hAnsi="方正黑体_GBK" w:eastAsia="方正黑体_GBK" w:cs="方正黑体_GBK"/>
          <w:spacing w:val="0"/>
          <w:w w:val="100"/>
          <w:kern w:val="2"/>
          <w:position w:val="0"/>
          <w:sz w:val="32"/>
          <w:szCs w:val="32"/>
          <w:shd w:val="clear"/>
          <w:lang w:val="en-US" w:eastAsia="zh-CN" w:bidi="ar-SA"/>
        </w:rPr>
        <w:t>、发展多渠道回收</w:t>
      </w:r>
    </w:p>
    <w:p>
      <w:pPr>
        <w:keepNext w:val="0"/>
        <w:keepLines w:val="0"/>
        <w:shd w:val="clear"/>
        <w:bidi w:val="0"/>
        <w:spacing w:before="0" w:after="0" w:line="240" w:lineRule="auto"/>
        <w:ind w:right="0" w:firstLine="640" w:firstLineChars="200"/>
        <w:jc w:val="both"/>
        <w:rPr>
          <w:rFonts w:hint="eastAsia" w:ascii="方正仿宋_GBK" w:hAnsi="方正仿宋_GBK" w:eastAsia="方正仿宋_GBK" w:cs="方正仿宋_GBK"/>
          <w:spacing w:val="0"/>
          <w:w w:val="100"/>
          <w:kern w:val="2"/>
          <w:position w:val="0"/>
          <w:sz w:val="32"/>
          <w:szCs w:val="32"/>
          <w:shd w:val="clear"/>
          <w:lang w:val="en-US" w:eastAsia="zh-CN" w:bidi="ar-SA"/>
        </w:rPr>
      </w:pPr>
      <w:r>
        <w:rPr>
          <w:rFonts w:hint="eastAsia" w:ascii="方正仿宋_GBK" w:hAnsi="方正仿宋_GBK" w:eastAsia="方正仿宋_GBK" w:cs="方正仿宋_GBK"/>
          <w:spacing w:val="0"/>
          <w:w w:val="100"/>
          <w:kern w:val="2"/>
          <w:position w:val="0"/>
          <w:sz w:val="32"/>
          <w:szCs w:val="32"/>
          <w:shd w:val="clear"/>
          <w:lang w:val="en-US" w:eastAsia="zh-CN" w:bidi="ar-SA"/>
        </w:rPr>
        <w:t>各地要充分发挥家电生产、销售、回收、维修服务、拆解等企业的作用，培育多元化、规模化回收主体。引导废旧家电回收企业运用“互联网+回收</w:t>
      </w:r>
      <w:r>
        <w:rPr>
          <w:rFonts w:hint="eastAsia" w:ascii="方正仿宋_GBK" w:hAnsi="方正仿宋_GBK" w:eastAsia="方正仿宋_GBK" w:cs="方正仿宋_GBK"/>
          <w:spacing w:val="0"/>
          <w:w w:val="100"/>
          <w:kern w:val="2"/>
          <w:position w:val="0"/>
          <w:sz w:val="32"/>
          <w:szCs w:val="32"/>
          <w:shd w:val="clear"/>
          <w:lang w:val="zh-CN" w:eastAsia="zh-CN" w:bidi="ar-SA"/>
        </w:rPr>
        <w:t>”模式</w:t>
      </w:r>
      <w:r>
        <w:rPr>
          <w:rFonts w:hint="eastAsia" w:ascii="方正仿宋_GBK" w:hAnsi="方正仿宋_GBK" w:eastAsia="方正仿宋_GBK" w:cs="方正仿宋_GBK"/>
          <w:spacing w:val="0"/>
          <w:w w:val="100"/>
          <w:kern w:val="2"/>
          <w:position w:val="0"/>
          <w:sz w:val="32"/>
          <w:szCs w:val="32"/>
          <w:shd w:val="clear"/>
          <w:lang w:val="en-US" w:eastAsia="zh-CN" w:bidi="ar-SA"/>
        </w:rPr>
        <w:t>，实现线上交废与线下回收的有机结合，推动更多家电生产企业开展回收目标责任制行动，依托自身销售维修服务网络，加强与再生资源回收企业、家电拆解企业的合作, 科学设定年度回收量目标并完成目标任务。指导家电销售、维修服务等企业利用售新收旧渠道和家电维修服务网络，通过在社区、商场设立便民服务点等方式，积极拓展废旧家电回收业务，鼓励旧货经营市场主体充分利用现有收购渠道，提供旧家电收购</w:t>
      </w:r>
      <w:r>
        <w:rPr>
          <w:rFonts w:hint="eastAsia" w:ascii="方正仿宋_GBK" w:hAnsi="方正仿宋_GBK" w:eastAsia="方正仿宋_GBK" w:cs="方正仿宋_GBK"/>
          <w:spacing w:val="0"/>
          <w:w w:val="100"/>
          <w:kern w:val="2"/>
          <w:position w:val="0"/>
          <w:sz w:val="32"/>
          <w:szCs w:val="32"/>
          <w:shd w:val="clear"/>
          <w:lang w:val="zh-CN" w:eastAsia="zh-CN" w:bidi="ar-SA"/>
        </w:rPr>
        <w:t>服务。</w:t>
      </w:r>
      <w:r>
        <w:rPr>
          <w:rFonts w:hint="eastAsia" w:ascii="方正仿宋_GBK" w:hAnsi="方正仿宋_GBK" w:eastAsia="方正仿宋_GBK" w:cs="方正仿宋_GBK"/>
          <w:spacing w:val="0"/>
          <w:w w:val="100"/>
          <w:kern w:val="2"/>
          <w:position w:val="0"/>
          <w:sz w:val="32"/>
          <w:szCs w:val="32"/>
          <w:shd w:val="clear"/>
          <w:lang w:val="en-US" w:eastAsia="zh-CN" w:bidi="ar-SA"/>
        </w:rPr>
        <w:t>支持旧货市场开设旧家电收购服务热线、微信公众号等，便利居民出售旧家电。鼓励电子商务平台企业充分发挥物流配送渠道优势，通过开展家电以旧换新和家电下乡等活动，提供废旧家电回收便民服务。鼓励家电拆解企业提升技术水平，完善设施网络布局，加强与上游回收企业的合作</w:t>
      </w:r>
      <w:r>
        <w:rPr>
          <w:rFonts w:hint="eastAsia" w:ascii="方正仿宋_GBK" w:hAnsi="方正仿宋_GBK" w:eastAsia="方正仿宋_GBK" w:cs="方正仿宋_GBK"/>
          <w:spacing w:val="0"/>
          <w:w w:val="100"/>
          <w:kern w:val="2"/>
          <w:position w:val="0"/>
          <w:sz w:val="32"/>
          <w:szCs w:val="32"/>
          <w:shd w:val="clear"/>
          <w:lang w:val="zh-CN" w:eastAsia="zh-CN" w:bidi="ar-SA"/>
        </w:rPr>
        <w:t>对接。</w:t>
      </w:r>
    </w:p>
    <w:p>
      <w:pPr>
        <w:keepNext w:val="0"/>
        <w:keepLines w:val="0"/>
        <w:shd w:val="clear"/>
        <w:bidi w:val="0"/>
        <w:spacing w:before="0" w:after="0" w:line="240" w:lineRule="auto"/>
        <w:ind w:left="0" w:right="0" w:firstLine="640" w:firstLineChars="200"/>
        <w:jc w:val="both"/>
        <w:rPr>
          <w:rFonts w:hint="eastAsia" w:ascii="方正黑体_GBK" w:hAnsi="方正黑体_GBK" w:eastAsia="方正黑体_GBK" w:cs="方正黑体_GBK"/>
          <w:spacing w:val="0"/>
          <w:w w:val="100"/>
          <w:kern w:val="2"/>
          <w:position w:val="0"/>
          <w:sz w:val="32"/>
          <w:szCs w:val="32"/>
          <w:shd w:val="clear"/>
          <w:lang w:val="en-US" w:eastAsia="zh-CN" w:bidi="ar-SA"/>
        </w:rPr>
      </w:pPr>
      <w:bookmarkStart w:id="1" w:name="bookmark1"/>
      <w:r>
        <w:rPr>
          <w:rFonts w:hint="eastAsia" w:ascii="方正黑体_GBK" w:hAnsi="方正黑体_GBK" w:eastAsia="方正黑体_GBK" w:cs="方正黑体_GBK"/>
          <w:spacing w:val="0"/>
          <w:w w:val="100"/>
          <w:kern w:val="2"/>
          <w:position w:val="0"/>
          <w:sz w:val="32"/>
          <w:szCs w:val="32"/>
          <w:shd w:val="clear"/>
          <w:lang w:val="en-US" w:eastAsia="zh-CN" w:bidi="ar-SA"/>
        </w:rPr>
        <w:t>二</w:t>
      </w:r>
      <w:bookmarkEnd w:id="1"/>
      <w:r>
        <w:rPr>
          <w:rFonts w:hint="eastAsia" w:ascii="方正黑体_GBK" w:hAnsi="方正黑体_GBK" w:eastAsia="方正黑体_GBK" w:cs="方正黑体_GBK"/>
          <w:spacing w:val="0"/>
          <w:w w:val="100"/>
          <w:kern w:val="2"/>
          <w:position w:val="0"/>
          <w:sz w:val="32"/>
          <w:szCs w:val="32"/>
          <w:shd w:val="clear"/>
          <w:lang w:val="en-US" w:eastAsia="zh-CN" w:bidi="ar-SA"/>
        </w:rPr>
        <w:t>、加强回收设施网络规划</w:t>
      </w:r>
    </w:p>
    <w:p>
      <w:pPr>
        <w:keepNext w:val="0"/>
        <w:keepLines w:val="0"/>
        <w:shd w:val="clear"/>
        <w:bidi w:val="0"/>
        <w:spacing w:before="0" w:after="0" w:line="240" w:lineRule="auto"/>
        <w:ind w:left="0" w:right="0" w:firstLine="640" w:firstLineChars="200"/>
        <w:jc w:val="both"/>
        <w:rPr>
          <w:rFonts w:hint="eastAsia" w:ascii="方正仿宋_GBK" w:hAnsi="方正仿宋_GBK" w:eastAsia="方正仿宋_GBK" w:cs="方正仿宋_GBK"/>
          <w:spacing w:val="0"/>
          <w:w w:val="100"/>
          <w:kern w:val="2"/>
          <w:position w:val="0"/>
          <w:sz w:val="32"/>
          <w:szCs w:val="32"/>
          <w:shd w:val="clear"/>
          <w:lang w:val="en-US" w:eastAsia="zh-CN" w:bidi="ar-SA"/>
        </w:rPr>
      </w:pPr>
      <w:r>
        <w:rPr>
          <w:rFonts w:hint="eastAsia" w:ascii="方正仿宋_GBK" w:hAnsi="方正仿宋_GBK" w:eastAsia="方正仿宋_GBK" w:cs="方正仿宋_GBK"/>
          <w:spacing w:val="0"/>
          <w:w w:val="100"/>
          <w:kern w:val="2"/>
          <w:position w:val="0"/>
          <w:sz w:val="32"/>
          <w:szCs w:val="32"/>
          <w:shd w:val="clear"/>
          <w:lang w:val="en-US" w:eastAsia="zh-CN" w:bidi="ar-SA"/>
        </w:rPr>
        <w:t>各地要深入分析本地区废旧家电存量及家电更新消费需求，根据城市、农村的不同特点，依托废旧物资回收网络，开展废旧家电回收，逐歩实现回收网络城乡全覆盖。废旧家电回收设施网络可根据实际按以下原则规划。</w:t>
      </w:r>
      <w:bookmarkStart w:id="2" w:name="bookmark2"/>
    </w:p>
    <w:p>
      <w:pPr>
        <w:keepNext w:val="0"/>
        <w:keepLines w:val="0"/>
        <w:shd w:val="clear"/>
        <w:bidi w:val="0"/>
        <w:spacing w:before="0" w:after="0" w:line="240" w:lineRule="auto"/>
        <w:ind w:left="0" w:right="0" w:firstLine="640" w:firstLineChars="200"/>
        <w:jc w:val="both"/>
        <w:rPr>
          <w:rFonts w:hint="eastAsia" w:ascii="方正仿宋_GBK" w:hAnsi="方正仿宋_GBK" w:eastAsia="方正仿宋_GBK" w:cs="方正仿宋_GBK"/>
          <w:spacing w:val="0"/>
          <w:w w:val="100"/>
          <w:kern w:val="2"/>
          <w:position w:val="0"/>
          <w:sz w:val="32"/>
          <w:szCs w:val="32"/>
          <w:shd w:val="clear"/>
          <w:lang w:val="en-US" w:eastAsia="zh-CN" w:bidi="ar-SA"/>
        </w:rPr>
      </w:pPr>
      <w:r>
        <w:rPr>
          <w:rFonts w:hint="eastAsia" w:ascii="方正仿宋_GBK" w:hAnsi="方正仿宋_GBK" w:eastAsia="方正仿宋_GBK" w:cs="方正仿宋_GBK"/>
          <w:spacing w:val="0"/>
          <w:w w:val="100"/>
          <w:kern w:val="2"/>
          <w:position w:val="0"/>
          <w:sz w:val="32"/>
          <w:szCs w:val="32"/>
          <w:shd w:val="clear"/>
          <w:lang w:val="en-US" w:eastAsia="zh-CN" w:bidi="ar-SA"/>
        </w:rPr>
        <w:t>（</w:t>
      </w:r>
      <w:bookmarkEnd w:id="2"/>
      <w:r>
        <w:rPr>
          <w:rFonts w:hint="eastAsia" w:ascii="方正仿宋_GBK" w:hAnsi="方正仿宋_GBK" w:eastAsia="方正仿宋_GBK" w:cs="方正仿宋_GBK"/>
          <w:spacing w:val="0"/>
          <w:w w:val="100"/>
          <w:kern w:val="2"/>
          <w:position w:val="0"/>
          <w:sz w:val="32"/>
          <w:szCs w:val="32"/>
          <w:shd w:val="clear"/>
          <w:lang w:val="en-US" w:eastAsia="zh-CN" w:bidi="ar-SA"/>
        </w:rPr>
        <w:t xml:space="preserve">一）回收站点：覆盖附近3公里以内的居民社区，面积一般为 </w:t>
      </w:r>
      <w:r>
        <w:rPr>
          <w:rFonts w:hint="eastAsia" w:ascii="方正仿宋_GBK" w:hAnsi="方正仿宋_GBK" w:eastAsia="方正仿宋_GBK" w:cs="方正仿宋_GBK"/>
          <w:spacing w:val="0"/>
          <w:w w:val="100"/>
          <w:kern w:val="2"/>
          <w:position w:val="0"/>
          <w:sz w:val="32"/>
          <w:szCs w:val="32"/>
          <w:shd w:val="clear"/>
          <w:lang w:val="en-US" w:eastAsia="en-US" w:bidi="ar-SA"/>
        </w:rPr>
        <w:t>10</w:t>
      </w:r>
      <w:r>
        <w:rPr>
          <w:rFonts w:hint="eastAsia" w:ascii="方正仿宋_GBK" w:hAnsi="方正仿宋_GBK" w:eastAsia="方正仿宋_GBK" w:cs="方正仿宋_GBK"/>
          <w:spacing w:val="0"/>
          <w:w w:val="100"/>
          <w:kern w:val="2"/>
          <w:position w:val="0"/>
          <w:sz w:val="32"/>
          <w:szCs w:val="32"/>
          <w:shd w:val="clear"/>
          <w:lang w:val="en-US" w:eastAsia="zh-CN" w:bidi="ar-SA"/>
        </w:rPr>
        <w:t>—</w:t>
      </w:r>
      <w:r>
        <w:rPr>
          <w:rFonts w:hint="eastAsia" w:ascii="方正仿宋_GBK" w:hAnsi="方正仿宋_GBK" w:eastAsia="方正仿宋_GBK" w:cs="方正仿宋_GBK"/>
          <w:spacing w:val="0"/>
          <w:w w:val="100"/>
          <w:kern w:val="2"/>
          <w:position w:val="0"/>
          <w:sz w:val="32"/>
          <w:szCs w:val="32"/>
          <w:shd w:val="clear"/>
          <w:lang w:val="en-US" w:eastAsia="en-US" w:bidi="ar-SA"/>
        </w:rPr>
        <w:t>15</w:t>
      </w:r>
      <w:r>
        <w:rPr>
          <w:rFonts w:hint="eastAsia" w:ascii="方正仿宋_GBK" w:hAnsi="方正仿宋_GBK" w:eastAsia="方正仿宋_GBK" w:cs="方正仿宋_GBK"/>
          <w:spacing w:val="0"/>
          <w:w w:val="100"/>
          <w:kern w:val="2"/>
          <w:position w:val="0"/>
          <w:sz w:val="32"/>
          <w:szCs w:val="32"/>
          <w:shd w:val="clear"/>
          <w:lang w:val="en-US" w:eastAsia="zh-CN" w:bidi="ar-SA"/>
        </w:rPr>
        <w:t>平方米，可服务</w:t>
      </w:r>
      <w:r>
        <w:rPr>
          <w:rFonts w:hint="eastAsia" w:ascii="方正仿宋_GBK" w:hAnsi="方正仿宋_GBK" w:eastAsia="方正仿宋_GBK" w:cs="方正仿宋_GBK"/>
          <w:spacing w:val="0"/>
          <w:w w:val="100"/>
          <w:kern w:val="2"/>
          <w:position w:val="0"/>
          <w:sz w:val="32"/>
          <w:szCs w:val="32"/>
          <w:shd w:val="clear"/>
          <w:lang w:val="en-US" w:eastAsia="en-US" w:bidi="ar-SA"/>
        </w:rPr>
        <w:t>2000</w:t>
      </w:r>
      <w:r>
        <w:rPr>
          <w:rFonts w:hint="eastAsia" w:ascii="方正仿宋_GBK" w:hAnsi="方正仿宋_GBK" w:eastAsia="方正仿宋_GBK" w:cs="方正仿宋_GBK"/>
          <w:spacing w:val="0"/>
          <w:w w:val="100"/>
          <w:kern w:val="2"/>
          <w:position w:val="0"/>
          <w:sz w:val="32"/>
          <w:szCs w:val="32"/>
          <w:shd w:val="clear"/>
          <w:lang w:val="en-US" w:eastAsia="zh-CN" w:bidi="ar-SA"/>
        </w:rPr>
        <w:t>—</w:t>
      </w:r>
      <w:r>
        <w:rPr>
          <w:rFonts w:hint="eastAsia" w:ascii="方正仿宋_GBK" w:hAnsi="方正仿宋_GBK" w:eastAsia="方正仿宋_GBK" w:cs="方正仿宋_GBK"/>
          <w:spacing w:val="0"/>
          <w:w w:val="100"/>
          <w:kern w:val="2"/>
          <w:position w:val="0"/>
          <w:sz w:val="32"/>
          <w:szCs w:val="32"/>
          <w:shd w:val="clear"/>
          <w:lang w:val="en-US" w:eastAsia="en-US" w:bidi="ar-SA"/>
        </w:rPr>
        <w:t>3000</w:t>
      </w:r>
      <w:r>
        <w:rPr>
          <w:rFonts w:hint="eastAsia" w:ascii="方正仿宋_GBK" w:hAnsi="方正仿宋_GBK" w:eastAsia="方正仿宋_GBK" w:cs="方正仿宋_GBK"/>
          <w:spacing w:val="0"/>
          <w:w w:val="100"/>
          <w:kern w:val="2"/>
          <w:position w:val="0"/>
          <w:sz w:val="32"/>
          <w:szCs w:val="32"/>
          <w:shd w:val="clear"/>
          <w:lang w:val="en-US" w:eastAsia="zh-CN" w:bidi="ar-SA"/>
        </w:rPr>
        <w:t>户居民。</w:t>
      </w:r>
    </w:p>
    <w:p>
      <w:pPr>
        <w:keepNext w:val="0"/>
        <w:keepLines w:val="0"/>
        <w:shd w:val="clear"/>
        <w:bidi w:val="0"/>
        <w:spacing w:before="0" w:after="0" w:line="240" w:lineRule="auto"/>
        <w:ind w:left="0" w:right="0" w:firstLine="640" w:firstLineChars="200"/>
        <w:jc w:val="both"/>
        <w:rPr>
          <w:rFonts w:hint="eastAsia" w:ascii="方正仿宋_GBK" w:hAnsi="方正仿宋_GBK" w:eastAsia="方正仿宋_GBK" w:cs="方正仿宋_GBK"/>
          <w:spacing w:val="0"/>
          <w:w w:val="100"/>
          <w:kern w:val="2"/>
          <w:position w:val="0"/>
          <w:sz w:val="32"/>
          <w:szCs w:val="32"/>
          <w:shd w:val="clear"/>
          <w:lang w:val="en-US" w:eastAsia="zh-CN" w:bidi="ar-SA"/>
        </w:rPr>
      </w:pPr>
      <w:bookmarkStart w:id="3" w:name="bookmark3"/>
      <w:r>
        <w:rPr>
          <w:rFonts w:hint="eastAsia" w:ascii="方正仿宋_GBK" w:hAnsi="方正仿宋_GBK" w:eastAsia="方正仿宋_GBK" w:cs="方正仿宋_GBK"/>
          <w:spacing w:val="0"/>
          <w:w w:val="100"/>
          <w:kern w:val="2"/>
          <w:position w:val="0"/>
          <w:sz w:val="32"/>
          <w:szCs w:val="32"/>
          <w:shd w:val="clear"/>
          <w:lang w:val="en-US" w:eastAsia="zh-CN" w:bidi="ar-SA"/>
        </w:rPr>
        <w:t>（</w:t>
      </w:r>
      <w:bookmarkEnd w:id="3"/>
      <w:r>
        <w:rPr>
          <w:rFonts w:hint="eastAsia" w:ascii="方正仿宋_GBK" w:hAnsi="方正仿宋_GBK" w:eastAsia="方正仿宋_GBK" w:cs="方正仿宋_GBK"/>
          <w:spacing w:val="0"/>
          <w:w w:val="100"/>
          <w:kern w:val="2"/>
          <w:position w:val="0"/>
          <w:sz w:val="32"/>
          <w:szCs w:val="32"/>
          <w:shd w:val="clear"/>
          <w:lang w:val="en-US" w:eastAsia="zh-CN" w:bidi="ar-SA"/>
        </w:rPr>
        <w:t>二）中转站：履盖10—30公里以内的回收站点，面积一般为 100平方米左右。</w:t>
      </w:r>
    </w:p>
    <w:p>
      <w:pPr>
        <w:keepNext w:val="0"/>
        <w:keepLines w:val="0"/>
        <w:shd w:val="clear"/>
        <w:bidi w:val="0"/>
        <w:spacing w:before="0" w:after="0" w:line="240" w:lineRule="auto"/>
        <w:ind w:left="0" w:right="0" w:firstLine="640" w:firstLineChars="200"/>
        <w:jc w:val="both"/>
        <w:rPr>
          <w:rFonts w:hint="eastAsia" w:ascii="方正仿宋_GBK" w:hAnsi="方正仿宋_GBK" w:eastAsia="方正仿宋_GBK" w:cs="方正仿宋_GBK"/>
          <w:spacing w:val="0"/>
          <w:w w:val="100"/>
          <w:kern w:val="2"/>
          <w:position w:val="0"/>
          <w:sz w:val="32"/>
          <w:szCs w:val="32"/>
          <w:shd w:val="clear"/>
          <w:lang w:val="en-US" w:eastAsia="zh-CN" w:bidi="ar-SA"/>
        </w:rPr>
      </w:pPr>
      <w:bookmarkStart w:id="4" w:name="bookmark4"/>
      <w:r>
        <w:rPr>
          <w:rFonts w:hint="eastAsia" w:ascii="方正仿宋_GBK" w:hAnsi="方正仿宋_GBK" w:eastAsia="方正仿宋_GBK" w:cs="方正仿宋_GBK"/>
          <w:spacing w:val="0"/>
          <w:w w:val="100"/>
          <w:kern w:val="2"/>
          <w:position w:val="0"/>
          <w:sz w:val="32"/>
          <w:szCs w:val="32"/>
          <w:shd w:val="clear"/>
          <w:lang w:val="en-US" w:eastAsia="zh-CN" w:bidi="ar-SA"/>
        </w:rPr>
        <w:t>（</w:t>
      </w:r>
      <w:bookmarkEnd w:id="4"/>
      <w:r>
        <w:rPr>
          <w:rFonts w:hint="eastAsia" w:ascii="方正仿宋_GBK" w:hAnsi="方正仿宋_GBK" w:eastAsia="方正仿宋_GBK" w:cs="方正仿宋_GBK"/>
          <w:spacing w:val="0"/>
          <w:w w:val="100"/>
          <w:kern w:val="2"/>
          <w:position w:val="0"/>
          <w:sz w:val="32"/>
          <w:szCs w:val="32"/>
          <w:shd w:val="clear"/>
          <w:lang w:val="en-US" w:eastAsia="zh-CN" w:bidi="ar-SA"/>
        </w:rPr>
        <w:t>三）集散转运中心：覆盖</w:t>
      </w:r>
      <w:r>
        <w:rPr>
          <w:rFonts w:hint="eastAsia" w:ascii="方正仿宋_GBK" w:hAnsi="方正仿宋_GBK" w:eastAsia="方正仿宋_GBK" w:cs="方正仿宋_GBK"/>
          <w:spacing w:val="0"/>
          <w:w w:val="100"/>
          <w:kern w:val="2"/>
          <w:position w:val="0"/>
          <w:sz w:val="32"/>
          <w:szCs w:val="32"/>
          <w:shd w:val="clear"/>
          <w:lang w:val="en-US" w:eastAsia="en-US" w:bidi="ar-SA"/>
        </w:rPr>
        <w:t>30-60</w:t>
      </w:r>
      <w:r>
        <w:rPr>
          <w:rFonts w:hint="eastAsia" w:ascii="方正仿宋_GBK" w:hAnsi="方正仿宋_GBK" w:eastAsia="方正仿宋_GBK" w:cs="方正仿宋_GBK"/>
          <w:spacing w:val="0"/>
          <w:w w:val="100"/>
          <w:kern w:val="2"/>
          <w:position w:val="0"/>
          <w:sz w:val="32"/>
          <w:szCs w:val="32"/>
          <w:shd w:val="clear"/>
          <w:lang w:val="en-US" w:eastAsia="zh-CN" w:bidi="ar-SA"/>
        </w:rPr>
        <w:t>公里以内的中转站，中东部地区一般不少于500平方米，西部地区一般不少于400平方米。</w:t>
      </w:r>
    </w:p>
    <w:p>
      <w:pPr>
        <w:keepNext w:val="0"/>
        <w:keepLines w:val="0"/>
        <w:shd w:val="clear"/>
        <w:bidi w:val="0"/>
        <w:spacing w:before="0" w:after="0" w:line="240" w:lineRule="auto"/>
        <w:ind w:left="0" w:right="0" w:firstLine="640" w:firstLineChars="200"/>
        <w:jc w:val="both"/>
        <w:rPr>
          <w:rFonts w:hint="eastAsia" w:ascii="方正黑体_GBK" w:hAnsi="方正黑体_GBK" w:eastAsia="方正黑体_GBK" w:cs="方正黑体_GBK"/>
          <w:spacing w:val="0"/>
          <w:w w:val="100"/>
          <w:kern w:val="2"/>
          <w:position w:val="0"/>
          <w:sz w:val="32"/>
          <w:szCs w:val="32"/>
          <w:shd w:val="clear"/>
          <w:lang w:val="en-US" w:eastAsia="zh-CN" w:bidi="ar-SA"/>
        </w:rPr>
      </w:pPr>
      <w:bookmarkStart w:id="5" w:name="bookmark5"/>
      <w:r>
        <w:rPr>
          <w:rFonts w:hint="eastAsia" w:ascii="方正黑体_GBK" w:hAnsi="方正黑体_GBK" w:eastAsia="方正黑体_GBK" w:cs="方正黑体_GBK"/>
          <w:spacing w:val="0"/>
          <w:w w:val="100"/>
          <w:kern w:val="2"/>
          <w:position w:val="0"/>
          <w:sz w:val="32"/>
          <w:szCs w:val="32"/>
          <w:shd w:val="clear"/>
          <w:lang w:val="en-US" w:eastAsia="zh-CN" w:bidi="ar-SA"/>
        </w:rPr>
        <w:t>三</w:t>
      </w:r>
      <w:bookmarkEnd w:id="5"/>
      <w:r>
        <w:rPr>
          <w:rFonts w:hint="eastAsia" w:ascii="方正黑体_GBK" w:hAnsi="方正黑体_GBK" w:eastAsia="方正黑体_GBK" w:cs="方正黑体_GBK"/>
          <w:spacing w:val="0"/>
          <w:w w:val="100"/>
          <w:kern w:val="2"/>
          <w:position w:val="0"/>
          <w:sz w:val="32"/>
          <w:szCs w:val="32"/>
          <w:shd w:val="clear"/>
          <w:lang w:val="en-US" w:eastAsia="zh-CN" w:bidi="ar-SA"/>
        </w:rPr>
        <w:t>、提升经营服务能力</w:t>
      </w:r>
    </w:p>
    <w:p>
      <w:pPr>
        <w:keepNext w:val="0"/>
        <w:keepLines w:val="0"/>
        <w:shd w:val="clear"/>
        <w:bidi w:val="0"/>
        <w:spacing w:before="0" w:after="0" w:line="240" w:lineRule="auto"/>
        <w:ind w:left="0" w:right="0" w:firstLine="640" w:firstLineChars="200"/>
        <w:jc w:val="both"/>
        <w:rPr>
          <w:rFonts w:hint="eastAsia" w:ascii="方正仿宋_GBK" w:hAnsi="方正仿宋_GBK" w:eastAsia="方正仿宋_GBK" w:cs="方正仿宋_GBK"/>
          <w:spacing w:val="0"/>
          <w:w w:val="100"/>
          <w:kern w:val="2"/>
          <w:position w:val="0"/>
          <w:sz w:val="32"/>
          <w:szCs w:val="32"/>
          <w:shd w:val="clear"/>
          <w:lang w:val="en-US" w:eastAsia="zh-CN" w:bidi="ar-SA"/>
        </w:rPr>
      </w:pPr>
      <w:r>
        <w:rPr>
          <w:rFonts w:hint="eastAsia" w:ascii="方正仿宋_GBK" w:hAnsi="方正仿宋_GBK" w:eastAsia="方正仿宋_GBK" w:cs="方正仿宋_GBK"/>
          <w:spacing w:val="0"/>
          <w:w w:val="100"/>
          <w:kern w:val="2"/>
          <w:position w:val="0"/>
          <w:sz w:val="32"/>
          <w:szCs w:val="32"/>
          <w:shd w:val="clear"/>
          <w:lang w:val="en-US" w:eastAsia="zh-CN" w:bidi="ar-SA"/>
        </w:rPr>
        <w:t>各地要引导家电回收企业</w:t>
      </w:r>
      <w:r>
        <w:rPr>
          <w:rFonts w:hint="eastAsia" w:ascii="方正仿宋_GBK" w:hAnsi="方正仿宋_GBK" w:eastAsia="方正仿宋_GBK" w:cs="方正仿宋_GBK"/>
          <w:spacing w:val="0"/>
          <w:w w:val="100"/>
          <w:kern w:val="2"/>
          <w:position w:val="0"/>
          <w:sz w:val="32"/>
          <w:szCs w:val="32"/>
          <w:shd w:val="clear"/>
          <w:lang w:val="zh-CN" w:eastAsia="zh-CN" w:bidi="ar-SA"/>
        </w:rPr>
        <w:t>等市</w:t>
      </w:r>
      <w:r>
        <w:rPr>
          <w:rFonts w:hint="eastAsia" w:ascii="方正仿宋_GBK" w:hAnsi="方正仿宋_GBK" w:eastAsia="方正仿宋_GBK" w:cs="方正仿宋_GBK"/>
          <w:spacing w:val="0"/>
          <w:w w:val="100"/>
          <w:kern w:val="2"/>
          <w:position w:val="0"/>
          <w:sz w:val="32"/>
          <w:szCs w:val="32"/>
          <w:shd w:val="clear"/>
          <w:lang w:val="en-US" w:eastAsia="zh-CN" w:bidi="ar-SA"/>
        </w:rPr>
        <w:t>场主体向消费者提供免费上门回收和拆装等服务，鼓励其根据废旧家电产品种类和资源环境属性实行明码标价，做到相关价格信息公开透明。指导企业健全家电回收信息登记制度，按照家电品类、品牌、型号、机身序列号、数量、重量等建立台账，记录来源、储存、运输、流向等信息，支持企业提升仓储设施条件，合理划分仓储区域，做到分区分类存放、标识淸晰。预留符合规定的消防通道，确保存储场地周边不存在焚烧炉、蒸汽管道、加热盘管等明火和热源。指导企业加强装卸搬运运输管理，选择合理适宜的容器、包装物和工具，避免因废旧家电损坏、跌落、泄漏等向自然环境释放有毒有害物质，危害人体健康安全。指导企业开展从业人员技能培训，提升上门回收拆卸废旧家电技术水平。</w:t>
      </w:r>
    </w:p>
    <w:p>
      <w:pPr>
        <w:keepNext w:val="0"/>
        <w:keepLines w:val="0"/>
        <w:shd w:val="clear"/>
        <w:bidi w:val="0"/>
        <w:spacing w:before="0" w:after="0" w:line="240" w:lineRule="auto"/>
        <w:ind w:left="0" w:right="0" w:firstLine="640" w:firstLineChars="200"/>
        <w:jc w:val="both"/>
        <w:rPr>
          <w:rFonts w:hint="eastAsia" w:ascii="方正黑体_GBK" w:hAnsi="方正黑体_GBK" w:eastAsia="方正黑体_GBK" w:cs="方正黑体_GBK"/>
          <w:spacing w:val="0"/>
          <w:w w:val="100"/>
          <w:kern w:val="2"/>
          <w:position w:val="0"/>
          <w:sz w:val="32"/>
          <w:szCs w:val="32"/>
          <w:shd w:val="clear"/>
          <w:lang w:val="en-US" w:eastAsia="zh-CN" w:bidi="ar-SA"/>
        </w:rPr>
      </w:pPr>
      <w:bookmarkStart w:id="6" w:name="bookmark6"/>
      <w:r>
        <w:rPr>
          <w:rFonts w:hint="eastAsia" w:ascii="方正黑体_GBK" w:hAnsi="方正黑体_GBK" w:eastAsia="方正黑体_GBK" w:cs="方正黑体_GBK"/>
          <w:spacing w:val="0"/>
          <w:w w:val="100"/>
          <w:kern w:val="2"/>
          <w:position w:val="0"/>
          <w:sz w:val="32"/>
          <w:szCs w:val="32"/>
          <w:shd w:val="clear"/>
          <w:lang w:val="en-US" w:eastAsia="zh-CN" w:bidi="ar-SA"/>
        </w:rPr>
        <w:t>四</w:t>
      </w:r>
      <w:bookmarkEnd w:id="6"/>
      <w:r>
        <w:rPr>
          <w:rFonts w:hint="eastAsia" w:ascii="方正黑体_GBK" w:hAnsi="方正黑体_GBK" w:eastAsia="方正黑体_GBK" w:cs="方正黑体_GBK"/>
          <w:spacing w:val="0"/>
          <w:w w:val="100"/>
          <w:kern w:val="2"/>
          <w:position w:val="0"/>
          <w:sz w:val="32"/>
          <w:szCs w:val="32"/>
          <w:shd w:val="clear"/>
          <w:lang w:val="en-US" w:eastAsia="zh-CN" w:bidi="ar-SA"/>
        </w:rPr>
        <w:t>、加强废旧家电回收行业管理</w:t>
      </w:r>
    </w:p>
    <w:p>
      <w:pPr>
        <w:keepNext w:val="0"/>
        <w:keepLines w:val="0"/>
        <w:shd w:val="clear"/>
        <w:bidi w:val="0"/>
        <w:spacing w:before="0" w:after="0" w:line="240" w:lineRule="auto"/>
        <w:ind w:left="0" w:right="0" w:firstLine="640" w:firstLineChars="200"/>
        <w:jc w:val="both"/>
        <w:rPr>
          <w:rFonts w:hint="eastAsia" w:ascii="方正仿宋_GBK" w:hAnsi="方正仿宋_GBK" w:eastAsia="方正仿宋_GBK" w:cs="方正仿宋_GBK"/>
          <w:spacing w:val="0"/>
          <w:w w:val="100"/>
          <w:kern w:val="2"/>
          <w:position w:val="0"/>
          <w:sz w:val="32"/>
          <w:szCs w:val="32"/>
          <w:shd w:val="clear"/>
          <w:lang w:val="en-US" w:eastAsia="zh-CN" w:bidi="ar-SA"/>
        </w:rPr>
      </w:pPr>
      <w:r>
        <w:rPr>
          <w:rFonts w:hint="eastAsia" w:ascii="方正仿宋_GBK" w:hAnsi="方正仿宋_GBK" w:eastAsia="方正仿宋_GBK" w:cs="方正仿宋_GBK"/>
          <w:spacing w:val="0"/>
          <w:w w:val="100"/>
          <w:kern w:val="2"/>
          <w:position w:val="0"/>
          <w:sz w:val="32"/>
          <w:szCs w:val="32"/>
          <w:shd w:val="clear"/>
          <w:lang w:val="en-US" w:eastAsia="zh-CN" w:bidi="ar-SA"/>
        </w:rPr>
        <w:t>各地要完善再生资源回收经营者备案管理制度，按照《再生资源回收管理办法》有关规定，督促开展废弃家电回收业务的法人单位，完成再生资源回收经营者备案。规范旧家电流通管理，加强</w:t>
      </w:r>
      <w:r>
        <w:rPr>
          <w:rFonts w:hint="eastAsia" w:ascii="方正仿宋_GBK" w:hAnsi="方正仿宋_GBK" w:eastAsia="方正仿宋_GBK" w:cs="方正仿宋_GBK"/>
          <w:spacing w:val="0"/>
          <w:w w:val="100"/>
          <w:kern w:val="2"/>
          <w:position w:val="0"/>
          <w:sz w:val="32"/>
          <w:szCs w:val="32"/>
          <w:shd w:val="clear"/>
          <w:lang w:val="zh-CN" w:eastAsia="zh-CN" w:bidi="ar-SA"/>
        </w:rPr>
        <w:t>《旧电</w:t>
      </w:r>
      <w:r>
        <w:rPr>
          <w:rFonts w:hint="eastAsia" w:ascii="方正仿宋_GBK" w:hAnsi="方正仿宋_GBK" w:eastAsia="方正仿宋_GBK" w:cs="方正仿宋_GBK"/>
          <w:spacing w:val="0"/>
          <w:w w:val="100"/>
          <w:kern w:val="2"/>
          <w:position w:val="0"/>
          <w:sz w:val="32"/>
          <w:szCs w:val="32"/>
          <w:shd w:val="clear"/>
          <w:lang w:val="en-US" w:eastAsia="zh-CN" w:bidi="ar-SA"/>
        </w:rPr>
        <w:t>器电子产品流通管理办法》宣传贯彻实施。规范废弃家电拆解处理行为，依法打击非法拆解行为，未取得废弃电器电子产品处理资格的企业，不得进行拆解、碾压、破碎等操作。积极发挥行业协会在标准宣贯、人才培训、行业交流、行业自律等方面的作用，进一步提升废旧家电规范回收水平。探索建立家电回收公共服务平台，并与废弃电器电子产品处理信息对接，逐步实现废旧家电回收处理信息可追溯。</w:t>
      </w:r>
    </w:p>
    <w:p>
      <w:pPr>
        <w:keepNext w:val="0"/>
        <w:keepLines w:val="0"/>
        <w:shd w:val="clear"/>
        <w:bidi w:val="0"/>
        <w:spacing w:before="0" w:after="0" w:line="240" w:lineRule="auto"/>
        <w:ind w:left="0" w:right="0" w:firstLine="640" w:firstLineChars="200"/>
        <w:jc w:val="both"/>
        <w:rPr>
          <w:rFonts w:hint="eastAsia" w:ascii="方正黑体_GBK" w:hAnsi="方正黑体_GBK" w:eastAsia="方正黑体_GBK" w:cs="方正黑体_GBK"/>
          <w:spacing w:val="0"/>
          <w:w w:val="100"/>
          <w:kern w:val="2"/>
          <w:position w:val="0"/>
          <w:sz w:val="32"/>
          <w:szCs w:val="32"/>
          <w:shd w:val="clear"/>
          <w:lang w:val="en-US" w:eastAsia="zh-CN" w:bidi="ar-SA"/>
        </w:rPr>
      </w:pPr>
      <w:r>
        <w:rPr>
          <w:rFonts w:hint="eastAsia" w:ascii="方正黑体_GBK" w:hAnsi="方正黑体_GBK" w:eastAsia="方正黑体_GBK" w:cs="方正黑体_GBK"/>
          <w:spacing w:val="0"/>
          <w:w w:val="100"/>
          <w:kern w:val="2"/>
          <w:position w:val="0"/>
          <w:sz w:val="32"/>
          <w:szCs w:val="32"/>
          <w:shd w:val="clear"/>
          <w:lang w:val="en-US" w:eastAsia="zh-CN" w:bidi="ar-SA"/>
        </w:rPr>
        <w:t>五、完善保障措施</w:t>
      </w:r>
    </w:p>
    <w:p>
      <w:pPr>
        <w:keepNext w:val="0"/>
        <w:keepLines w:val="0"/>
        <w:shd w:val="clear"/>
        <w:bidi w:val="0"/>
        <w:spacing w:before="0" w:after="0" w:line="240" w:lineRule="auto"/>
        <w:ind w:left="0" w:right="0" w:firstLine="640" w:firstLineChars="200"/>
        <w:jc w:val="both"/>
        <w:rPr>
          <w:rFonts w:hint="eastAsia" w:ascii="方正仿宋_GBK" w:hAnsi="方正仿宋_GBK" w:eastAsia="方正仿宋_GBK" w:cs="方正仿宋_GBK"/>
          <w:spacing w:val="0"/>
          <w:w w:val="100"/>
          <w:kern w:val="2"/>
          <w:position w:val="0"/>
          <w:sz w:val="32"/>
          <w:szCs w:val="32"/>
          <w:shd w:val="clear"/>
          <w:lang w:val="en-US" w:eastAsia="zh-CN" w:bidi="ar-SA"/>
        </w:rPr>
      </w:pPr>
      <w:r>
        <w:rPr>
          <w:rFonts w:hint="eastAsia" w:ascii="方正仿宋_GBK" w:hAnsi="方正仿宋_GBK" w:eastAsia="方正仿宋_GBK" w:cs="方正仿宋_GBK"/>
          <w:spacing w:val="0"/>
          <w:w w:val="100"/>
          <w:kern w:val="2"/>
          <w:position w:val="0"/>
          <w:sz w:val="32"/>
          <w:szCs w:val="32"/>
          <w:shd w:val="clear"/>
          <w:lang w:val="en-US" w:eastAsia="zh-CN" w:bidi="ar-SA"/>
        </w:rPr>
        <w:t>各地要将废旧家电回收站点、中转站、集散转运中心等相关设施建设纳入城市建设规划，保障合理用地需求，对废旧家电回收车辆进社区给予保障，加强生活垃圾分类收运体系与废旧家电回收体系的街接和融合，促进城乡废旧家电回收设施功能完备。各地可积极统筹用好县域商业建设行动等相关资金，引导企业以县城、乡镇为重点，改造提升废旧家电回收服务网点。</w:t>
      </w:r>
    </w:p>
    <w:p>
      <w:pPr>
        <w:keepNext w:val="0"/>
        <w:keepLines w:val="0"/>
        <w:shd w:val="clear"/>
        <w:bidi w:val="0"/>
        <w:spacing w:before="0" w:after="0" w:line="240" w:lineRule="auto"/>
        <w:ind w:left="0" w:right="0" w:firstLine="640" w:firstLineChars="200"/>
        <w:jc w:val="both"/>
        <w:rPr>
          <w:rFonts w:hint="eastAsia" w:ascii="方正仿宋_GBK" w:hAnsi="方正仿宋_GBK" w:eastAsia="方正仿宋_GBK" w:cs="方正仿宋_GBK"/>
          <w:spacing w:val="0"/>
          <w:w w:val="100"/>
          <w:kern w:val="2"/>
          <w:position w:val="0"/>
          <w:sz w:val="32"/>
          <w:szCs w:val="32"/>
          <w:shd w:val="clear"/>
          <w:lang w:val="en-US" w:eastAsia="zh-CN" w:bidi="ar-SA"/>
        </w:rPr>
      </w:pPr>
      <w:r>
        <w:rPr>
          <w:rFonts w:hint="eastAsia" w:ascii="方正仿宋_GBK" w:hAnsi="方正仿宋_GBK" w:eastAsia="方正仿宋_GBK" w:cs="方正仿宋_GBK"/>
          <w:spacing w:val="0"/>
          <w:w w:val="100"/>
          <w:kern w:val="2"/>
          <w:position w:val="0"/>
          <w:sz w:val="32"/>
          <w:szCs w:val="32"/>
          <w:shd w:val="clear"/>
          <w:lang w:val="en-US" w:eastAsia="zh-CN" w:bidi="ar-SA"/>
        </w:rPr>
        <w:t>各地商务、发展改革、生态环境、住房和城乡建设（环境卫生）等部门，按照职责分工做好废旧家电回收、回收目标责任制、废弃家电拆解、回收企业进社区各项工作，形成工作合力。要进一步摸清本地区废旧家电回收相关企业基本情况，按季度汇总废旧家电回收、销售、拆解处理等情况（详见附件），于每季度结束后15日内以电子邮件方式报商务部（流通发展司）,并抄报有关部门。</w:t>
      </w:r>
    </w:p>
    <w:p>
      <w:pPr>
        <w:keepNext w:val="0"/>
        <w:keepLines w:val="0"/>
        <w:shd w:val="clear"/>
        <w:bidi w:val="0"/>
        <w:spacing w:before="0" w:after="0" w:line="240" w:lineRule="auto"/>
        <w:ind w:left="0" w:right="0" w:firstLine="640" w:firstLineChars="200"/>
        <w:jc w:val="both"/>
        <w:rPr>
          <w:rFonts w:hint="eastAsia" w:ascii="方正仿宋_GBK" w:hAnsi="方正仿宋_GBK" w:eastAsia="方正仿宋_GBK" w:cs="方正仿宋_GBK"/>
          <w:spacing w:val="0"/>
          <w:w w:val="100"/>
          <w:kern w:val="2"/>
          <w:position w:val="0"/>
          <w:sz w:val="32"/>
          <w:szCs w:val="32"/>
          <w:shd w:val="clear"/>
          <w:lang w:val="en-US" w:eastAsia="zh-CN" w:bidi="ar-SA"/>
        </w:rPr>
      </w:pPr>
      <w:r>
        <w:rPr>
          <w:rFonts w:hint="eastAsia" w:ascii="方正仿宋_GBK" w:hAnsi="方正仿宋_GBK" w:eastAsia="方正仿宋_GBK" w:cs="方正仿宋_GBK"/>
          <w:spacing w:val="0"/>
          <w:w w:val="100"/>
          <w:kern w:val="2"/>
          <w:position w:val="0"/>
          <w:sz w:val="32"/>
          <w:szCs w:val="32"/>
          <w:shd w:val="clear"/>
          <w:lang w:val="en-US" w:eastAsia="zh-CN" w:bidi="ar-SA"/>
        </w:rPr>
        <w:t>联系电话：010-85093765/3760</w:t>
      </w:r>
      <w:r>
        <w:rPr>
          <w:rFonts w:hint="eastAsia" w:ascii="方正仿宋_GBK" w:hAnsi="方正仿宋_GBK" w:eastAsia="方正仿宋_GBK" w:cs="方正仿宋_GBK"/>
          <w:spacing w:val="0"/>
          <w:w w:val="100"/>
          <w:kern w:val="2"/>
          <w:position w:val="0"/>
          <w:sz w:val="32"/>
          <w:szCs w:val="32"/>
          <w:shd w:val="clear"/>
          <w:lang w:val="en-US" w:eastAsia="zh-CN" w:bidi="ar-SA"/>
        </w:rPr>
        <w:tab/>
      </w:r>
    </w:p>
    <w:p>
      <w:pPr>
        <w:keepNext w:val="0"/>
        <w:keepLines w:val="0"/>
        <w:shd w:val="clear"/>
        <w:bidi w:val="0"/>
        <w:spacing w:before="0" w:after="0" w:line="240" w:lineRule="auto"/>
        <w:ind w:left="0" w:right="0" w:firstLine="640" w:firstLineChars="200"/>
        <w:jc w:val="both"/>
        <w:rPr>
          <w:rFonts w:hint="eastAsia" w:ascii="方正仿宋_GBK" w:hAnsi="方正仿宋_GBK" w:eastAsia="方正仿宋_GBK" w:cs="方正仿宋_GBK"/>
          <w:spacing w:val="0"/>
          <w:w w:val="100"/>
          <w:kern w:val="2"/>
          <w:position w:val="0"/>
          <w:sz w:val="32"/>
          <w:szCs w:val="32"/>
          <w:shd w:val="clear"/>
          <w:lang w:val="en-US" w:eastAsia="en-US" w:bidi="ar-SA"/>
        </w:rPr>
      </w:pPr>
      <w:r>
        <w:rPr>
          <w:rFonts w:hint="eastAsia" w:ascii="方正仿宋_GBK" w:hAnsi="方正仿宋_GBK" w:eastAsia="方正仿宋_GBK" w:cs="方正仿宋_GBK"/>
          <w:spacing w:val="0"/>
          <w:w w:val="100"/>
          <w:kern w:val="2"/>
          <w:position w:val="0"/>
          <w:sz w:val="32"/>
          <w:szCs w:val="32"/>
          <w:shd w:val="clear"/>
          <w:lang w:val="en-US" w:eastAsia="zh-CN" w:bidi="ar-SA"/>
        </w:rPr>
        <w:t>邮箱：</w:t>
      </w:r>
      <w:r>
        <w:rPr>
          <w:rFonts w:hint="eastAsia" w:ascii="方正仿宋_GBK" w:hAnsi="方正仿宋_GBK" w:eastAsia="方正仿宋_GBK" w:cs="方正仿宋_GBK"/>
          <w:color w:val="auto"/>
          <w:spacing w:val="0"/>
          <w:w w:val="100"/>
          <w:kern w:val="2"/>
          <w:position w:val="0"/>
          <w:sz w:val="32"/>
          <w:szCs w:val="32"/>
          <w:u w:val="none"/>
          <w:shd w:val="clear"/>
          <w:lang w:val="en-US" w:eastAsia="en-US" w:bidi="ar-SA"/>
        </w:rPr>
        <w:t>lthuishou@mofcom.gov.cn</w:t>
      </w:r>
      <w:bookmarkStart w:id="7" w:name="_GoBack"/>
      <w:bookmarkEnd w:id="7"/>
    </w:p>
    <w:p>
      <w:pPr>
        <w:keepNext w:val="0"/>
        <w:keepLines w:val="0"/>
        <w:shd w:val="clear"/>
        <w:bidi w:val="0"/>
        <w:spacing w:before="0" w:after="0" w:line="240" w:lineRule="auto"/>
        <w:ind w:left="0" w:right="0" w:firstLine="420" w:firstLineChars="200"/>
        <w:jc w:val="both"/>
        <w:rPr>
          <w:rFonts w:hint="eastAsia" w:ascii="方正仿宋_GBK" w:hAnsi="方正仿宋_GBK" w:eastAsia="方正仿宋_GBK" w:cs="方正仿宋_GBK"/>
          <w:spacing w:val="0"/>
          <w:w w:val="100"/>
          <w:kern w:val="2"/>
          <w:position w:val="0"/>
          <w:sz w:val="21"/>
          <w:szCs w:val="21"/>
          <w:shd w:val="clear"/>
          <w:lang w:val="en-US" w:eastAsia="zh-CN" w:bidi="ar-SA"/>
        </w:rPr>
      </w:pPr>
    </w:p>
    <w:p>
      <w:pPr>
        <w:keepNext w:val="0"/>
        <w:keepLines w:val="0"/>
        <w:shd w:val="clear"/>
        <w:bidi w:val="0"/>
        <w:spacing w:before="0" w:after="0" w:line="240" w:lineRule="auto"/>
        <w:ind w:left="0" w:right="0" w:firstLine="640" w:firstLineChars="200"/>
        <w:jc w:val="both"/>
        <w:rPr>
          <w:rFonts w:hint="eastAsia" w:ascii="方正仿宋_GBK" w:hAnsi="方正仿宋_GBK" w:eastAsia="方正仿宋_GBK" w:cs="方正仿宋_GBK"/>
          <w:spacing w:val="0"/>
          <w:w w:val="100"/>
          <w:kern w:val="2"/>
          <w:position w:val="0"/>
          <w:sz w:val="32"/>
          <w:szCs w:val="32"/>
          <w:shd w:val="clear"/>
          <w:lang w:val="en-US" w:eastAsia="zh-CN" w:bidi="ar-SA"/>
        </w:rPr>
      </w:pPr>
      <w:r>
        <w:rPr>
          <w:rFonts w:hint="eastAsia" w:ascii="方正仿宋_GBK" w:hAnsi="方正仿宋_GBK" w:eastAsia="方正仿宋_GBK" w:cs="方正仿宋_GBK"/>
          <w:spacing w:val="0"/>
          <w:w w:val="100"/>
          <w:kern w:val="2"/>
          <w:position w:val="0"/>
          <w:sz w:val="32"/>
          <w:szCs w:val="32"/>
          <w:shd w:val="clear"/>
          <w:lang w:val="en-US" w:eastAsia="zh-CN" w:bidi="ar-SA"/>
        </w:rPr>
        <w:t>附件：废旧家电回收工作进展情况表</w:t>
      </w:r>
    </w:p>
    <w:p>
      <w:pPr>
        <w:keepNext w:val="0"/>
        <w:keepLines w:val="0"/>
        <w:shd w:val="clear"/>
        <w:bidi w:val="0"/>
        <w:spacing w:before="0" w:after="0" w:line="240" w:lineRule="auto"/>
        <w:ind w:left="0" w:right="0" w:firstLine="640" w:firstLineChars="200"/>
        <w:jc w:val="both"/>
        <w:rPr>
          <w:rFonts w:hint="eastAsia" w:ascii="方正仿宋_GBK" w:hAnsi="方正仿宋_GBK" w:eastAsia="方正仿宋_GBK" w:cs="方正仿宋_GBK"/>
          <w:spacing w:val="0"/>
          <w:w w:val="100"/>
          <w:kern w:val="2"/>
          <w:position w:val="0"/>
          <w:sz w:val="32"/>
          <w:szCs w:val="32"/>
          <w:shd w:val="clear"/>
          <w:lang w:val="en-US" w:eastAsia="zh-CN" w:bidi="ar-SA"/>
        </w:rPr>
      </w:pPr>
    </w:p>
    <w:p>
      <w:pPr>
        <w:keepNext w:val="0"/>
        <w:keepLines w:val="0"/>
        <w:shd w:val="clear"/>
        <w:bidi w:val="0"/>
        <w:spacing w:before="0" w:after="0" w:line="240" w:lineRule="auto"/>
        <w:ind w:right="0" w:firstLine="320" w:firstLineChars="100"/>
        <w:jc w:val="both"/>
        <w:rPr>
          <w:rFonts w:hint="eastAsia" w:ascii="方正仿宋_GBK" w:hAnsi="方正仿宋_GBK" w:eastAsia="方正仿宋_GBK" w:cs="方正仿宋_GBK"/>
          <w:spacing w:val="0"/>
          <w:w w:val="100"/>
          <w:kern w:val="2"/>
          <w:position w:val="0"/>
          <w:sz w:val="32"/>
          <w:szCs w:val="32"/>
          <w:shd w:val="clear"/>
          <w:lang w:val="en-US" w:eastAsia="zh-CN" w:bidi="ar-SA"/>
        </w:rPr>
      </w:pPr>
      <w:r>
        <w:rPr>
          <w:rFonts w:hint="eastAsia" w:ascii="方正仿宋_GBK" w:hAnsi="方正仿宋_GBK" w:eastAsia="方正仿宋_GBK" w:cs="方正仿宋_GBK"/>
          <w:spacing w:val="0"/>
          <w:w w:val="100"/>
          <w:kern w:val="2"/>
          <w:position w:val="0"/>
          <w:sz w:val="32"/>
          <w:szCs w:val="32"/>
          <w:shd w:val="clear"/>
          <w:lang w:val="en-US" w:eastAsia="zh-CN" w:bidi="ar-SA"/>
        </w:rPr>
        <w:t>商务部办公厅  发展改革委办公厅  生态环境部办公厅</w:t>
      </w:r>
    </w:p>
    <w:p>
      <w:pPr>
        <w:keepNext w:val="0"/>
        <w:keepLines w:val="0"/>
        <w:shd w:val="clear"/>
        <w:bidi w:val="0"/>
        <w:spacing w:before="0" w:after="0" w:line="240" w:lineRule="auto"/>
        <w:ind w:right="0"/>
        <w:jc w:val="both"/>
        <w:rPr>
          <w:rFonts w:hint="eastAsia" w:ascii="方正仿宋_GBK" w:hAnsi="方正仿宋_GBK" w:eastAsia="方正仿宋_GBK" w:cs="方正仿宋_GBK"/>
          <w:spacing w:val="0"/>
          <w:w w:val="100"/>
          <w:kern w:val="2"/>
          <w:position w:val="0"/>
          <w:sz w:val="32"/>
          <w:szCs w:val="32"/>
          <w:shd w:val="clear"/>
          <w:lang w:val="en-US" w:eastAsia="zh-CN" w:bidi="ar-SA"/>
        </w:rPr>
      </w:pPr>
      <w:r>
        <w:rPr>
          <w:rFonts w:hint="eastAsia" w:ascii="方正仿宋_GBK" w:hAnsi="方正仿宋_GBK" w:eastAsia="方正仿宋_GBK" w:cs="方正仿宋_GBK"/>
          <w:spacing w:val="0"/>
          <w:w w:val="100"/>
          <w:kern w:val="2"/>
          <w:position w:val="0"/>
          <w:sz w:val="32"/>
          <w:szCs w:val="32"/>
          <w:shd w:val="clear"/>
          <w:lang w:val="en-US" w:eastAsia="zh-CN" w:bidi="ar-SA"/>
        </w:rPr>
        <w:t xml:space="preserve">                              住房城乡建设部办公厅</w:t>
      </w:r>
    </w:p>
    <w:p>
      <w:pPr>
        <w:keepNext w:val="0"/>
        <w:keepLines w:val="0"/>
        <w:shd w:val="clear"/>
        <w:bidi w:val="0"/>
        <w:spacing w:before="0" w:after="0" w:line="240" w:lineRule="auto"/>
        <w:ind w:right="0"/>
        <w:jc w:val="both"/>
        <w:rPr>
          <w:rFonts w:hint="eastAsia" w:ascii="方正仿宋_GBK" w:hAnsi="方正仿宋_GBK" w:eastAsia="方正仿宋_GBK" w:cs="方正仿宋_GBK"/>
          <w:spacing w:val="0"/>
          <w:w w:val="100"/>
          <w:kern w:val="2"/>
          <w:position w:val="0"/>
          <w:sz w:val="32"/>
          <w:szCs w:val="32"/>
          <w:shd w:val="clear"/>
          <w:lang w:val="en-US" w:eastAsia="zh-CN" w:bidi="ar-SA"/>
        </w:rPr>
      </w:pPr>
      <w:r>
        <w:rPr>
          <w:rFonts w:hint="eastAsia" w:ascii="方正仿宋_GBK" w:hAnsi="方正仿宋_GBK" w:eastAsia="方正仿宋_GBK" w:cs="方正仿宋_GBK"/>
          <w:spacing w:val="0"/>
          <w:w w:val="100"/>
          <w:kern w:val="2"/>
          <w:position w:val="0"/>
          <w:sz w:val="32"/>
          <w:szCs w:val="32"/>
          <w:shd w:val="clear"/>
          <w:lang w:val="en-US" w:eastAsia="zh-CN" w:bidi="ar-SA"/>
        </w:rPr>
        <w:t xml:space="preserve">                                 2022年8月28日</w:t>
      </w:r>
    </w:p>
    <w:p>
      <w:pPr>
        <w:keepNext w:val="0"/>
        <w:keepLines w:val="0"/>
        <w:shd w:val="clear"/>
        <w:bidi w:val="0"/>
        <w:spacing w:before="0" w:after="0" w:line="240" w:lineRule="auto"/>
        <w:ind w:right="0"/>
        <w:jc w:val="both"/>
        <w:rPr>
          <w:rFonts w:hint="eastAsia" w:ascii="方正黑体_GBK" w:hAnsi="方正黑体_GBK" w:eastAsia="方正黑体_GBK" w:cs="方正黑体_GBK"/>
          <w:spacing w:val="0"/>
          <w:w w:val="100"/>
          <w:kern w:val="2"/>
          <w:position w:val="0"/>
          <w:sz w:val="32"/>
          <w:szCs w:val="32"/>
          <w:shd w:val="clear"/>
          <w:lang w:val="en-US" w:eastAsia="zh-CN" w:bidi="ar-SA"/>
        </w:rPr>
      </w:pPr>
      <w:r>
        <w:rPr>
          <w:rFonts w:hint="eastAsia" w:ascii="方正黑体_GBK" w:hAnsi="方正黑体_GBK" w:eastAsia="方正黑体_GBK" w:cs="方正黑体_GBK"/>
          <w:spacing w:val="0"/>
          <w:w w:val="100"/>
          <w:kern w:val="2"/>
          <w:position w:val="0"/>
          <w:sz w:val="32"/>
          <w:szCs w:val="32"/>
          <w:shd w:val="clear"/>
          <w:lang w:val="en-US" w:eastAsia="zh-CN" w:bidi="ar-SA"/>
        </w:rPr>
        <w:t>附件</w:t>
      </w:r>
    </w:p>
    <w:p>
      <w:pPr>
        <w:keepNext w:val="0"/>
        <w:keepLines w:val="0"/>
        <w:shd w:val="clear"/>
        <w:bidi w:val="0"/>
        <w:spacing w:before="0" w:after="0" w:line="240" w:lineRule="auto"/>
        <w:ind w:right="0"/>
        <w:jc w:val="both"/>
        <w:rPr>
          <w:rFonts w:hint="eastAsia" w:ascii="方正仿宋_GBK" w:hAnsi="方正仿宋_GBK" w:eastAsia="方正仿宋_GBK" w:cs="方正仿宋_GBK"/>
          <w:spacing w:val="0"/>
          <w:w w:val="100"/>
          <w:kern w:val="2"/>
          <w:position w:val="0"/>
          <w:sz w:val="21"/>
          <w:szCs w:val="21"/>
          <w:shd w:val="clear"/>
          <w:lang w:val="en-US" w:eastAsia="zh-CN" w:bidi="ar-SA"/>
        </w:rPr>
      </w:pPr>
    </w:p>
    <w:p>
      <w:pPr>
        <w:keepNext w:val="0"/>
        <w:keepLines w:val="0"/>
        <w:shd w:val="clear"/>
        <w:bidi w:val="0"/>
        <w:spacing w:before="0" w:after="0" w:line="240" w:lineRule="auto"/>
        <w:ind w:right="0"/>
        <w:jc w:val="center"/>
        <w:rPr>
          <w:rFonts w:hint="eastAsia" w:ascii="方正小标宋_GBK" w:hAnsi="方正小标宋_GBK" w:eastAsia="方正小标宋_GBK" w:cs="方正小标宋_GBK"/>
          <w:spacing w:val="0"/>
          <w:w w:val="100"/>
          <w:kern w:val="2"/>
          <w:position w:val="0"/>
          <w:sz w:val="36"/>
          <w:szCs w:val="36"/>
          <w:shd w:val="clear"/>
          <w:lang w:val="en-US" w:eastAsia="zh-CN" w:bidi="ar-SA"/>
        </w:rPr>
      </w:pPr>
      <w:r>
        <w:rPr>
          <w:rFonts w:hint="eastAsia" w:ascii="方正小标宋_GBK" w:hAnsi="方正小标宋_GBK" w:eastAsia="方正小标宋_GBK" w:cs="方正小标宋_GBK"/>
          <w:spacing w:val="0"/>
          <w:w w:val="100"/>
          <w:kern w:val="2"/>
          <w:position w:val="0"/>
          <w:sz w:val="36"/>
          <w:szCs w:val="36"/>
          <w:shd w:val="clear"/>
          <w:lang w:val="en-US" w:eastAsia="zh-CN" w:bidi="ar-SA"/>
        </w:rPr>
        <w:t>废旧家电回收工作进展情况表</w:t>
      </w:r>
    </w:p>
    <w:p>
      <w:pPr>
        <w:keepNext w:val="0"/>
        <w:keepLines w:val="0"/>
        <w:shd w:val="clear"/>
        <w:bidi w:val="0"/>
        <w:spacing w:before="0" w:after="0" w:line="240" w:lineRule="auto"/>
        <w:ind w:right="0"/>
        <w:jc w:val="both"/>
        <w:rPr>
          <w:rFonts w:hint="eastAsia" w:ascii="方正仿宋_GBK" w:hAnsi="方正仿宋_GBK" w:eastAsia="方正仿宋_GBK" w:cs="方正仿宋_GBK"/>
          <w:spacing w:val="0"/>
          <w:w w:val="100"/>
          <w:kern w:val="2"/>
          <w:position w:val="0"/>
          <w:sz w:val="21"/>
          <w:szCs w:val="21"/>
          <w:shd w:val="clear"/>
          <w:lang w:val="en-US" w:eastAsia="zh-CN" w:bidi="ar-SA"/>
        </w:rPr>
      </w:pPr>
    </w:p>
    <w:p>
      <w:pPr>
        <w:keepNext w:val="0"/>
        <w:keepLines w:val="0"/>
        <w:shd w:val="clear"/>
        <w:bidi w:val="0"/>
        <w:spacing w:before="0" w:after="0" w:line="240" w:lineRule="auto"/>
        <w:ind w:right="0"/>
        <w:jc w:val="both"/>
        <w:rPr>
          <w:rFonts w:hint="eastAsia" w:ascii="方正黑体_GBK" w:hAnsi="方正黑体_GBK" w:eastAsia="方正黑体_GBK" w:cs="方正黑体_GBK"/>
          <w:spacing w:val="0"/>
          <w:w w:val="100"/>
          <w:kern w:val="2"/>
          <w:position w:val="0"/>
          <w:sz w:val="24"/>
          <w:szCs w:val="24"/>
          <w:shd w:val="clear"/>
          <w:lang w:val="en-US" w:eastAsia="zh-CN" w:bidi="ar-SA"/>
        </w:rPr>
      </w:pPr>
      <w:r>
        <w:rPr>
          <w:rFonts w:hint="eastAsia" w:ascii="方正黑体_GBK" w:hAnsi="方正黑体_GBK" w:eastAsia="方正黑体_GBK" w:cs="方正黑体_GBK"/>
          <w:spacing w:val="0"/>
          <w:w w:val="100"/>
          <w:kern w:val="2"/>
          <w:position w:val="0"/>
          <w:sz w:val="24"/>
          <w:szCs w:val="24"/>
          <w:shd w:val="clear"/>
          <w:lang w:val="en-US" w:eastAsia="zh-CN" w:bidi="ar-SA"/>
        </w:rPr>
        <w:t>地  区：                                     填表时间：</w:t>
      </w:r>
    </w:p>
    <w:tbl>
      <w:tblPr>
        <w:tblStyle w:val="2"/>
        <w:tblW w:w="8395" w:type="dxa"/>
        <w:jc w:val="right"/>
        <w:tblLayout w:type="fixed"/>
        <w:tblCellMar>
          <w:top w:w="0" w:type="dxa"/>
          <w:left w:w="10" w:type="dxa"/>
          <w:bottom w:w="0" w:type="dxa"/>
          <w:right w:w="10" w:type="dxa"/>
        </w:tblCellMar>
      </w:tblPr>
      <w:tblGrid>
        <w:gridCol w:w="743"/>
        <w:gridCol w:w="3834"/>
        <w:gridCol w:w="1980"/>
        <w:gridCol w:w="1838"/>
      </w:tblGrid>
      <w:tr>
        <w:tblPrEx>
          <w:tblCellMar>
            <w:top w:w="0" w:type="dxa"/>
            <w:left w:w="10" w:type="dxa"/>
            <w:bottom w:w="0" w:type="dxa"/>
            <w:right w:w="10" w:type="dxa"/>
          </w:tblCellMar>
        </w:tblPrEx>
        <w:trPr>
          <w:trHeight w:val="552" w:hRule="exact"/>
          <w:jc w:val="right"/>
        </w:trPr>
        <w:tc>
          <w:tcPr>
            <w:tcW w:w="743"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180"/>
              <w:jc w:val="left"/>
              <w:rPr>
                <w:rFonts w:hint="eastAsia" w:ascii="方正黑体_GBK" w:hAnsi="方正黑体_GBK" w:eastAsia="方正黑体_GBK" w:cs="方正黑体_GBK"/>
                <w:sz w:val="24"/>
                <w:szCs w:val="24"/>
              </w:rPr>
            </w:pPr>
            <w:r>
              <w:rPr>
                <w:rFonts w:hint="eastAsia" w:ascii="方正黑体_GBK" w:hAnsi="方正黑体_GBK" w:eastAsia="方正黑体_GBK" w:cs="方正黑体_GBK"/>
                <w:color w:val="000000"/>
                <w:spacing w:val="0"/>
                <w:w w:val="100"/>
                <w:position w:val="0"/>
                <w:sz w:val="24"/>
                <w:szCs w:val="24"/>
              </w:rPr>
              <w:t>序号</w:t>
            </w:r>
          </w:p>
        </w:tc>
        <w:tc>
          <w:tcPr>
            <w:tcW w:w="3834"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tabs>
                <w:tab w:val="left" w:pos="878"/>
              </w:tabs>
              <w:bidi w:val="0"/>
              <w:spacing w:before="0" w:after="0" w:line="240" w:lineRule="auto"/>
              <w:ind w:left="0" w:right="0" w:firstLine="0"/>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color w:val="000000"/>
                <w:spacing w:val="0"/>
                <w:w w:val="100"/>
                <w:position w:val="0"/>
                <w:sz w:val="24"/>
                <w:szCs w:val="24"/>
              </w:rPr>
              <w:t>项</w:t>
            </w:r>
            <w:r>
              <w:rPr>
                <w:rFonts w:hint="eastAsia" w:ascii="方正黑体_GBK" w:hAnsi="方正黑体_GBK" w:eastAsia="方正黑体_GBK" w:cs="方正黑体_GBK"/>
                <w:color w:val="000000"/>
                <w:spacing w:val="0"/>
                <w:w w:val="100"/>
                <w:position w:val="0"/>
                <w:sz w:val="24"/>
                <w:szCs w:val="24"/>
                <w:lang w:val="en-US" w:eastAsia="zh-CN"/>
              </w:rPr>
              <w:t xml:space="preserve">  </w:t>
            </w:r>
            <w:r>
              <w:rPr>
                <w:rFonts w:hint="eastAsia" w:ascii="方正黑体_GBK" w:hAnsi="方正黑体_GBK" w:eastAsia="方正黑体_GBK" w:cs="方正黑体_GBK"/>
                <w:color w:val="000000"/>
                <w:spacing w:val="0"/>
                <w:w w:val="100"/>
                <w:position w:val="0"/>
                <w:sz w:val="24"/>
                <w:szCs w:val="24"/>
              </w:rPr>
              <w:t>目</w:t>
            </w:r>
          </w:p>
        </w:tc>
        <w:tc>
          <w:tcPr>
            <w:tcW w:w="1980"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color w:val="000000"/>
                <w:spacing w:val="0"/>
                <w:w w:val="100"/>
                <w:position w:val="0"/>
                <w:sz w:val="24"/>
                <w:szCs w:val="24"/>
              </w:rPr>
              <w:t>本季度</w:t>
            </w:r>
          </w:p>
        </w:tc>
        <w:tc>
          <w:tcPr>
            <w:tcW w:w="1838" w:type="dxa"/>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color w:val="000000"/>
                <w:spacing w:val="0"/>
                <w:w w:val="100"/>
                <w:position w:val="0"/>
                <w:sz w:val="24"/>
                <w:szCs w:val="24"/>
              </w:rPr>
              <w:t>上季度</w:t>
            </w:r>
          </w:p>
        </w:tc>
      </w:tr>
      <w:tr>
        <w:tblPrEx>
          <w:tblCellMar>
            <w:top w:w="0" w:type="dxa"/>
            <w:left w:w="10" w:type="dxa"/>
            <w:bottom w:w="0" w:type="dxa"/>
            <w:right w:w="10" w:type="dxa"/>
          </w:tblCellMar>
        </w:tblPrEx>
        <w:trPr>
          <w:trHeight w:val="465" w:hRule="exact"/>
          <w:jc w:val="right"/>
        </w:trPr>
        <w:tc>
          <w:tcPr>
            <w:tcW w:w="743"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firstLine="0" w:firstLineChars="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0"/>
                <w:w w:val="100"/>
                <w:position w:val="0"/>
                <w:sz w:val="24"/>
                <w:szCs w:val="24"/>
              </w:rPr>
              <w:t>1</w:t>
            </w:r>
          </w:p>
        </w:tc>
        <w:tc>
          <w:tcPr>
            <w:tcW w:w="3834"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432" w:lineRule="exact"/>
              <w:ind w:left="0" w:right="0" w:firstLine="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0"/>
                <w:w w:val="100"/>
                <w:position w:val="0"/>
                <w:sz w:val="24"/>
                <w:szCs w:val="24"/>
              </w:rPr>
              <w:t>废旧家电回收量 （台/套）</w:t>
            </w:r>
          </w:p>
        </w:tc>
        <w:tc>
          <w:tcPr>
            <w:tcW w:w="1980" w:type="dxa"/>
            <w:tcBorders>
              <w:top w:val="single" w:color="auto" w:sz="4" w:space="0"/>
              <w:left w:val="single" w:color="auto" w:sz="4" w:space="0"/>
            </w:tcBorders>
            <w:shd w:val="clear" w:color="auto" w:fill="FFFFFF"/>
            <w:vAlign w:val="top"/>
          </w:tcPr>
          <w:p>
            <w:pPr>
              <w:widowControl w:val="0"/>
              <w:rPr>
                <w:rFonts w:hint="eastAsia" w:ascii="方正仿宋_GBK" w:hAnsi="方正仿宋_GBK" w:eastAsia="方正仿宋_GBK" w:cs="方正仿宋_GBK"/>
                <w:sz w:val="24"/>
                <w:szCs w:val="24"/>
              </w:rPr>
            </w:pPr>
          </w:p>
        </w:tc>
        <w:tc>
          <w:tcPr>
            <w:tcW w:w="1838" w:type="dxa"/>
            <w:tcBorders>
              <w:top w:val="single" w:color="auto" w:sz="4" w:space="0"/>
              <w:left w:val="single" w:color="auto" w:sz="4" w:space="0"/>
              <w:right w:val="single" w:color="auto" w:sz="4" w:space="0"/>
            </w:tcBorders>
            <w:shd w:val="clear" w:color="auto" w:fill="FFFFFF"/>
            <w:vAlign w:val="top"/>
          </w:tcPr>
          <w:p>
            <w:pPr>
              <w:widowControl w:val="0"/>
              <w:rPr>
                <w:rFonts w:hint="eastAsia" w:ascii="方正仿宋_GBK" w:hAnsi="方正仿宋_GBK" w:eastAsia="方正仿宋_GBK" w:cs="方正仿宋_GBK"/>
                <w:sz w:val="24"/>
                <w:szCs w:val="24"/>
              </w:rPr>
            </w:pPr>
          </w:p>
        </w:tc>
      </w:tr>
      <w:tr>
        <w:tblPrEx>
          <w:tblCellMar>
            <w:top w:w="0" w:type="dxa"/>
            <w:left w:w="10" w:type="dxa"/>
            <w:bottom w:w="0" w:type="dxa"/>
            <w:right w:w="10" w:type="dxa"/>
          </w:tblCellMar>
        </w:tblPrEx>
        <w:trPr>
          <w:trHeight w:val="516" w:hRule="exact"/>
          <w:jc w:val="right"/>
        </w:trPr>
        <w:tc>
          <w:tcPr>
            <w:tcW w:w="743" w:type="dxa"/>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firstLine="0" w:firstLineChars="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0"/>
                <w:w w:val="100"/>
                <w:position w:val="0"/>
                <w:sz w:val="24"/>
                <w:szCs w:val="24"/>
              </w:rPr>
              <w:t>2</w:t>
            </w:r>
          </w:p>
        </w:tc>
        <w:tc>
          <w:tcPr>
            <w:tcW w:w="3834"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418" w:lineRule="exact"/>
              <w:ind w:left="0" w:right="0" w:firstLine="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0"/>
                <w:w w:val="100"/>
                <w:position w:val="0"/>
                <w:sz w:val="24"/>
                <w:szCs w:val="24"/>
              </w:rPr>
              <w:t>废</w:t>
            </w:r>
            <w:r>
              <w:rPr>
                <w:rFonts w:hint="eastAsia" w:ascii="方正仿宋_GBK" w:hAnsi="方正仿宋_GBK" w:eastAsia="方正仿宋_GBK" w:cs="方正仿宋_GBK"/>
                <w:color w:val="000000"/>
                <w:spacing w:val="0"/>
                <w:w w:val="100"/>
                <w:position w:val="0"/>
                <w:sz w:val="24"/>
                <w:szCs w:val="24"/>
                <w:lang w:eastAsia="zh-CN"/>
              </w:rPr>
              <w:t>家</w:t>
            </w:r>
            <w:r>
              <w:rPr>
                <w:rFonts w:hint="eastAsia" w:ascii="方正仿宋_GBK" w:hAnsi="方正仿宋_GBK" w:eastAsia="方正仿宋_GBK" w:cs="方正仿宋_GBK"/>
                <w:color w:val="000000"/>
                <w:spacing w:val="0"/>
                <w:w w:val="100"/>
                <w:position w:val="0"/>
                <w:sz w:val="24"/>
                <w:szCs w:val="24"/>
              </w:rPr>
              <w:t>电销售</w:t>
            </w:r>
            <w:r>
              <w:rPr>
                <w:rFonts w:hint="eastAsia" w:ascii="方正仿宋_GBK" w:hAnsi="方正仿宋_GBK" w:eastAsia="方正仿宋_GBK" w:cs="方正仿宋_GBK"/>
                <w:color w:val="000000"/>
                <w:spacing w:val="0"/>
                <w:w w:val="100"/>
                <w:position w:val="0"/>
                <w:sz w:val="24"/>
                <w:szCs w:val="24"/>
                <w:lang w:eastAsia="zh-CN"/>
              </w:rPr>
              <w:t>量</w:t>
            </w:r>
            <w:r>
              <w:rPr>
                <w:rFonts w:hint="eastAsia" w:ascii="方正仿宋_GBK" w:hAnsi="方正仿宋_GBK" w:eastAsia="方正仿宋_GBK" w:cs="方正仿宋_GBK"/>
                <w:color w:val="000000"/>
                <w:spacing w:val="0"/>
                <w:w w:val="100"/>
                <w:position w:val="0"/>
                <w:sz w:val="24"/>
                <w:szCs w:val="24"/>
              </w:rPr>
              <w:t xml:space="preserve"> （台/套）</w:t>
            </w:r>
          </w:p>
        </w:tc>
        <w:tc>
          <w:tcPr>
            <w:tcW w:w="1980" w:type="dxa"/>
            <w:tcBorders>
              <w:top w:val="single" w:color="auto" w:sz="4" w:space="0"/>
              <w:left w:val="single" w:color="auto" w:sz="4" w:space="0"/>
            </w:tcBorders>
            <w:shd w:val="clear" w:color="auto" w:fill="FFFFFF"/>
            <w:vAlign w:val="top"/>
          </w:tcPr>
          <w:p>
            <w:pPr>
              <w:widowControl w:val="0"/>
              <w:rPr>
                <w:rFonts w:hint="eastAsia" w:ascii="方正仿宋_GBK" w:hAnsi="方正仿宋_GBK" w:eastAsia="方正仿宋_GBK" w:cs="方正仿宋_GBK"/>
                <w:sz w:val="24"/>
                <w:szCs w:val="24"/>
              </w:rPr>
            </w:pPr>
          </w:p>
        </w:tc>
        <w:tc>
          <w:tcPr>
            <w:tcW w:w="1838" w:type="dxa"/>
            <w:tcBorders>
              <w:top w:val="single" w:color="auto" w:sz="4" w:space="0"/>
              <w:left w:val="single" w:color="auto" w:sz="4" w:space="0"/>
              <w:right w:val="single" w:color="auto" w:sz="4" w:space="0"/>
            </w:tcBorders>
            <w:shd w:val="clear" w:color="auto" w:fill="FFFFFF"/>
            <w:vAlign w:val="top"/>
          </w:tcPr>
          <w:p>
            <w:pPr>
              <w:widowControl w:val="0"/>
              <w:rPr>
                <w:rFonts w:hint="eastAsia" w:ascii="方正仿宋_GBK" w:hAnsi="方正仿宋_GBK" w:eastAsia="方正仿宋_GBK" w:cs="方正仿宋_GBK"/>
                <w:sz w:val="24"/>
                <w:szCs w:val="24"/>
              </w:rPr>
            </w:pPr>
          </w:p>
        </w:tc>
      </w:tr>
      <w:tr>
        <w:tblPrEx>
          <w:tblCellMar>
            <w:top w:w="0" w:type="dxa"/>
            <w:left w:w="10" w:type="dxa"/>
            <w:bottom w:w="0" w:type="dxa"/>
            <w:right w:w="10" w:type="dxa"/>
          </w:tblCellMar>
        </w:tblPrEx>
        <w:trPr>
          <w:trHeight w:val="461" w:hRule="exact"/>
          <w:jc w:val="right"/>
        </w:trPr>
        <w:tc>
          <w:tcPr>
            <w:tcW w:w="743" w:type="dxa"/>
            <w:vMerge w:val="continue"/>
            <w:tcBorders>
              <w:left w:val="single" w:color="auto" w:sz="4" w:space="0"/>
            </w:tcBorders>
            <w:shd w:val="clear" w:color="auto" w:fill="FFFFFF"/>
            <w:vAlign w:val="center"/>
          </w:tcPr>
          <w:p>
            <w:pPr>
              <w:jc w:val="center"/>
              <w:rPr>
                <w:rFonts w:hint="eastAsia" w:ascii="方正仿宋_GBK" w:hAnsi="方正仿宋_GBK" w:eastAsia="方正仿宋_GBK" w:cs="方正仿宋_GBK"/>
                <w:sz w:val="24"/>
                <w:szCs w:val="24"/>
              </w:rPr>
            </w:pPr>
          </w:p>
        </w:tc>
        <w:tc>
          <w:tcPr>
            <w:tcW w:w="3834"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100" w:line="240" w:lineRule="auto"/>
              <w:ind w:left="0" w:right="0" w:firstLine="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0"/>
                <w:w w:val="100"/>
                <w:position w:val="0"/>
                <w:sz w:val="24"/>
                <w:szCs w:val="24"/>
              </w:rPr>
              <w:t>其中：四机一脑销售</w:t>
            </w:r>
            <w:r>
              <w:rPr>
                <w:rFonts w:hint="eastAsia" w:ascii="方正仿宋_GBK" w:hAnsi="方正仿宋_GBK" w:eastAsia="方正仿宋_GBK" w:cs="方正仿宋_GBK"/>
                <w:color w:val="000000"/>
                <w:spacing w:val="0"/>
                <w:w w:val="100"/>
                <w:position w:val="0"/>
                <w:sz w:val="24"/>
                <w:szCs w:val="24"/>
                <w:lang w:eastAsia="zh-CN"/>
              </w:rPr>
              <w:t>量</w:t>
            </w:r>
          </w:p>
          <w:p>
            <w:pPr>
              <w:pStyle w:val="6"/>
              <w:keepNext w:val="0"/>
              <w:keepLines w:val="0"/>
              <w:widowControl w:val="0"/>
              <w:shd w:val="clear" w:color="auto" w:fill="auto"/>
              <w:bidi w:val="0"/>
              <w:spacing w:before="0" w:after="0" w:line="240" w:lineRule="auto"/>
              <w:ind w:left="1060" w:right="0" w:firstLine="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0"/>
                <w:w w:val="100"/>
                <w:position w:val="0"/>
                <w:sz w:val="24"/>
                <w:szCs w:val="24"/>
              </w:rPr>
              <w:t>（台/套</w:t>
            </w:r>
            <w:r>
              <w:rPr>
                <w:rFonts w:hint="eastAsia" w:ascii="方正仿宋_GBK" w:hAnsi="方正仿宋_GBK" w:eastAsia="方正仿宋_GBK" w:cs="方正仿宋_GBK"/>
                <w:color w:val="000000"/>
                <w:spacing w:val="0"/>
                <w:w w:val="100"/>
                <w:position w:val="0"/>
                <w:sz w:val="24"/>
                <w:szCs w:val="24"/>
                <w:lang w:val="zh-CN" w:eastAsia="zh-CN" w:bidi="zh-CN"/>
              </w:rPr>
              <w:t>）</w:t>
            </w:r>
          </w:p>
        </w:tc>
        <w:tc>
          <w:tcPr>
            <w:tcW w:w="1980" w:type="dxa"/>
            <w:tcBorders>
              <w:top w:val="single" w:color="auto" w:sz="4" w:space="0"/>
              <w:left w:val="single" w:color="auto" w:sz="4" w:space="0"/>
            </w:tcBorders>
            <w:shd w:val="clear" w:color="auto" w:fill="FFFFFF"/>
            <w:vAlign w:val="top"/>
          </w:tcPr>
          <w:p>
            <w:pPr>
              <w:widowControl w:val="0"/>
              <w:rPr>
                <w:rFonts w:hint="eastAsia" w:ascii="方正仿宋_GBK" w:hAnsi="方正仿宋_GBK" w:eastAsia="方正仿宋_GBK" w:cs="方正仿宋_GBK"/>
                <w:sz w:val="24"/>
                <w:szCs w:val="24"/>
              </w:rPr>
            </w:pPr>
          </w:p>
        </w:tc>
        <w:tc>
          <w:tcPr>
            <w:tcW w:w="1838" w:type="dxa"/>
            <w:tcBorders>
              <w:top w:val="single" w:color="auto" w:sz="4" w:space="0"/>
              <w:left w:val="single" w:color="auto" w:sz="4" w:space="0"/>
              <w:right w:val="single" w:color="auto" w:sz="4" w:space="0"/>
            </w:tcBorders>
            <w:shd w:val="clear" w:color="auto" w:fill="FFFFFF"/>
            <w:vAlign w:val="top"/>
          </w:tcPr>
          <w:p>
            <w:pPr>
              <w:widowControl w:val="0"/>
              <w:rPr>
                <w:rFonts w:hint="eastAsia" w:ascii="方正仿宋_GBK" w:hAnsi="方正仿宋_GBK" w:eastAsia="方正仿宋_GBK" w:cs="方正仿宋_GBK"/>
                <w:sz w:val="24"/>
                <w:szCs w:val="24"/>
              </w:rPr>
            </w:pPr>
          </w:p>
        </w:tc>
      </w:tr>
      <w:tr>
        <w:tblPrEx>
          <w:tblCellMar>
            <w:top w:w="0" w:type="dxa"/>
            <w:left w:w="10" w:type="dxa"/>
            <w:bottom w:w="0" w:type="dxa"/>
            <w:right w:w="10" w:type="dxa"/>
          </w:tblCellMar>
        </w:tblPrEx>
        <w:trPr>
          <w:trHeight w:val="469" w:hRule="exact"/>
          <w:jc w:val="right"/>
        </w:trPr>
        <w:tc>
          <w:tcPr>
            <w:tcW w:w="743" w:type="dxa"/>
            <w:vMerge w:val="continue"/>
            <w:tcBorders>
              <w:left w:val="single" w:color="auto" w:sz="4" w:space="0"/>
            </w:tcBorders>
            <w:shd w:val="clear" w:color="auto" w:fill="FFFFFF"/>
            <w:vAlign w:val="center"/>
          </w:tcPr>
          <w:p>
            <w:pPr>
              <w:jc w:val="center"/>
              <w:rPr>
                <w:rFonts w:hint="eastAsia" w:ascii="方正仿宋_GBK" w:hAnsi="方正仿宋_GBK" w:eastAsia="方正仿宋_GBK" w:cs="方正仿宋_GBK"/>
                <w:sz w:val="24"/>
                <w:szCs w:val="24"/>
              </w:rPr>
            </w:pPr>
          </w:p>
        </w:tc>
        <w:tc>
          <w:tcPr>
            <w:tcW w:w="3834"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418" w:lineRule="exact"/>
              <w:ind w:left="0" w:right="0" w:firstLine="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0"/>
                <w:w w:val="100"/>
                <w:position w:val="0"/>
                <w:sz w:val="24"/>
                <w:szCs w:val="24"/>
              </w:rPr>
              <w:t>其他品类销售</w:t>
            </w:r>
            <w:r>
              <w:rPr>
                <w:rFonts w:hint="eastAsia" w:ascii="方正仿宋_GBK" w:hAnsi="方正仿宋_GBK" w:eastAsia="方正仿宋_GBK" w:cs="方正仿宋_GBK"/>
                <w:color w:val="000000"/>
                <w:spacing w:val="0"/>
                <w:w w:val="100"/>
                <w:position w:val="0"/>
                <w:sz w:val="24"/>
                <w:szCs w:val="24"/>
                <w:lang w:eastAsia="zh-CN"/>
              </w:rPr>
              <w:t>量</w:t>
            </w:r>
            <w:r>
              <w:rPr>
                <w:rFonts w:hint="eastAsia" w:ascii="方正仿宋_GBK" w:hAnsi="方正仿宋_GBK" w:eastAsia="方正仿宋_GBK" w:cs="方正仿宋_GBK"/>
                <w:color w:val="000000"/>
                <w:spacing w:val="0"/>
                <w:w w:val="100"/>
                <w:position w:val="0"/>
                <w:sz w:val="24"/>
                <w:szCs w:val="24"/>
              </w:rPr>
              <w:t xml:space="preserve"> （台/套）</w:t>
            </w:r>
          </w:p>
        </w:tc>
        <w:tc>
          <w:tcPr>
            <w:tcW w:w="1980" w:type="dxa"/>
            <w:tcBorders>
              <w:top w:val="single" w:color="auto" w:sz="4" w:space="0"/>
              <w:left w:val="single" w:color="auto" w:sz="4" w:space="0"/>
            </w:tcBorders>
            <w:shd w:val="clear" w:color="auto" w:fill="FFFFFF"/>
            <w:vAlign w:val="top"/>
          </w:tcPr>
          <w:p>
            <w:pPr>
              <w:widowControl w:val="0"/>
              <w:rPr>
                <w:rFonts w:hint="eastAsia" w:ascii="方正仿宋_GBK" w:hAnsi="方正仿宋_GBK" w:eastAsia="方正仿宋_GBK" w:cs="方正仿宋_GBK"/>
                <w:sz w:val="24"/>
                <w:szCs w:val="24"/>
              </w:rPr>
            </w:pPr>
          </w:p>
        </w:tc>
        <w:tc>
          <w:tcPr>
            <w:tcW w:w="1838" w:type="dxa"/>
            <w:tcBorders>
              <w:top w:val="single" w:color="auto" w:sz="4" w:space="0"/>
              <w:left w:val="single" w:color="auto" w:sz="4" w:space="0"/>
              <w:right w:val="single" w:color="auto" w:sz="4" w:space="0"/>
            </w:tcBorders>
            <w:shd w:val="clear" w:color="auto" w:fill="FFFFFF"/>
            <w:vAlign w:val="top"/>
          </w:tcPr>
          <w:p>
            <w:pPr>
              <w:widowControl w:val="0"/>
              <w:rPr>
                <w:rFonts w:hint="eastAsia" w:ascii="方正仿宋_GBK" w:hAnsi="方正仿宋_GBK" w:eastAsia="方正仿宋_GBK" w:cs="方正仿宋_GBK"/>
                <w:sz w:val="24"/>
                <w:szCs w:val="24"/>
              </w:rPr>
            </w:pPr>
          </w:p>
        </w:tc>
      </w:tr>
      <w:tr>
        <w:tblPrEx>
          <w:tblCellMar>
            <w:top w:w="0" w:type="dxa"/>
            <w:left w:w="10" w:type="dxa"/>
            <w:bottom w:w="0" w:type="dxa"/>
            <w:right w:w="10" w:type="dxa"/>
          </w:tblCellMar>
        </w:tblPrEx>
        <w:trPr>
          <w:trHeight w:val="498" w:hRule="exact"/>
          <w:jc w:val="right"/>
        </w:trPr>
        <w:tc>
          <w:tcPr>
            <w:tcW w:w="743"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firstLine="0" w:firstLineChars="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0"/>
                <w:w w:val="100"/>
                <w:position w:val="0"/>
                <w:sz w:val="24"/>
                <w:szCs w:val="24"/>
              </w:rPr>
              <w:t>3</w:t>
            </w:r>
          </w:p>
        </w:tc>
        <w:tc>
          <w:tcPr>
            <w:tcW w:w="3834"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418" w:lineRule="exact"/>
              <w:ind w:left="0" w:right="0" w:firstLine="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0"/>
                <w:w w:val="100"/>
                <w:position w:val="0"/>
                <w:sz w:val="24"/>
                <w:szCs w:val="24"/>
              </w:rPr>
              <w:t>旧家电销售量 （台/套）</w:t>
            </w:r>
          </w:p>
        </w:tc>
        <w:tc>
          <w:tcPr>
            <w:tcW w:w="1980" w:type="dxa"/>
            <w:tcBorders>
              <w:top w:val="single" w:color="auto" w:sz="4" w:space="0"/>
              <w:left w:val="single" w:color="auto" w:sz="4" w:space="0"/>
            </w:tcBorders>
            <w:shd w:val="clear" w:color="auto" w:fill="FFFFFF"/>
            <w:vAlign w:val="top"/>
          </w:tcPr>
          <w:p>
            <w:pPr>
              <w:widowControl w:val="0"/>
              <w:rPr>
                <w:rFonts w:hint="eastAsia" w:ascii="方正仿宋_GBK" w:hAnsi="方正仿宋_GBK" w:eastAsia="方正仿宋_GBK" w:cs="方正仿宋_GBK"/>
                <w:sz w:val="24"/>
                <w:szCs w:val="24"/>
              </w:rPr>
            </w:pPr>
          </w:p>
        </w:tc>
        <w:tc>
          <w:tcPr>
            <w:tcW w:w="1838" w:type="dxa"/>
            <w:tcBorders>
              <w:top w:val="single" w:color="auto" w:sz="4" w:space="0"/>
              <w:left w:val="single" w:color="auto" w:sz="4" w:space="0"/>
              <w:right w:val="single" w:color="auto" w:sz="4" w:space="0"/>
            </w:tcBorders>
            <w:shd w:val="clear" w:color="auto" w:fill="FFFFFF"/>
            <w:vAlign w:val="top"/>
          </w:tcPr>
          <w:p>
            <w:pPr>
              <w:widowControl w:val="0"/>
              <w:rPr>
                <w:rFonts w:hint="eastAsia" w:ascii="方正仿宋_GBK" w:hAnsi="方正仿宋_GBK" w:eastAsia="方正仿宋_GBK" w:cs="方正仿宋_GBK"/>
                <w:sz w:val="24"/>
                <w:szCs w:val="24"/>
              </w:rPr>
            </w:pPr>
          </w:p>
        </w:tc>
      </w:tr>
      <w:tr>
        <w:tblPrEx>
          <w:tblCellMar>
            <w:top w:w="0" w:type="dxa"/>
            <w:left w:w="10" w:type="dxa"/>
            <w:bottom w:w="0" w:type="dxa"/>
            <w:right w:w="10" w:type="dxa"/>
          </w:tblCellMar>
        </w:tblPrEx>
        <w:trPr>
          <w:trHeight w:val="474" w:hRule="exact"/>
          <w:jc w:val="right"/>
        </w:trPr>
        <w:tc>
          <w:tcPr>
            <w:tcW w:w="4577" w:type="dxa"/>
            <w:gridSpan w:val="2"/>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418" w:lineRule="exact"/>
              <w:ind w:left="0" w:right="0" w:firstLine="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0"/>
                <w:w w:val="100"/>
                <w:position w:val="0"/>
                <w:sz w:val="24"/>
                <w:szCs w:val="24"/>
                <w:lang w:eastAsia="zh-CN"/>
              </w:rPr>
              <w:t>废</w:t>
            </w:r>
            <w:r>
              <w:rPr>
                <w:rFonts w:hint="eastAsia" w:ascii="方正仿宋_GBK" w:hAnsi="方正仿宋_GBK" w:eastAsia="方正仿宋_GBK" w:cs="方正仿宋_GBK"/>
                <w:color w:val="000000"/>
                <w:spacing w:val="0"/>
                <w:w w:val="100"/>
                <w:position w:val="0"/>
                <w:sz w:val="24"/>
                <w:szCs w:val="24"/>
              </w:rPr>
              <w:t>旧家电销售</w:t>
            </w:r>
            <w:r>
              <w:rPr>
                <w:rFonts w:hint="eastAsia" w:ascii="方正仿宋_GBK" w:hAnsi="方正仿宋_GBK" w:eastAsia="方正仿宋_GBK" w:cs="方正仿宋_GBK"/>
                <w:color w:val="000000"/>
                <w:spacing w:val="0"/>
                <w:w w:val="100"/>
                <w:position w:val="0"/>
                <w:sz w:val="24"/>
                <w:szCs w:val="24"/>
                <w:lang w:eastAsia="zh-CN"/>
              </w:rPr>
              <w:t>量</w:t>
            </w:r>
            <w:r>
              <w:rPr>
                <w:rFonts w:hint="eastAsia" w:ascii="方正仿宋_GBK" w:hAnsi="方正仿宋_GBK" w:eastAsia="方正仿宋_GBK" w:cs="方正仿宋_GBK"/>
                <w:color w:val="000000"/>
                <w:spacing w:val="0"/>
                <w:w w:val="100"/>
                <w:position w:val="0"/>
                <w:sz w:val="24"/>
                <w:szCs w:val="24"/>
              </w:rPr>
              <w:t>合计 （台/套）</w:t>
            </w:r>
          </w:p>
        </w:tc>
        <w:tc>
          <w:tcPr>
            <w:tcW w:w="1980" w:type="dxa"/>
            <w:tcBorders>
              <w:top w:val="single" w:color="auto" w:sz="4" w:space="0"/>
              <w:left w:val="single" w:color="auto" w:sz="4" w:space="0"/>
            </w:tcBorders>
            <w:shd w:val="clear" w:color="auto" w:fill="FFFFFF"/>
            <w:vAlign w:val="top"/>
          </w:tcPr>
          <w:p>
            <w:pPr>
              <w:widowControl w:val="0"/>
              <w:rPr>
                <w:rFonts w:hint="eastAsia" w:ascii="方正仿宋_GBK" w:hAnsi="方正仿宋_GBK" w:eastAsia="方正仿宋_GBK" w:cs="方正仿宋_GBK"/>
                <w:sz w:val="24"/>
                <w:szCs w:val="24"/>
              </w:rPr>
            </w:pPr>
          </w:p>
        </w:tc>
        <w:tc>
          <w:tcPr>
            <w:tcW w:w="1838" w:type="dxa"/>
            <w:tcBorders>
              <w:top w:val="single" w:color="auto" w:sz="4" w:space="0"/>
              <w:left w:val="single" w:color="auto" w:sz="4" w:space="0"/>
              <w:right w:val="single" w:color="auto" w:sz="4" w:space="0"/>
            </w:tcBorders>
            <w:shd w:val="clear" w:color="auto" w:fill="FFFFFF"/>
            <w:vAlign w:val="top"/>
          </w:tcPr>
          <w:p>
            <w:pPr>
              <w:widowControl w:val="0"/>
              <w:rPr>
                <w:rFonts w:hint="eastAsia" w:ascii="方正仿宋_GBK" w:hAnsi="方正仿宋_GBK" w:eastAsia="方正仿宋_GBK" w:cs="方正仿宋_GBK"/>
                <w:sz w:val="24"/>
                <w:szCs w:val="24"/>
              </w:rPr>
            </w:pPr>
          </w:p>
        </w:tc>
      </w:tr>
      <w:tr>
        <w:tblPrEx>
          <w:tblCellMar>
            <w:top w:w="0" w:type="dxa"/>
            <w:left w:w="10" w:type="dxa"/>
            <w:bottom w:w="0" w:type="dxa"/>
            <w:right w:w="10" w:type="dxa"/>
          </w:tblCellMar>
        </w:tblPrEx>
        <w:trPr>
          <w:trHeight w:val="486" w:hRule="exact"/>
          <w:jc w:val="right"/>
        </w:trPr>
        <w:tc>
          <w:tcPr>
            <w:tcW w:w="743" w:type="dxa"/>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firstLine="0" w:firstLineChars="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0"/>
                <w:w w:val="100"/>
                <w:position w:val="0"/>
                <w:sz w:val="24"/>
                <w:szCs w:val="24"/>
              </w:rPr>
              <w:t>4</w:t>
            </w:r>
          </w:p>
        </w:tc>
        <w:tc>
          <w:tcPr>
            <w:tcW w:w="3834"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100" w:line="240" w:lineRule="auto"/>
              <w:ind w:left="0" w:right="0" w:firstLine="60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0"/>
                <w:w w:val="100"/>
                <w:position w:val="0"/>
                <w:sz w:val="24"/>
                <w:szCs w:val="24"/>
              </w:rPr>
              <w:t>废家电销售金额（万元）</w:t>
            </w:r>
          </w:p>
          <w:p>
            <w:pPr>
              <w:pStyle w:val="6"/>
              <w:keepNext w:val="0"/>
              <w:keepLines w:val="0"/>
              <w:widowControl w:val="0"/>
              <w:shd w:val="clear" w:color="auto" w:fill="auto"/>
              <w:bidi w:val="0"/>
              <w:spacing w:before="0" w:after="0" w:line="240" w:lineRule="auto"/>
              <w:ind w:left="0" w:right="0" w:firstLine="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0"/>
                <w:w w:val="100"/>
                <w:position w:val="0"/>
                <w:sz w:val="24"/>
                <w:szCs w:val="24"/>
              </w:rPr>
              <w:t>（方元）</w:t>
            </w:r>
          </w:p>
        </w:tc>
        <w:tc>
          <w:tcPr>
            <w:tcW w:w="1980" w:type="dxa"/>
            <w:tcBorders>
              <w:top w:val="single" w:color="auto" w:sz="4" w:space="0"/>
              <w:left w:val="single" w:color="auto" w:sz="4" w:space="0"/>
            </w:tcBorders>
            <w:shd w:val="clear" w:color="auto" w:fill="FFFFFF"/>
            <w:vAlign w:val="top"/>
          </w:tcPr>
          <w:p>
            <w:pPr>
              <w:widowControl w:val="0"/>
              <w:rPr>
                <w:rFonts w:hint="eastAsia" w:ascii="方正仿宋_GBK" w:hAnsi="方正仿宋_GBK" w:eastAsia="方正仿宋_GBK" w:cs="方正仿宋_GBK"/>
                <w:sz w:val="24"/>
                <w:szCs w:val="24"/>
              </w:rPr>
            </w:pPr>
          </w:p>
        </w:tc>
        <w:tc>
          <w:tcPr>
            <w:tcW w:w="1838" w:type="dxa"/>
            <w:tcBorders>
              <w:top w:val="single" w:color="auto" w:sz="4" w:space="0"/>
              <w:left w:val="single" w:color="auto" w:sz="4" w:space="0"/>
              <w:right w:val="single" w:color="auto" w:sz="4" w:space="0"/>
            </w:tcBorders>
            <w:shd w:val="clear" w:color="auto" w:fill="FFFFFF"/>
            <w:vAlign w:val="top"/>
          </w:tcPr>
          <w:p>
            <w:pPr>
              <w:widowControl w:val="0"/>
              <w:rPr>
                <w:rFonts w:hint="eastAsia" w:ascii="方正仿宋_GBK" w:hAnsi="方正仿宋_GBK" w:eastAsia="方正仿宋_GBK" w:cs="方正仿宋_GBK"/>
                <w:sz w:val="24"/>
                <w:szCs w:val="24"/>
              </w:rPr>
            </w:pPr>
          </w:p>
        </w:tc>
      </w:tr>
      <w:tr>
        <w:tblPrEx>
          <w:tblCellMar>
            <w:top w:w="0" w:type="dxa"/>
            <w:left w:w="10" w:type="dxa"/>
            <w:bottom w:w="0" w:type="dxa"/>
            <w:right w:w="10" w:type="dxa"/>
          </w:tblCellMar>
        </w:tblPrEx>
        <w:trPr>
          <w:trHeight w:val="495" w:hRule="exact"/>
          <w:jc w:val="right"/>
        </w:trPr>
        <w:tc>
          <w:tcPr>
            <w:tcW w:w="743" w:type="dxa"/>
            <w:vMerge w:val="continue"/>
            <w:tcBorders>
              <w:left w:val="single" w:color="auto" w:sz="4" w:space="0"/>
            </w:tcBorders>
            <w:shd w:val="clear" w:color="auto" w:fill="FFFFFF"/>
            <w:vAlign w:val="center"/>
          </w:tcPr>
          <w:p>
            <w:pPr>
              <w:jc w:val="center"/>
              <w:rPr>
                <w:rFonts w:hint="eastAsia" w:ascii="方正仿宋_GBK" w:hAnsi="方正仿宋_GBK" w:eastAsia="方正仿宋_GBK" w:cs="方正仿宋_GBK"/>
                <w:sz w:val="24"/>
                <w:szCs w:val="24"/>
              </w:rPr>
            </w:pPr>
          </w:p>
        </w:tc>
        <w:tc>
          <w:tcPr>
            <w:tcW w:w="3834"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432" w:lineRule="exact"/>
              <w:ind w:left="0" w:right="0" w:firstLine="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0"/>
                <w:w w:val="100"/>
                <w:position w:val="0"/>
                <w:sz w:val="24"/>
                <w:szCs w:val="24"/>
              </w:rPr>
              <w:t>其中</w:t>
            </w:r>
            <w:r>
              <w:rPr>
                <w:rFonts w:hint="eastAsia" w:ascii="方正仿宋_GBK" w:hAnsi="方正仿宋_GBK" w:eastAsia="方正仿宋_GBK" w:cs="方正仿宋_GBK"/>
                <w:color w:val="000000"/>
                <w:spacing w:val="0"/>
                <w:w w:val="100"/>
                <w:position w:val="0"/>
                <w:sz w:val="24"/>
                <w:szCs w:val="24"/>
                <w:lang w:eastAsia="zh-CN"/>
              </w:rPr>
              <w:t>：</w:t>
            </w:r>
            <w:r>
              <w:rPr>
                <w:rFonts w:hint="eastAsia" w:ascii="方正仿宋_GBK" w:hAnsi="方正仿宋_GBK" w:eastAsia="方正仿宋_GBK" w:cs="方正仿宋_GBK"/>
                <w:color w:val="000000"/>
                <w:spacing w:val="0"/>
                <w:w w:val="100"/>
                <w:position w:val="0"/>
                <w:sz w:val="24"/>
                <w:szCs w:val="24"/>
                <w:lang w:val="zh-CN" w:eastAsia="zh-CN" w:bidi="zh-CN"/>
              </w:rPr>
              <w:t>四机</w:t>
            </w:r>
            <w:r>
              <w:rPr>
                <w:rFonts w:hint="eastAsia" w:ascii="方正仿宋_GBK" w:hAnsi="方正仿宋_GBK" w:eastAsia="方正仿宋_GBK" w:cs="方正仿宋_GBK"/>
                <w:color w:val="000000"/>
                <w:spacing w:val="0"/>
                <w:w w:val="100"/>
                <w:position w:val="0"/>
                <w:sz w:val="24"/>
                <w:szCs w:val="24"/>
              </w:rPr>
              <w:t>一脑销售金额 （万元）</w:t>
            </w:r>
          </w:p>
        </w:tc>
        <w:tc>
          <w:tcPr>
            <w:tcW w:w="1980" w:type="dxa"/>
            <w:tcBorders>
              <w:top w:val="single" w:color="auto" w:sz="4" w:space="0"/>
              <w:left w:val="single" w:color="auto" w:sz="4" w:space="0"/>
            </w:tcBorders>
            <w:shd w:val="clear" w:color="auto" w:fill="FFFFFF"/>
            <w:vAlign w:val="top"/>
          </w:tcPr>
          <w:p>
            <w:pPr>
              <w:widowControl w:val="0"/>
              <w:rPr>
                <w:rFonts w:hint="eastAsia" w:ascii="方正仿宋_GBK" w:hAnsi="方正仿宋_GBK" w:eastAsia="方正仿宋_GBK" w:cs="方正仿宋_GBK"/>
                <w:sz w:val="24"/>
                <w:szCs w:val="24"/>
              </w:rPr>
            </w:pPr>
          </w:p>
        </w:tc>
        <w:tc>
          <w:tcPr>
            <w:tcW w:w="1838" w:type="dxa"/>
            <w:tcBorders>
              <w:top w:val="single" w:color="auto" w:sz="4" w:space="0"/>
              <w:left w:val="single" w:color="auto" w:sz="4" w:space="0"/>
              <w:right w:val="single" w:color="auto" w:sz="4" w:space="0"/>
            </w:tcBorders>
            <w:shd w:val="clear" w:color="auto" w:fill="FFFFFF"/>
            <w:vAlign w:val="top"/>
          </w:tcPr>
          <w:p>
            <w:pPr>
              <w:widowControl w:val="0"/>
              <w:rPr>
                <w:rFonts w:hint="eastAsia" w:ascii="方正仿宋_GBK" w:hAnsi="方正仿宋_GBK" w:eastAsia="方正仿宋_GBK" w:cs="方正仿宋_GBK"/>
                <w:sz w:val="24"/>
                <w:szCs w:val="24"/>
              </w:rPr>
            </w:pPr>
          </w:p>
        </w:tc>
      </w:tr>
      <w:tr>
        <w:tblPrEx>
          <w:tblCellMar>
            <w:top w:w="0" w:type="dxa"/>
            <w:left w:w="10" w:type="dxa"/>
            <w:bottom w:w="0" w:type="dxa"/>
            <w:right w:w="10" w:type="dxa"/>
          </w:tblCellMar>
        </w:tblPrEx>
        <w:trPr>
          <w:trHeight w:val="461" w:hRule="exact"/>
          <w:jc w:val="right"/>
        </w:trPr>
        <w:tc>
          <w:tcPr>
            <w:tcW w:w="743" w:type="dxa"/>
            <w:vMerge w:val="continue"/>
            <w:tcBorders>
              <w:left w:val="single" w:color="auto" w:sz="4" w:space="0"/>
            </w:tcBorders>
            <w:shd w:val="clear" w:color="auto" w:fill="FFFFFF"/>
            <w:vAlign w:val="center"/>
          </w:tcPr>
          <w:p>
            <w:pPr>
              <w:jc w:val="center"/>
              <w:rPr>
                <w:rFonts w:hint="eastAsia" w:ascii="方正仿宋_GBK" w:hAnsi="方正仿宋_GBK" w:eastAsia="方正仿宋_GBK" w:cs="方正仿宋_GBK"/>
                <w:sz w:val="24"/>
                <w:szCs w:val="24"/>
              </w:rPr>
            </w:pPr>
          </w:p>
        </w:tc>
        <w:tc>
          <w:tcPr>
            <w:tcW w:w="3834"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418" w:lineRule="exact"/>
              <w:ind w:left="0" w:right="0" w:firstLine="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0"/>
                <w:w w:val="100"/>
                <w:position w:val="0"/>
                <w:sz w:val="24"/>
                <w:szCs w:val="24"/>
              </w:rPr>
              <w:t>其他品类销售金额 （万元）</w:t>
            </w:r>
          </w:p>
        </w:tc>
        <w:tc>
          <w:tcPr>
            <w:tcW w:w="1980" w:type="dxa"/>
            <w:tcBorders>
              <w:top w:val="single" w:color="auto" w:sz="4" w:space="0"/>
              <w:left w:val="single" w:color="auto" w:sz="4" w:space="0"/>
            </w:tcBorders>
            <w:shd w:val="clear" w:color="auto" w:fill="FFFFFF"/>
            <w:vAlign w:val="top"/>
          </w:tcPr>
          <w:p>
            <w:pPr>
              <w:widowControl w:val="0"/>
              <w:rPr>
                <w:rFonts w:hint="eastAsia" w:ascii="方正仿宋_GBK" w:hAnsi="方正仿宋_GBK" w:eastAsia="方正仿宋_GBK" w:cs="方正仿宋_GBK"/>
                <w:sz w:val="24"/>
                <w:szCs w:val="24"/>
              </w:rPr>
            </w:pPr>
          </w:p>
        </w:tc>
        <w:tc>
          <w:tcPr>
            <w:tcW w:w="1838" w:type="dxa"/>
            <w:tcBorders>
              <w:top w:val="single" w:color="auto" w:sz="4" w:space="0"/>
              <w:left w:val="single" w:color="auto" w:sz="4" w:space="0"/>
              <w:right w:val="single" w:color="auto" w:sz="4" w:space="0"/>
            </w:tcBorders>
            <w:shd w:val="clear" w:color="auto" w:fill="FFFFFF"/>
            <w:vAlign w:val="top"/>
          </w:tcPr>
          <w:p>
            <w:pPr>
              <w:widowControl w:val="0"/>
              <w:rPr>
                <w:rFonts w:hint="eastAsia" w:ascii="方正仿宋_GBK" w:hAnsi="方正仿宋_GBK" w:eastAsia="方正仿宋_GBK" w:cs="方正仿宋_GBK"/>
                <w:sz w:val="24"/>
                <w:szCs w:val="24"/>
              </w:rPr>
            </w:pPr>
          </w:p>
        </w:tc>
      </w:tr>
      <w:tr>
        <w:tblPrEx>
          <w:tblCellMar>
            <w:top w:w="0" w:type="dxa"/>
            <w:left w:w="10" w:type="dxa"/>
            <w:bottom w:w="0" w:type="dxa"/>
            <w:right w:w="10" w:type="dxa"/>
          </w:tblCellMar>
        </w:tblPrEx>
        <w:trPr>
          <w:trHeight w:val="424" w:hRule="exact"/>
          <w:jc w:val="right"/>
        </w:trPr>
        <w:tc>
          <w:tcPr>
            <w:tcW w:w="743"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firstLine="0" w:firstLineChars="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0"/>
                <w:w w:val="100"/>
                <w:position w:val="0"/>
                <w:sz w:val="24"/>
                <w:szCs w:val="24"/>
              </w:rPr>
              <w:t>5</w:t>
            </w:r>
          </w:p>
        </w:tc>
        <w:tc>
          <w:tcPr>
            <w:tcW w:w="3834"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432" w:lineRule="exact"/>
              <w:ind w:left="0" w:right="0" w:firstLine="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0"/>
                <w:w w:val="100"/>
                <w:position w:val="0"/>
                <w:sz w:val="24"/>
                <w:szCs w:val="24"/>
                <w:lang w:val="zh-CN" w:eastAsia="zh-CN" w:bidi="zh-CN"/>
              </w:rPr>
              <w:t>旧家电</w:t>
            </w:r>
            <w:r>
              <w:rPr>
                <w:rFonts w:hint="eastAsia" w:ascii="方正仿宋_GBK" w:hAnsi="方正仿宋_GBK" w:eastAsia="方正仿宋_GBK" w:cs="方正仿宋_GBK"/>
                <w:color w:val="000000"/>
                <w:spacing w:val="0"/>
                <w:w w:val="100"/>
                <w:position w:val="0"/>
                <w:sz w:val="24"/>
                <w:szCs w:val="24"/>
              </w:rPr>
              <w:t>销售金额 （万元）</w:t>
            </w:r>
          </w:p>
        </w:tc>
        <w:tc>
          <w:tcPr>
            <w:tcW w:w="1980" w:type="dxa"/>
            <w:tcBorders>
              <w:top w:val="single" w:color="auto" w:sz="4" w:space="0"/>
              <w:left w:val="single" w:color="auto" w:sz="4" w:space="0"/>
            </w:tcBorders>
            <w:shd w:val="clear" w:color="auto" w:fill="FFFFFF"/>
            <w:vAlign w:val="top"/>
          </w:tcPr>
          <w:p>
            <w:pPr>
              <w:widowControl w:val="0"/>
              <w:rPr>
                <w:rFonts w:hint="eastAsia" w:ascii="方正仿宋_GBK" w:hAnsi="方正仿宋_GBK" w:eastAsia="方正仿宋_GBK" w:cs="方正仿宋_GBK"/>
                <w:sz w:val="24"/>
                <w:szCs w:val="24"/>
              </w:rPr>
            </w:pPr>
          </w:p>
        </w:tc>
        <w:tc>
          <w:tcPr>
            <w:tcW w:w="1838" w:type="dxa"/>
            <w:tcBorders>
              <w:top w:val="single" w:color="auto" w:sz="4" w:space="0"/>
              <w:left w:val="single" w:color="auto" w:sz="4" w:space="0"/>
              <w:right w:val="single" w:color="auto" w:sz="4" w:space="0"/>
            </w:tcBorders>
            <w:shd w:val="clear" w:color="auto" w:fill="FFFFFF"/>
            <w:vAlign w:val="top"/>
          </w:tcPr>
          <w:p>
            <w:pPr>
              <w:pStyle w:val="6"/>
              <w:keepNext w:val="0"/>
              <w:keepLines w:val="0"/>
              <w:widowControl w:val="0"/>
              <w:shd w:val="clear" w:color="auto" w:fill="auto"/>
              <w:bidi w:val="0"/>
              <w:spacing w:before="0" w:after="0" w:line="240" w:lineRule="auto"/>
              <w:ind w:left="0" w:right="0" w:firstLine="600"/>
              <w:jc w:val="both"/>
              <w:rPr>
                <w:rFonts w:hint="eastAsia" w:ascii="方正仿宋_GBK" w:hAnsi="方正仿宋_GBK" w:eastAsia="方正仿宋_GBK" w:cs="方正仿宋_GBK"/>
                <w:sz w:val="24"/>
                <w:szCs w:val="24"/>
              </w:rPr>
            </w:pPr>
          </w:p>
        </w:tc>
      </w:tr>
      <w:tr>
        <w:tblPrEx>
          <w:tblCellMar>
            <w:top w:w="0" w:type="dxa"/>
            <w:left w:w="10" w:type="dxa"/>
            <w:bottom w:w="0" w:type="dxa"/>
            <w:right w:w="10" w:type="dxa"/>
          </w:tblCellMar>
        </w:tblPrEx>
        <w:trPr>
          <w:trHeight w:val="483" w:hRule="exact"/>
          <w:jc w:val="right"/>
        </w:trPr>
        <w:tc>
          <w:tcPr>
            <w:tcW w:w="4577" w:type="dxa"/>
            <w:gridSpan w:val="2"/>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439" w:lineRule="exact"/>
              <w:ind w:left="0" w:right="0" w:firstLine="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0"/>
                <w:w w:val="100"/>
                <w:position w:val="0"/>
                <w:sz w:val="24"/>
                <w:szCs w:val="24"/>
              </w:rPr>
              <w:t>废旧家电销售金额合计 （万元）</w:t>
            </w:r>
          </w:p>
        </w:tc>
        <w:tc>
          <w:tcPr>
            <w:tcW w:w="1980" w:type="dxa"/>
            <w:tcBorders>
              <w:top w:val="single" w:color="auto" w:sz="4" w:space="0"/>
              <w:left w:val="single" w:color="auto" w:sz="4" w:space="0"/>
              <w:bottom w:val="single" w:color="auto" w:sz="4" w:space="0"/>
            </w:tcBorders>
            <w:shd w:val="clear" w:color="auto" w:fill="FFFFFF"/>
            <w:vAlign w:val="top"/>
          </w:tcPr>
          <w:p>
            <w:pPr>
              <w:widowControl w:val="0"/>
              <w:rPr>
                <w:rFonts w:hint="eastAsia" w:ascii="方正仿宋_GBK" w:hAnsi="方正仿宋_GBK" w:eastAsia="方正仿宋_GBK" w:cs="方正仿宋_GBK"/>
                <w:sz w:val="24"/>
                <w:szCs w:val="24"/>
              </w:rPr>
            </w:pPr>
          </w:p>
        </w:tc>
        <w:tc>
          <w:tcPr>
            <w:tcW w:w="1838"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ascii="方正仿宋_GBK" w:hAnsi="方正仿宋_GBK" w:eastAsia="方正仿宋_GBK" w:cs="方正仿宋_GBK"/>
                <w:sz w:val="24"/>
                <w:szCs w:val="24"/>
              </w:rPr>
            </w:pPr>
          </w:p>
        </w:tc>
      </w:tr>
      <w:tr>
        <w:tblPrEx>
          <w:tblCellMar>
            <w:top w:w="0" w:type="dxa"/>
            <w:left w:w="10" w:type="dxa"/>
            <w:bottom w:w="0" w:type="dxa"/>
            <w:right w:w="10" w:type="dxa"/>
          </w:tblCellMar>
        </w:tblPrEx>
        <w:trPr>
          <w:trHeight w:val="483" w:hRule="exact"/>
          <w:jc w:val="right"/>
        </w:trPr>
        <w:tc>
          <w:tcPr>
            <w:tcW w:w="743" w:type="dxa"/>
            <w:vMerge w:val="restart"/>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439" w:lineRule="exact"/>
              <w:ind w:left="0" w:right="0" w:firstLine="0"/>
              <w:jc w:val="center"/>
              <w:rPr>
                <w:rFonts w:hint="eastAsia" w:ascii="方正仿宋_GBK" w:hAnsi="方正仿宋_GBK" w:eastAsia="方正仿宋_GBK" w:cs="方正仿宋_GBK"/>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6</w:t>
            </w:r>
          </w:p>
        </w:tc>
        <w:tc>
          <w:tcPr>
            <w:tcW w:w="3834"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120" w:line="240" w:lineRule="auto"/>
              <w:ind w:left="0" w:right="0" w:firstLine="0"/>
              <w:jc w:val="center"/>
              <w:rPr>
                <w:rFonts w:hint="eastAsia" w:ascii="方正仿宋_GBK" w:hAnsi="方正仿宋_GBK" w:eastAsia="方正仿宋_GBK" w:cs="方正仿宋_GBK"/>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rPr>
              <w:t>废家电拆解量（台/套）</w:t>
            </w:r>
          </w:p>
        </w:tc>
        <w:tc>
          <w:tcPr>
            <w:tcW w:w="1980" w:type="dxa"/>
            <w:tcBorders>
              <w:top w:val="single" w:color="auto" w:sz="4" w:space="0"/>
              <w:left w:val="single" w:color="auto" w:sz="4" w:space="0"/>
              <w:bottom w:val="single" w:color="auto" w:sz="4" w:space="0"/>
            </w:tcBorders>
            <w:shd w:val="clear" w:color="auto" w:fill="FFFFFF"/>
            <w:vAlign w:val="top"/>
          </w:tcPr>
          <w:p>
            <w:pPr>
              <w:widowControl w:val="0"/>
              <w:rPr>
                <w:rFonts w:hint="eastAsia" w:ascii="方正仿宋_GBK" w:hAnsi="方正仿宋_GBK" w:eastAsia="方正仿宋_GBK" w:cs="方正仿宋_GBK"/>
                <w:sz w:val="24"/>
                <w:szCs w:val="24"/>
              </w:rPr>
            </w:pPr>
          </w:p>
        </w:tc>
        <w:tc>
          <w:tcPr>
            <w:tcW w:w="1838"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ascii="方正仿宋_GBK" w:hAnsi="方正仿宋_GBK" w:eastAsia="方正仿宋_GBK" w:cs="方正仿宋_GBK"/>
                <w:sz w:val="24"/>
                <w:szCs w:val="24"/>
              </w:rPr>
            </w:pPr>
          </w:p>
        </w:tc>
      </w:tr>
      <w:tr>
        <w:tblPrEx>
          <w:tblCellMar>
            <w:top w:w="0" w:type="dxa"/>
            <w:left w:w="10" w:type="dxa"/>
            <w:bottom w:w="0" w:type="dxa"/>
            <w:right w:w="10" w:type="dxa"/>
          </w:tblCellMar>
        </w:tblPrEx>
        <w:trPr>
          <w:trHeight w:val="483" w:hRule="exact"/>
          <w:jc w:val="right"/>
        </w:trPr>
        <w:tc>
          <w:tcPr>
            <w:tcW w:w="743" w:type="dxa"/>
            <w:vMerge w:val="continue"/>
            <w:tcBorders>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439" w:lineRule="exact"/>
              <w:ind w:left="0" w:right="0" w:firstLine="0"/>
              <w:jc w:val="center"/>
              <w:rPr>
                <w:rFonts w:hint="eastAsia" w:ascii="方正仿宋_GBK" w:hAnsi="方正仿宋_GBK" w:eastAsia="方正仿宋_GBK" w:cs="方正仿宋_GBK"/>
                <w:color w:val="000000"/>
                <w:spacing w:val="0"/>
                <w:w w:val="100"/>
                <w:position w:val="0"/>
                <w:sz w:val="24"/>
                <w:szCs w:val="24"/>
              </w:rPr>
            </w:pPr>
          </w:p>
        </w:tc>
        <w:tc>
          <w:tcPr>
            <w:tcW w:w="3834"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120" w:line="240" w:lineRule="auto"/>
              <w:ind w:left="0" w:right="0" w:firstLine="0"/>
              <w:jc w:val="center"/>
              <w:rPr>
                <w:rFonts w:hint="eastAsia" w:ascii="方正仿宋_GBK" w:hAnsi="方正仿宋_GBK" w:eastAsia="方正仿宋_GBK" w:cs="方正仿宋_GBK"/>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rPr>
              <w:t>其中：四机一脑拆解量（台/套）</w:t>
            </w:r>
          </w:p>
        </w:tc>
        <w:tc>
          <w:tcPr>
            <w:tcW w:w="1980" w:type="dxa"/>
            <w:tcBorders>
              <w:top w:val="single" w:color="auto" w:sz="4" w:space="0"/>
              <w:left w:val="single" w:color="auto" w:sz="4" w:space="0"/>
              <w:bottom w:val="single" w:color="auto" w:sz="4" w:space="0"/>
            </w:tcBorders>
            <w:shd w:val="clear" w:color="auto" w:fill="FFFFFF"/>
            <w:vAlign w:val="top"/>
          </w:tcPr>
          <w:p>
            <w:pPr>
              <w:widowControl w:val="0"/>
              <w:rPr>
                <w:rFonts w:hint="eastAsia" w:ascii="方正仿宋_GBK" w:hAnsi="方正仿宋_GBK" w:eastAsia="方正仿宋_GBK" w:cs="方正仿宋_GBK"/>
                <w:sz w:val="24"/>
                <w:szCs w:val="24"/>
              </w:rPr>
            </w:pPr>
          </w:p>
        </w:tc>
        <w:tc>
          <w:tcPr>
            <w:tcW w:w="1838"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ascii="方正仿宋_GBK" w:hAnsi="方正仿宋_GBK" w:eastAsia="方正仿宋_GBK" w:cs="方正仿宋_GBK"/>
                <w:sz w:val="24"/>
                <w:szCs w:val="24"/>
              </w:rPr>
            </w:pPr>
          </w:p>
        </w:tc>
      </w:tr>
      <w:tr>
        <w:tblPrEx>
          <w:tblCellMar>
            <w:top w:w="0" w:type="dxa"/>
            <w:left w:w="10" w:type="dxa"/>
            <w:bottom w:w="0" w:type="dxa"/>
            <w:right w:w="10" w:type="dxa"/>
          </w:tblCellMar>
        </w:tblPrEx>
        <w:trPr>
          <w:trHeight w:val="483" w:hRule="exact"/>
          <w:jc w:val="right"/>
        </w:trPr>
        <w:tc>
          <w:tcPr>
            <w:tcW w:w="743" w:type="dxa"/>
            <w:vMerge w:val="continue"/>
            <w:tcBorders>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439" w:lineRule="exact"/>
              <w:ind w:left="0" w:right="0" w:firstLine="0"/>
              <w:jc w:val="center"/>
              <w:rPr>
                <w:rFonts w:hint="eastAsia" w:ascii="方正仿宋_GBK" w:hAnsi="方正仿宋_GBK" w:eastAsia="方正仿宋_GBK" w:cs="方正仿宋_GBK"/>
                <w:color w:val="000000"/>
                <w:spacing w:val="0"/>
                <w:w w:val="100"/>
                <w:position w:val="0"/>
                <w:sz w:val="24"/>
                <w:szCs w:val="24"/>
              </w:rPr>
            </w:pPr>
          </w:p>
        </w:tc>
        <w:tc>
          <w:tcPr>
            <w:tcW w:w="3834"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100" w:line="240" w:lineRule="auto"/>
              <w:ind w:left="0" w:right="0" w:firstLine="0"/>
              <w:jc w:val="center"/>
              <w:rPr>
                <w:rFonts w:hint="eastAsia" w:ascii="方正仿宋_GBK" w:hAnsi="方正仿宋_GBK" w:eastAsia="方正仿宋_GBK" w:cs="方正仿宋_GBK"/>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rPr>
              <w:t>其他品类拆解</w:t>
            </w:r>
            <w:r>
              <w:rPr>
                <w:rFonts w:hint="eastAsia" w:ascii="方正仿宋_GBK" w:hAnsi="方正仿宋_GBK" w:eastAsia="方正仿宋_GBK" w:cs="方正仿宋_GBK"/>
                <w:color w:val="000000"/>
                <w:spacing w:val="0"/>
                <w:w w:val="100"/>
                <w:position w:val="0"/>
                <w:sz w:val="24"/>
                <w:szCs w:val="24"/>
                <w:lang w:eastAsia="zh-CN"/>
              </w:rPr>
              <w:t>量（</w:t>
            </w:r>
            <w:r>
              <w:rPr>
                <w:rFonts w:hint="eastAsia" w:ascii="方正仿宋_GBK" w:hAnsi="方正仿宋_GBK" w:eastAsia="方正仿宋_GBK" w:cs="方正仿宋_GBK"/>
                <w:color w:val="000000"/>
                <w:spacing w:val="0"/>
                <w:w w:val="100"/>
                <w:position w:val="0"/>
                <w:sz w:val="24"/>
                <w:szCs w:val="24"/>
                <w:lang w:val="en-US" w:eastAsia="zh-CN"/>
              </w:rPr>
              <w:t>台</w:t>
            </w:r>
            <w:r>
              <w:rPr>
                <w:rFonts w:hint="eastAsia" w:ascii="方正仿宋_GBK" w:hAnsi="方正仿宋_GBK" w:eastAsia="方正仿宋_GBK" w:cs="方正仿宋_GBK"/>
                <w:color w:val="000000"/>
                <w:spacing w:val="0"/>
                <w:w w:val="100"/>
                <w:position w:val="0"/>
                <w:sz w:val="24"/>
                <w:szCs w:val="24"/>
              </w:rPr>
              <w:t>/套）</w:t>
            </w:r>
          </w:p>
        </w:tc>
        <w:tc>
          <w:tcPr>
            <w:tcW w:w="1980" w:type="dxa"/>
            <w:tcBorders>
              <w:top w:val="single" w:color="auto" w:sz="4" w:space="0"/>
              <w:left w:val="single" w:color="auto" w:sz="4" w:space="0"/>
              <w:bottom w:val="single" w:color="auto" w:sz="4" w:space="0"/>
            </w:tcBorders>
            <w:shd w:val="clear" w:color="auto" w:fill="FFFFFF"/>
            <w:vAlign w:val="top"/>
          </w:tcPr>
          <w:p>
            <w:pPr>
              <w:widowControl w:val="0"/>
              <w:rPr>
                <w:rFonts w:hint="eastAsia" w:ascii="方正仿宋_GBK" w:hAnsi="方正仿宋_GBK" w:eastAsia="方正仿宋_GBK" w:cs="方正仿宋_GBK"/>
                <w:sz w:val="24"/>
                <w:szCs w:val="24"/>
              </w:rPr>
            </w:pPr>
          </w:p>
        </w:tc>
        <w:tc>
          <w:tcPr>
            <w:tcW w:w="1838"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ascii="方正仿宋_GBK" w:hAnsi="方正仿宋_GBK" w:eastAsia="方正仿宋_GBK" w:cs="方正仿宋_GBK"/>
                <w:sz w:val="24"/>
                <w:szCs w:val="24"/>
              </w:rPr>
            </w:pPr>
          </w:p>
        </w:tc>
      </w:tr>
    </w:tbl>
    <w:p>
      <w:pPr>
        <w:widowControl w:val="0"/>
        <w:spacing w:line="1" w:lineRule="exact"/>
        <w:rPr>
          <w:rFonts w:hint="eastAsia" w:ascii="方正仿宋_GBK" w:hAnsi="方正仿宋_GBK" w:eastAsia="方正仿宋_GBK" w:cs="方正仿宋_GBK"/>
          <w:spacing w:val="0"/>
          <w:w w:val="100"/>
          <w:kern w:val="2"/>
          <w:position w:val="0"/>
          <w:sz w:val="32"/>
          <w:szCs w:val="32"/>
          <w:shd w:val="clear"/>
          <w:lang w:val="en-US" w:eastAsia="zh-CN" w:bidi="ar-SA"/>
        </w:rPr>
      </w:pP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right="0"/>
        <w:jc w:val="both"/>
        <w:textAlignment w:val="auto"/>
        <w:outlineLvl w:val="9"/>
        <w:rPr>
          <w:rFonts w:hint="eastAsia" w:ascii="方正仿宋_GBK" w:hAnsi="方正仿宋_GBK" w:eastAsia="方正仿宋_GBK" w:cs="方正仿宋_GBK"/>
          <w:spacing w:val="0"/>
          <w:w w:val="100"/>
          <w:kern w:val="2"/>
          <w:position w:val="0"/>
          <w:sz w:val="21"/>
          <w:szCs w:val="21"/>
          <w:shd w:val="clear"/>
          <w:lang w:val="en-US" w:eastAsia="zh-CN" w:bidi="ar-SA"/>
        </w:rPr>
      </w:pPr>
      <w:r>
        <w:rPr>
          <w:rFonts w:hint="eastAsia" w:ascii="方正黑体_GBK" w:hAnsi="方正黑体_GBK" w:eastAsia="方正黑体_GBK" w:cs="方正黑体_GBK"/>
          <w:color w:val="000000"/>
          <w:spacing w:val="0"/>
          <w:w w:val="100"/>
          <w:position w:val="0"/>
          <w:sz w:val="24"/>
          <w:szCs w:val="24"/>
        </w:rPr>
        <w:t>注释</w:t>
      </w:r>
      <w:r>
        <w:rPr>
          <w:rFonts w:hint="eastAsia" w:ascii="方正黑体_GBK" w:hAnsi="方正黑体_GBK" w:eastAsia="方正黑体_GBK" w:cs="方正黑体_GBK"/>
          <w:color w:val="000000"/>
          <w:spacing w:val="0"/>
          <w:w w:val="100"/>
          <w:position w:val="0"/>
          <w:sz w:val="24"/>
          <w:szCs w:val="24"/>
          <w:lang w:eastAsia="zh-CN"/>
        </w:rPr>
        <w:t>：</w:t>
      </w:r>
      <w:r>
        <w:rPr>
          <w:rFonts w:hint="eastAsia" w:ascii="方正仿宋_GBK" w:hAnsi="方正仿宋_GBK" w:eastAsia="方正仿宋_GBK" w:cs="方正仿宋_GBK"/>
          <w:color w:val="000000"/>
          <w:spacing w:val="0"/>
          <w:w w:val="100"/>
          <w:position w:val="0"/>
          <w:sz w:val="24"/>
          <w:szCs w:val="24"/>
        </w:rPr>
        <w:t>本表所指废家电</w:t>
      </w:r>
      <w:r>
        <w:rPr>
          <w:rFonts w:hint="eastAsia" w:ascii="方正仿宋_GBK" w:hAnsi="方正仿宋_GBK" w:eastAsia="方正仿宋_GBK" w:cs="方正仿宋_GBK"/>
          <w:color w:val="000000"/>
          <w:spacing w:val="0"/>
          <w:w w:val="100"/>
          <w:position w:val="0"/>
          <w:sz w:val="24"/>
          <w:szCs w:val="24"/>
          <w:lang w:eastAsia="zh-CN"/>
        </w:rPr>
        <w:t>销售量</w:t>
      </w:r>
      <w:r>
        <w:rPr>
          <w:rFonts w:hint="eastAsia" w:ascii="方正仿宋_GBK" w:hAnsi="方正仿宋_GBK" w:eastAsia="方正仿宋_GBK" w:cs="方正仿宋_GBK"/>
          <w:color w:val="000000"/>
          <w:spacing w:val="0"/>
          <w:w w:val="100"/>
          <w:position w:val="0"/>
          <w:sz w:val="24"/>
          <w:szCs w:val="24"/>
        </w:rPr>
        <w:t>是指回收企业销售给具有废弃电器电子产品处理资质的企业的家电数量；旧家电销售量是指销售给社会公众的家电</w:t>
      </w:r>
      <w:r>
        <w:rPr>
          <w:rFonts w:hint="eastAsia" w:ascii="方正仿宋_GBK" w:hAnsi="方正仿宋_GBK" w:eastAsia="方正仿宋_GBK" w:cs="方正仿宋_GBK"/>
          <w:color w:val="000000"/>
          <w:spacing w:val="0"/>
          <w:w w:val="100"/>
          <w:position w:val="0"/>
          <w:sz w:val="24"/>
          <w:szCs w:val="24"/>
          <w:lang w:eastAsia="zh-CN"/>
        </w:rPr>
        <w:t>数量。</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right="0"/>
        <w:jc w:val="both"/>
        <w:textAlignment w:val="auto"/>
        <w:outlineLvl w:val="9"/>
        <w:rPr>
          <w:rFonts w:hint="eastAsia" w:ascii="方正仿宋_GBK" w:hAnsi="方正仿宋_GBK" w:eastAsia="方正仿宋_GBK" w:cs="方正仿宋_GBK"/>
          <w:spacing w:val="0"/>
          <w:w w:val="100"/>
          <w:kern w:val="2"/>
          <w:position w:val="0"/>
          <w:sz w:val="21"/>
          <w:szCs w:val="21"/>
          <w:shd w:val="clear"/>
          <w:lang w:val="en-US" w:eastAsia="zh-CN" w:bidi="ar-SA"/>
        </w:rPr>
      </w:pPr>
    </w:p>
    <w:p>
      <w:pPr>
        <w:widowControl w:val="0"/>
        <w:spacing w:line="1" w:lineRule="exact"/>
        <w:rPr>
          <w:rFonts w:hint="eastAsia" w:ascii="方正仿宋_GBK" w:hAnsi="方正仿宋_GBK" w:eastAsia="方正仿宋_GBK" w:cs="方正仿宋_GBK"/>
          <w:spacing w:val="0"/>
          <w:w w:val="100"/>
          <w:kern w:val="2"/>
          <w:position w:val="0"/>
          <w:sz w:val="32"/>
          <w:szCs w:val="32"/>
          <w:shd w:val="clear"/>
          <w:lang w:val="en-US" w:eastAsia="zh-CN" w:bidi="ar-SA"/>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6D1359"/>
    <w:rsid w:val="03F70D15"/>
    <w:rsid w:val="0A43276C"/>
    <w:rsid w:val="2B654E13"/>
    <w:rsid w:val="44FC118F"/>
    <w:rsid w:val="4E6D1359"/>
    <w:rsid w:val="4FFF7C7D"/>
    <w:rsid w:val="60DA6217"/>
    <w:rsid w:val="6D266314"/>
    <w:rsid w:val="6FD93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 w:type="paragraph" w:customStyle="1" w:styleId="5">
    <w:name w:val="Body text|1"/>
    <w:basedOn w:val="1"/>
    <w:qFormat/>
    <w:uiPriority w:val="0"/>
    <w:pPr>
      <w:widowControl w:val="0"/>
      <w:shd w:val="clear" w:color="auto" w:fill="auto"/>
      <w:spacing w:line="463" w:lineRule="auto"/>
      <w:ind w:firstLine="400"/>
    </w:pPr>
    <w:rPr>
      <w:rFonts w:ascii="宋体" w:hAnsi="宋体" w:eastAsia="宋体" w:cs="宋体"/>
      <w:sz w:val="28"/>
      <w:szCs w:val="28"/>
      <w:u w:val="none"/>
      <w:shd w:val="clear" w:color="auto" w:fill="auto"/>
      <w:lang w:val="zh-TW" w:eastAsia="zh-TW" w:bidi="zh-TW"/>
    </w:rPr>
  </w:style>
  <w:style w:type="paragraph" w:customStyle="1" w:styleId="6">
    <w:name w:val="Other|1"/>
    <w:basedOn w:val="1"/>
    <w:qFormat/>
    <w:uiPriority w:val="0"/>
    <w:pPr>
      <w:widowControl w:val="0"/>
      <w:shd w:val="clear" w:color="auto" w:fill="auto"/>
      <w:spacing w:line="463"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江苏省商务厅</Company>
  <Pages>1</Pages>
  <Words>0</Words>
  <Characters>0</Characters>
  <Lines>0</Lines>
  <Paragraphs>0</Paragraphs>
  <TotalTime>1</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2022-08-30T16:23:00Z</dcterms:created>
  <dc:creator>任鹏</dc:creator>
  <cp:lastModifiedBy>kylin</cp:lastModifiedBy>
  <dcterms:modified xsi:type="dcterms:W3CDTF">2022-09-21T10:14:38Z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