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pPr>
      <w:r>
        <w:rPr>
          <w:rFonts w:ascii="微软雅黑" w:hAnsi="微软雅黑" w:eastAsia="微软雅黑" w:cs="微软雅黑"/>
          <w:i w:val="0"/>
          <w:iCs w:val="0"/>
          <w:caps w:val="0"/>
          <w:color w:val="333333"/>
          <w:spacing w:val="0"/>
          <w:sz w:val="24"/>
          <w:szCs w:val="24"/>
          <w:bdr w:val="none" w:color="auto" w:sz="0" w:space="0"/>
          <w:shd w:val="clear" w:fill="FFFFFF"/>
        </w:rPr>
        <w:t>附件1</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2022年度疫情防控期间主动为承租企业减免租金的服务业集聚示范区拟资金补助名单</w:t>
      </w:r>
    </w:p>
    <w:tbl>
      <w:tblPr>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7"/>
        <w:gridCol w:w="2116"/>
        <w:gridCol w:w="51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序号</w:t>
            </w:r>
          </w:p>
        </w:tc>
        <w:tc>
          <w:tcPr>
            <w:tcW w:w="1271"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辖市区</w:t>
            </w: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集聚区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w:t>
            </w:r>
          </w:p>
        </w:tc>
        <w:tc>
          <w:tcPr>
            <w:tcW w:w="1271"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金坛</w:t>
            </w: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金坛茅山道养文旅集聚区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2</w:t>
            </w:r>
          </w:p>
        </w:tc>
        <w:tc>
          <w:tcPr>
            <w:tcW w:w="1271" w:type="pct"/>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武进</w:t>
            </w: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常州绿色建筑产业集聚示范区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3</w:t>
            </w:r>
          </w:p>
        </w:tc>
        <w:tc>
          <w:tcPr>
            <w:tcW w:w="1271" w:type="pct"/>
            <w:vMerge w:val="continue"/>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微软雅黑" w:hAnsi="微软雅黑" w:eastAsia="微软雅黑" w:cs="微软雅黑"/>
                <w:color w:val="333333"/>
                <w:sz w:val="24"/>
                <w:szCs w:val="24"/>
              </w:rPr>
            </w:pP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常州西太湖电子商务产业园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4</w:t>
            </w:r>
          </w:p>
        </w:tc>
        <w:tc>
          <w:tcPr>
            <w:tcW w:w="1271" w:type="pct"/>
            <w:vMerge w:val="continue"/>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微软雅黑" w:hAnsi="微软雅黑" w:eastAsia="微软雅黑" w:cs="微软雅黑"/>
                <w:color w:val="333333"/>
                <w:sz w:val="24"/>
                <w:szCs w:val="24"/>
              </w:rPr>
            </w:pP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常州市科教城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5</w:t>
            </w:r>
          </w:p>
        </w:tc>
        <w:tc>
          <w:tcPr>
            <w:tcW w:w="1271" w:type="pct"/>
            <w:vMerge w:val="continue"/>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微软雅黑" w:hAnsi="微软雅黑" w:eastAsia="微软雅黑" w:cs="微软雅黑"/>
                <w:color w:val="333333"/>
                <w:sz w:val="24"/>
                <w:szCs w:val="24"/>
              </w:rPr>
            </w:pP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常州太湖湾数字文化服务业集聚区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6</w:t>
            </w:r>
          </w:p>
        </w:tc>
        <w:tc>
          <w:tcPr>
            <w:tcW w:w="1271" w:type="pct"/>
            <w:vMerge w:val="continue"/>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微软雅黑" w:hAnsi="微软雅黑" w:eastAsia="微软雅黑" w:cs="微软雅黑"/>
                <w:color w:val="333333"/>
                <w:sz w:val="24"/>
                <w:szCs w:val="24"/>
              </w:rPr>
            </w:pP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常州津通现代服务业集聚区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7</w:t>
            </w:r>
          </w:p>
        </w:tc>
        <w:tc>
          <w:tcPr>
            <w:tcW w:w="1271" w:type="pct"/>
            <w:vMerge w:val="continue"/>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微软雅黑" w:hAnsi="微软雅黑" w:eastAsia="微软雅黑" w:cs="微软雅黑"/>
                <w:color w:val="333333"/>
                <w:sz w:val="24"/>
                <w:szCs w:val="24"/>
              </w:rPr>
            </w:pP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湖塘科技产业园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8</w:t>
            </w:r>
          </w:p>
        </w:tc>
        <w:tc>
          <w:tcPr>
            <w:tcW w:w="1271"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新北</w:t>
            </w: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常州创意产业园区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9</w:t>
            </w:r>
          </w:p>
        </w:tc>
        <w:tc>
          <w:tcPr>
            <w:tcW w:w="1271" w:type="pct"/>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天宁</w:t>
            </w: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江苏常州人力资源服务产业园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10</w:t>
            </w:r>
          </w:p>
        </w:tc>
        <w:tc>
          <w:tcPr>
            <w:tcW w:w="1271" w:type="pct"/>
            <w:vMerge w:val="continue"/>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微软雅黑" w:hAnsi="微软雅黑" w:eastAsia="微软雅黑" w:cs="微软雅黑"/>
                <w:color w:val="333333"/>
                <w:sz w:val="24"/>
                <w:szCs w:val="24"/>
              </w:rPr>
            </w:pP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常州市检验检测认证产业园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11</w:t>
            </w:r>
          </w:p>
        </w:tc>
        <w:tc>
          <w:tcPr>
            <w:tcW w:w="1271" w:type="pct"/>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钟楼</w:t>
            </w: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常州大数据产业园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12</w:t>
            </w:r>
          </w:p>
        </w:tc>
        <w:tc>
          <w:tcPr>
            <w:tcW w:w="1271" w:type="pct"/>
            <w:vMerge w:val="continue"/>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微软雅黑" w:hAnsi="微软雅黑" w:eastAsia="微软雅黑" w:cs="微软雅黑"/>
                <w:color w:val="333333"/>
                <w:sz w:val="24"/>
                <w:szCs w:val="24"/>
              </w:rPr>
            </w:pP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常州邹区灯具产业现代服务业集聚区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13</w:t>
            </w:r>
          </w:p>
        </w:tc>
        <w:tc>
          <w:tcPr>
            <w:tcW w:w="1271" w:type="pct"/>
            <w:vMerge w:val="continue"/>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微软雅黑" w:hAnsi="微软雅黑" w:eastAsia="微软雅黑" w:cs="微软雅黑"/>
                <w:color w:val="333333"/>
                <w:sz w:val="24"/>
                <w:szCs w:val="24"/>
              </w:rPr>
            </w:pP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常州运河五号创意街区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14</w:t>
            </w:r>
          </w:p>
        </w:tc>
        <w:tc>
          <w:tcPr>
            <w:tcW w:w="1271" w:type="pct"/>
            <w:vMerge w:val="continue"/>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微软雅黑" w:hAnsi="微软雅黑" w:eastAsia="微软雅黑" w:cs="微软雅黑"/>
                <w:color w:val="333333"/>
                <w:sz w:val="24"/>
                <w:szCs w:val="24"/>
              </w:rPr>
            </w:pP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新博智汇谷服务业集聚区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5"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15</w:t>
            </w:r>
          </w:p>
        </w:tc>
        <w:tc>
          <w:tcPr>
            <w:tcW w:w="1271" w:type="pct"/>
            <w:vMerge w:val="continue"/>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微软雅黑" w:hAnsi="微软雅黑" w:eastAsia="微软雅黑" w:cs="微软雅黑"/>
                <w:color w:val="333333"/>
                <w:sz w:val="24"/>
                <w:szCs w:val="24"/>
              </w:rPr>
            </w:pPr>
          </w:p>
        </w:tc>
        <w:tc>
          <w:tcPr>
            <w:tcW w:w="3093" w:type="pc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常州五星智造园</w:t>
            </w:r>
          </w:p>
        </w:tc>
      </w:tr>
    </w:tbl>
    <w:p>
      <w:pPr>
        <w:keepNext w:val="0"/>
        <w:keepLines w:val="0"/>
        <w:widowControl/>
        <w:suppressLineNumbers w:val="0"/>
        <w:jc w:val="left"/>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2022年度疫情防控期间创新型服务业企业</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拟资金补助名单</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4"/>
        <w:gridCol w:w="1527"/>
        <w:gridCol w:w="5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b/>
                <w:bCs/>
                <w:color w:val="000000"/>
                <w:sz w:val="24"/>
                <w:szCs w:val="24"/>
                <w:bdr w:val="none" w:color="auto" w:sz="0" w:space="0"/>
              </w:rPr>
              <w:t>序号</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b/>
                <w:bCs/>
                <w:color w:val="000000"/>
                <w:sz w:val="24"/>
                <w:szCs w:val="24"/>
                <w:bdr w:val="none" w:color="auto" w:sz="0" w:space="0"/>
              </w:rPr>
              <w:t>辖市区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b/>
                <w:bCs/>
                <w:color w:val="000000"/>
                <w:sz w:val="24"/>
                <w:szCs w:val="24"/>
                <w:bdr w:val="none" w:color="auto" w:sz="0" w:space="0"/>
              </w:rPr>
              <w:t>创新型服务业企业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新北区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恐龙园文化旅游集团股份有限公司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2</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钟楼区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常州市建筑科学研究院集团股份有限公司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3</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新北区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江苏筑森建筑设计有限公司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4</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经开区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灵通展览系统股份有限公司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5</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新北区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江苏江南环球港商业中心有限公司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6</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钟楼区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常州嘉悦置业有限公司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7</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经开区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江苏永葆环保科技股份有限公司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8</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天宁区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江苏筑原建筑设计有限公司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9</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天宁区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坛墨质检科技股份有限公司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10</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经开区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江苏城工建设科技有限公司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11</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钟楼区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常州新城万盛商业管理有限公司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12</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武进区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恒泰人民（江苏）大药房连锁有限公司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13</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金坛区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常州金坛万博房地产经营管理有限公司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14</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武进区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常州新城宏昊商业管理有限公司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0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333333"/>
                <w:sz w:val="24"/>
                <w:szCs w:val="24"/>
                <w:bdr w:val="none" w:color="auto" w:sz="0" w:space="0"/>
              </w:rPr>
              <w:t>15</w:t>
            </w:r>
          </w:p>
        </w:tc>
        <w:tc>
          <w:tcPr>
            <w:tcW w:w="917"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天宁区</w:t>
            </w:r>
          </w:p>
        </w:tc>
        <w:tc>
          <w:tcPr>
            <w:tcW w:w="3581" w:type="pc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color w:val="000000"/>
                <w:sz w:val="24"/>
                <w:szCs w:val="24"/>
                <w:bdr w:val="none" w:color="auto" w:sz="0" w:space="0"/>
              </w:rPr>
              <w:t>通用公正技术服务（中国）有限公司</w:t>
            </w:r>
          </w:p>
        </w:tc>
      </w:tr>
    </w:tbl>
    <w:p>
      <w:pPr>
        <w:keepNext w:val="0"/>
        <w:keepLines w:val="0"/>
        <w:widowControl/>
        <w:suppressLineNumbers w:val="0"/>
        <w:jc w:val="left"/>
      </w:pPr>
    </w:p>
    <w:p>
      <w:pPr>
        <w:pStyle w:val="2"/>
        <w:keepNext w:val="0"/>
        <w:keepLines w:val="0"/>
        <w:widowControl/>
        <w:suppressLineNumbers w:val="0"/>
        <w:shd w:val="clear" w:fill="FFFFFF"/>
        <w:spacing w:before="0" w:beforeAutospacing="0" w:after="0" w:afterAutospacing="0"/>
        <w:ind w:left="0" w:firstLine="0"/>
        <w:jc w:val="left"/>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shd w:val="clear" w:fill="FFFFFF"/>
        <w:spacing w:before="0" w:beforeAutospacing="0" w:after="0" w:afterAutospacing="0"/>
        <w:ind w:left="0" w:firstLine="0"/>
        <w:jc w:val="left"/>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shd w:val="clear" w:fill="FFFFFF"/>
        <w:spacing w:before="0" w:beforeAutospacing="0" w:after="0" w:afterAutospacing="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附件3</w:t>
      </w:r>
    </w:p>
    <w:p>
      <w:pPr>
        <w:pStyle w:val="2"/>
        <w:keepNext w:val="0"/>
        <w:keepLines w:val="0"/>
        <w:widowControl/>
        <w:suppressLineNumbers w:val="0"/>
        <w:shd w:val="clear" w:fill="FFFFFF"/>
        <w:spacing w:before="0" w:beforeAutospacing="0" w:after="0" w:afterAutospacing="0"/>
        <w:ind w:lef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2022年度市级保障供应链畅通创新应用示范企业拟资金补助名单</w:t>
      </w:r>
    </w:p>
    <w:tbl>
      <w:tblPr>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02"/>
        <w:gridCol w:w="1715"/>
        <w:gridCol w:w="5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02"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序号</w:t>
            </w:r>
          </w:p>
        </w:tc>
        <w:tc>
          <w:tcPr>
            <w:tcW w:w="103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辖市区</w:t>
            </w:r>
          </w:p>
        </w:tc>
        <w:tc>
          <w:tcPr>
            <w:tcW w:w="3367"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保障供应链畅通创新应用示范企业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02"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1</w:t>
            </w:r>
          </w:p>
        </w:tc>
        <w:tc>
          <w:tcPr>
            <w:tcW w:w="103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金坛区</w:t>
            </w:r>
          </w:p>
        </w:tc>
        <w:tc>
          <w:tcPr>
            <w:tcW w:w="3367"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江苏盐道物流股份有限公司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02"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2</w:t>
            </w:r>
          </w:p>
        </w:tc>
        <w:tc>
          <w:tcPr>
            <w:tcW w:w="103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新北区</w:t>
            </w:r>
          </w:p>
        </w:tc>
        <w:tc>
          <w:tcPr>
            <w:tcW w:w="3367"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江苏政成物流股份有限公司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02"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3</w:t>
            </w:r>
          </w:p>
        </w:tc>
        <w:tc>
          <w:tcPr>
            <w:tcW w:w="103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新北区</w:t>
            </w:r>
          </w:p>
        </w:tc>
        <w:tc>
          <w:tcPr>
            <w:tcW w:w="3367"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江苏奔牛港务集团有限公司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02"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4</w:t>
            </w:r>
          </w:p>
        </w:tc>
        <w:tc>
          <w:tcPr>
            <w:tcW w:w="103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新北区</w:t>
            </w:r>
          </w:p>
        </w:tc>
        <w:tc>
          <w:tcPr>
            <w:tcW w:w="3367"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bookmarkStart w:id="0" w:name="_GoBack"/>
            <w:bookmarkEnd w:id="0"/>
            <w:r>
              <w:rPr>
                <w:rFonts w:hint="eastAsia" w:ascii="微软雅黑" w:hAnsi="微软雅黑" w:eastAsia="微软雅黑" w:cs="微软雅黑"/>
                <w:i w:val="0"/>
                <w:iCs w:val="0"/>
                <w:caps w:val="0"/>
                <w:color w:val="333333"/>
                <w:spacing w:val="0"/>
                <w:sz w:val="24"/>
                <w:szCs w:val="24"/>
              </w:rPr>
              <w:t>常州地方粮食和物资储备库有限公司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02"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5</w:t>
            </w:r>
          </w:p>
        </w:tc>
        <w:tc>
          <w:tcPr>
            <w:tcW w:w="103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钟楼区</w:t>
            </w:r>
          </w:p>
        </w:tc>
        <w:tc>
          <w:tcPr>
            <w:tcW w:w="3367"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常州凌家塘商贸有限公司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02"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6</w:t>
            </w:r>
          </w:p>
        </w:tc>
        <w:tc>
          <w:tcPr>
            <w:tcW w:w="103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经开区</w:t>
            </w:r>
          </w:p>
        </w:tc>
        <w:tc>
          <w:tcPr>
            <w:tcW w:w="3367"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顺丰运输（常州）有限公司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02"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7</w:t>
            </w:r>
          </w:p>
        </w:tc>
        <w:tc>
          <w:tcPr>
            <w:tcW w:w="103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新北区</w:t>
            </w:r>
          </w:p>
        </w:tc>
        <w:tc>
          <w:tcPr>
            <w:tcW w:w="3367"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常州录安洲长江码头有限公司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02"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8</w:t>
            </w:r>
          </w:p>
        </w:tc>
        <w:tc>
          <w:tcPr>
            <w:tcW w:w="103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新北区</w:t>
            </w:r>
          </w:p>
        </w:tc>
        <w:tc>
          <w:tcPr>
            <w:tcW w:w="3367"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0" w:after="0" w:afterAutospacing="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江苏燕进联运有限公司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lor:black;">
    <w:altName w:val="cinecaptio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inecaption">
    <w:panose1 w:val="02000600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5B22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2022-10-08T02:56:17Z</dcterms:created>
  <dc:creator>Administrator</dc:creator>
  <cp:lastModifiedBy>阿淼</cp:lastModifiedBy>
  <dcterms:modified xsi:type="dcterms:W3CDTF">2022-10-08T02:58:57Z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30E0BCA5CFF04A7591F233BAE4DE8290</vt:lpwstr>
  </property>
</Properties>
</file>