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年江苏省出版传媒融合发展创新案例入选项目名单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577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2720"/>
        <w:gridCol w:w="19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   项目名称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 申报单位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 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大型互动手绘新闻产品《星火传奇》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江苏新华云媒科技股份有限公司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 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基于5G技术打造大运河、长江IP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江苏现代快报传媒有限公司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 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《号角催征—解码&lt;新华日报&gt;老报纸里的百年初心》大型融媒体报道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新华日报社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 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《后浪奔腾》短视频栏目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紫金山新闻客户端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 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琢玉匠心育人才 加减乘除强激励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——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昆山日报人才培养体系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昆山日报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 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凤凰数字教材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江苏凤凰电子音像出版社有限公司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 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“庆祝中国共产党成立100周年”主题有声书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江苏人民出版社有限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 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数字中国·大运河文化数字资源库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江苏凤凰科学技术出版社有限公司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 9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江苏省数字农家书屋（平台版）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江苏凤凰数字传媒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 10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“凤凰云编审”三审三校流程管理系统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江苏凤凰报刊出版传媒有限公司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420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420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420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420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420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2022年江苏省出版传媒融合发展创新案例（提名）入选项目名单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 </w:t>
      </w:r>
    </w:p>
    <w:tbl>
      <w:tblPr>
        <w:tblW w:w="573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2900"/>
        <w:gridCol w:w="2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     项目名称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 申报单位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庆祝建党百年短视频系列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群众杂志社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译林之声——精品有声读物融合出版工程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江苏译林出版社有限公司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凤凰版课标教材及配套产品的网络培训与服务平台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江苏凤凰教育发展有限公司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凤凰德育全媒体平台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江苏凤凰职业教育图书有限公司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穿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越版手绘《金陵图》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——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10"/>
                <w:sz w:val="16"/>
                <w:szCs w:val="16"/>
                <w:bdr w:val="none" w:color="auto" w:sz="0" w:space="0"/>
              </w:rPr>
              <w:t>以数字文创构建文化、经济破圈融合新模式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扬子晚报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现代快报超媒中心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江苏现代快报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传媒有限公司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姑苏晚报疫情防控报道：待无恙，君再来，访苏州，探江南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姑苏晚报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信仰的力量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——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追寻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百件馆藏 百年芳华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”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背后的精神力量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中国江苏网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全国劳模口述史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常州日报社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“融媒＋大数据”智慧媒体建设项目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丹阳市融媒体中心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00" w:lineRule="atLeast"/>
        <w:ind w:left="0" w:right="0" w:firstLine="4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3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2022-10-12T07:39:53Z</dcterms:created>
  <dc:creator>weiny</dc:creator>
  <cp:lastModifiedBy>泠.酒祈</cp:lastModifiedBy>
  <dcterms:modified xsi:type="dcterms:W3CDTF">2022-10-12T07:40:02Z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