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方正黑体_GBK" w:hAnsi="方正黑体_GBK" w:eastAsia="方正黑体_GBK" w:cs="方正黑体_GBK"/>
          <w:bCs/>
          <w:color w:val="auto"/>
          <w:spacing w:val="-6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auto"/>
          <w:spacing w:val="-6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宋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无锡市农业产业化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市级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龙头企业认定分类标准</w:t>
      </w: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szCs w:val="24"/>
        </w:rPr>
      </w:pPr>
    </w:p>
    <w:tbl>
      <w:tblPr>
        <w:tblStyle w:val="8"/>
        <w:tblW w:w="136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0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</w:rPr>
              <w:t>企业类型</w:t>
            </w:r>
          </w:p>
        </w:tc>
        <w:tc>
          <w:tcPr>
            <w:tcW w:w="106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涵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盖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297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  <w:t>一、农产品生产</w:t>
            </w:r>
          </w:p>
        </w:tc>
        <w:tc>
          <w:tcPr>
            <w:tcW w:w="1068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以从事种植、养殖、渔业捕捞等为主营业务的企业。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97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  <w:t>二、农产品加工</w:t>
            </w:r>
          </w:p>
        </w:tc>
        <w:tc>
          <w:tcPr>
            <w:tcW w:w="1068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以从事农产品初加工、精深加工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为主营业务的企业。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7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  <w:t>三、农产品流通</w:t>
            </w:r>
          </w:p>
        </w:tc>
        <w:tc>
          <w:tcPr>
            <w:tcW w:w="1068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以农产品、农资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批发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交易为主营业务的企业。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297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  <w:t>四、农资生产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  <w:lang w:eastAsia="zh-CN"/>
              </w:rPr>
              <w:t>制造</w:t>
            </w:r>
          </w:p>
        </w:tc>
        <w:tc>
          <w:tcPr>
            <w:tcW w:w="1068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以生产肥料、农药（兽药）、饲料、土壤改良剂、农业生产加工运输装备制造、农产品特殊包装等为主营业务的企业。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297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  <w:t>五、农业新型服务</w:t>
            </w:r>
          </w:p>
        </w:tc>
        <w:tc>
          <w:tcPr>
            <w:tcW w:w="106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以农业生产社会化服务、农产品电子商务、农产品冷链物流、农产品文创、“农业+旅游”“农业+社会实践”“农业+康养”“农业+体育”等为主营业务的企业。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</w:trPr>
        <w:tc>
          <w:tcPr>
            <w:tcW w:w="297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</w:rPr>
              <w:t>六、农业科技创新</w:t>
            </w:r>
          </w:p>
        </w:tc>
        <w:tc>
          <w:tcPr>
            <w:tcW w:w="106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以种子种苗繁育推广、设施农业工厂化集成、农业生产技术创新、农业生态环境保护和资源综合利用、农业智能化、农业生物技术研发应用等为主营业务的企业。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方正黑体_GBK" w:hAnsi="方正黑体_GBK" w:eastAsia="方正黑体_GBK" w:cs="方正黑体_GBK"/>
          <w:bCs/>
          <w:color w:val="auto"/>
          <w:spacing w:val="-6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方正黑体_GBK" w:hAnsi="方正黑体_GBK" w:eastAsia="方正黑体_GBK" w:cs="方正黑体_GBK"/>
          <w:bCs/>
          <w:color w:val="auto"/>
          <w:spacing w:val="-6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2098" w:bottom="1587" w:left="1984" w:header="1361" w:footer="1587" w:gutter="0"/>
          <w:pgNumType w:fmt="decimal"/>
          <w:cols w:space="0" w:num="1"/>
          <w:rtlGutter w:val="0"/>
          <w:docGrid w:type="lines" w:linePitch="58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="方正黑体_GBK" w:hAnsi="方正黑体_GBK" w:eastAsia="方正黑体_GBK" w:cs="方正黑体_GBK"/>
          <w:bCs/>
          <w:color w:val="auto"/>
          <w:spacing w:val="-6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pacing w:val="-6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无锡市农业产业化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市级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龙头企业认定评分标准</w:t>
      </w:r>
    </w:p>
    <w:tbl>
      <w:tblPr>
        <w:tblStyle w:val="8"/>
        <w:tblW w:w="13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139"/>
        <w:gridCol w:w="1993"/>
        <w:gridCol w:w="1992"/>
        <w:gridCol w:w="1993"/>
        <w:gridCol w:w="1992"/>
        <w:gridCol w:w="1993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企业类型</w:t>
            </w:r>
          </w:p>
        </w:tc>
        <w:tc>
          <w:tcPr>
            <w:tcW w:w="199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农产品生产</w:t>
            </w: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农产品加工</w:t>
            </w: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农产品流通</w:t>
            </w: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农资</w:t>
            </w:r>
            <w:r>
              <w:rPr>
                <w:rFonts w:ascii="宋体" w:hAnsi="宋体" w:eastAsia="宋体"/>
                <w:b/>
                <w:color w:val="auto"/>
                <w:sz w:val="20"/>
                <w:szCs w:val="20"/>
              </w:rPr>
              <w:t>生产</w:t>
            </w: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  <w:t>制造</w:t>
            </w: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农业</w:t>
            </w:r>
            <w:r>
              <w:rPr>
                <w:rFonts w:ascii="宋体" w:hAnsi="宋体" w:eastAsia="宋体"/>
                <w:b/>
                <w:color w:val="auto"/>
                <w:sz w:val="20"/>
                <w:szCs w:val="20"/>
              </w:rPr>
              <w:t>新型服务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农业科技创新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企业规模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分）</w:t>
            </w:r>
          </w:p>
          <w:p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总资产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9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1000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万元计7分，每超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00万元加1分，加分最多不超过3分</w:t>
            </w:r>
          </w:p>
        </w:tc>
        <w:tc>
          <w:tcPr>
            <w:tcW w:w="19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万元计7分，每超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万元加1分，加分最多不超过3分</w:t>
            </w:r>
          </w:p>
        </w:tc>
        <w:tc>
          <w:tcPr>
            <w:tcW w:w="19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万元计7分，每超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1000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万元加1分，加分最多不超过3分</w:t>
            </w:r>
          </w:p>
        </w:tc>
        <w:tc>
          <w:tcPr>
            <w:tcW w:w="19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万元计7分，每超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万元加1分，加分最多不超过3分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800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万元计7分，每超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00万元加1分，加分最多不超过3分</w:t>
            </w:r>
          </w:p>
        </w:tc>
        <w:tc>
          <w:tcPr>
            <w:tcW w:w="17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达到500万元计7分，每超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00万元加1分，加分最多不超过3分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固定资产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9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00万元计7分，每超50万元加1分，加分最多不超过3分</w:t>
            </w:r>
          </w:p>
        </w:tc>
        <w:tc>
          <w:tcPr>
            <w:tcW w:w="19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400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万元计7分，每超100万元加1分，加分最多不超过3分</w:t>
            </w:r>
          </w:p>
        </w:tc>
        <w:tc>
          <w:tcPr>
            <w:tcW w:w="19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5000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万元计7分，每超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00万元加1分，加分最多不超过3分</w:t>
            </w:r>
          </w:p>
        </w:tc>
        <w:tc>
          <w:tcPr>
            <w:tcW w:w="19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00万元计7分，每超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万元加1分，加分最多不超过3分</w:t>
            </w:r>
          </w:p>
        </w:tc>
        <w:tc>
          <w:tcPr>
            <w:tcW w:w="1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00万元计7分，每超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万元加1分，加分最多不超过3分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00万元计7分，每超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0万元加1分，加分最多不超过3分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年销售（营业）收入或交易额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（20分）</w:t>
            </w:r>
          </w:p>
        </w:tc>
        <w:tc>
          <w:tcPr>
            <w:tcW w:w="19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万元计15分，每超300万元加1分，加分最多不超过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2500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万元计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分，每超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00万元加1分，加分最多不超过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达到3亿元计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分，每超5000万元加1分，加分最多不超过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00万元以上计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分，每超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00万元加1分，加分最多不超过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00万元以上计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分，每超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00万元加1分，加分最多不超过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7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达到1000万元计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分，每超300万元加1分，加分最多不超过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color w:val="auto"/>
                <w:sz w:val="20"/>
                <w:szCs w:val="20"/>
              </w:rPr>
              <w:t>企业效益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（1</w:t>
            </w: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分）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资产报酬率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分）</w:t>
            </w:r>
          </w:p>
        </w:tc>
        <w:tc>
          <w:tcPr>
            <w:tcW w:w="99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净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资产报酬率高于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现行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一年期银行贷款基准利率得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3分，每低1%扣1分，扣分最多扣3分，每高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%加1分，加分最多加2分</w:t>
            </w:r>
          </w:p>
        </w:tc>
        <w:tc>
          <w:tcPr>
            <w:tcW w:w="17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</w:rPr>
              <w:t>不做要求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，得1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资产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负债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分）</w:t>
            </w:r>
          </w:p>
        </w:tc>
        <w:tc>
          <w:tcPr>
            <w:tcW w:w="99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资产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负债率65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%以下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得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、负债率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66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%-70%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得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分、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负债率71%-75%得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负债率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高于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75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%不得分</w:t>
            </w: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  <w:lang w:eastAsia="zh-CN"/>
              </w:rPr>
              <w:t>企业管理</w:t>
            </w: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运行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（20分）</w:t>
            </w:r>
          </w:p>
        </w:tc>
        <w:tc>
          <w:tcPr>
            <w:tcW w:w="117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企业的主营农产品销售(交易)额或涉农营业收入占企业总销售（交易）额或营业收入70％的计3分，每高5%加1分，最多加2分；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近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内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企业无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违法失信记录得3分；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企业有注册商标和品牌计3分；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产品符合国家产业政策、环保政策和绿色发展要求，并获得相关质量管理标准体系认证计3分；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近2年内没有发生产品质量安全事件的计3分；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近2年内无拖欠职工工资问题的计3分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93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带动力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9963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带动农户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户的计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分，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每多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带动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0户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加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，加分最多不超过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</w:rPr>
              <w:t>不做要求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，得10分</w:t>
            </w:r>
          </w:p>
        </w:tc>
      </w:tr>
    </w:tbl>
    <w:p>
      <w:pPr>
        <w:spacing w:line="200" w:lineRule="exact"/>
        <w:jc w:val="center"/>
        <w:rPr>
          <w:rFonts w:hint="eastAsia" w:ascii="宋体" w:hAnsi="宋体" w:eastAsia="宋体"/>
          <w:b/>
          <w:color w:val="auto"/>
          <w:sz w:val="20"/>
          <w:szCs w:val="20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6838" w:h="11906" w:orient="landscape"/>
          <w:pgMar w:top="1587" w:right="1474" w:bottom="1984" w:left="1984" w:header="1361" w:footer="1587" w:gutter="0"/>
          <w:pgNumType w:fmt="decimal"/>
          <w:cols w:space="0" w:num="1"/>
          <w:rtlGutter w:val="0"/>
          <w:docGrid w:type="lines" w:linePitch="582" w:charSpace="0"/>
        </w:sectPr>
      </w:pPr>
    </w:p>
    <w:tbl>
      <w:tblPr>
        <w:tblStyle w:val="8"/>
        <w:tblW w:w="13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993"/>
        <w:gridCol w:w="1992"/>
        <w:gridCol w:w="1993"/>
        <w:gridCol w:w="1992"/>
        <w:gridCol w:w="1993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5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竞争力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分）</w:t>
            </w:r>
          </w:p>
        </w:tc>
        <w:tc>
          <w:tcPr>
            <w:tcW w:w="1993" w:type="dxa"/>
            <w:tcBorders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①获省级绿色标准化生产基地、省级园艺作物标准园、省级良种场、原种畜禽场、祖代种禽场、市属菜篮子绿色蔬菜保供基地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等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其中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一项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认定的计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②品种优质化率达到90%以上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的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计5分；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③建立产品上市前检测制度，全面落实食用农产品承诺达标合格证制度的计5分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④在生产基地内实行统一农资供应、统一肥水管理、统一机械作业、统一技术服务，至少形成一套标准化生产技术规程的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⑤有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有机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食品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证书、绿色食品证书、农产品原产地证明其中一项的计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⑥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当年企业产品研发经费占企业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经营收入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%以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上的计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，每多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0.5%加3分，最多计分不超过15分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⑦以上各项累计不超过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①有符合国家环保标准、食品加工卫生标准的加工基地或生产设施，达到一项计5分，达到两项计10分；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②能够按照或高于国家标准、行业标准、地方标准进行生产的计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被评为环保诚信企业或环保良好企业、守合同重信用企业称号其中一项的计5分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④通过企业管理体系认证、通过职业安全与卫生管理体系认证，有其中一项的计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⑤获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著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（驰）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名商标证书、省名牌产品证书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的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⑥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当年企业产品研发经费占企业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经营收入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%以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上的计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，每多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0.5%加3分，最多计分不超过15分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⑦以上各项累计不超过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①获农作物种子经营（生产经营）许可证的计15分；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②有符合国家环保要求的农产品冷链运输（贮藏）设施的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15分；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当年企业产品研发经费占企业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经营收入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%以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上的计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，每多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0.5%加3分，最多计分不超过15分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④以上各项累计不超过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①有发明专利证书每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项计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②列入省级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以上肥料保供企业名录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计15分；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③获市级及以上农业科技成果奖、科技推广奖、高新技术企业资格其中一项的计1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当年企业产品研发经费占企业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经营收入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%以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上的计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，每多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0.5%加3分，最多计分不超过15分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⑤以上各项累计不超过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①有增值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电信业务经营许可（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备案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ICP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证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或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有自主独立数据中心和技术支撑平台的得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15分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②获省级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以上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各类“农业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”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示范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的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15分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当年企业产品研发经费占企业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经营收入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%以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上的计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，每多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0.5%加3分，最多计分不超过15分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④以上各项累计不超过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①有发明专利证书每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项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计2分；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②主营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产品或项目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在国家级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创业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（创新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、设计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）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大赛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中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获奖的计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15分、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在省级创业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（创新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、设计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）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大赛中获奖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的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10分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③获市级及以上农业科技成果奖、科技推广奖、高新技术企业资格其中一项的计1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③由“两院院士”、“千人计划”、“长江学者”牵头或“太湖人才计划2.0”、“暨阳英才计划”、“陶都英才计划”引育的企业分别计15、10分；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⑤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当年企业产品研发经费占企业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经营收入</w:t>
            </w:r>
            <w:r>
              <w:rPr>
                <w:rFonts w:ascii="宋体" w:hAnsi="宋体" w:eastAsia="宋体"/>
                <w:color w:val="auto"/>
                <w:sz w:val="20"/>
                <w:szCs w:val="20"/>
              </w:rPr>
              <w:t>1%以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上的计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，每多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1%加3分，最多计分不超过15分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；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⑥以上各项累计不超过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分</w:t>
            </w:r>
          </w:p>
        </w:tc>
      </w:tr>
    </w:tbl>
    <w:p>
      <w:pPr>
        <w:spacing w:line="240" w:lineRule="exact"/>
        <w:ind w:right="48" w:rightChars="15"/>
        <w:rPr>
          <w:rFonts w:ascii="楷体_GB2312" w:hAnsi="华文仿宋" w:eastAsia="楷体_GB2312" w:cs="宋体"/>
          <w:color w:val="auto"/>
          <w:kern w:val="0"/>
          <w:sz w:val="20"/>
          <w:szCs w:val="20"/>
        </w:rPr>
      </w:pPr>
      <w:r>
        <w:rPr>
          <w:rFonts w:hint="eastAsia" w:ascii="楷体_GB2312" w:hAnsi="黑体" w:eastAsia="楷体_GB2312"/>
          <w:color w:val="auto"/>
          <w:sz w:val="20"/>
          <w:szCs w:val="20"/>
        </w:rPr>
        <w:t>备注：①</w:t>
      </w:r>
      <w:r>
        <w:rPr>
          <w:rFonts w:hint="eastAsia" w:ascii="楷体_GB2312" w:hAnsi="黑体" w:eastAsia="楷体_GB2312"/>
          <w:color w:val="auto"/>
          <w:sz w:val="20"/>
          <w:szCs w:val="20"/>
          <w:lang w:eastAsia="zh-CN"/>
        </w:rPr>
        <w:t>本办法认定评分标准中的数据指标以开展认定前一年度数据为依据</w:t>
      </w:r>
      <w:r>
        <w:rPr>
          <w:rFonts w:hint="eastAsia" w:ascii="楷体_GB2312" w:hAnsi="华文仿宋" w:eastAsia="楷体_GB2312"/>
          <w:color w:val="auto"/>
          <w:sz w:val="20"/>
          <w:szCs w:val="20"/>
        </w:rPr>
        <w:t>。</w:t>
      </w:r>
    </w:p>
    <w:p>
      <w:pPr>
        <w:spacing w:line="240" w:lineRule="exact"/>
        <w:ind w:right="48" w:rightChars="15"/>
        <w:rPr>
          <w:rFonts w:ascii="楷体_GB2312" w:hAnsi="华文仿宋" w:eastAsia="楷体_GB2312"/>
          <w:color w:val="auto"/>
          <w:sz w:val="20"/>
          <w:szCs w:val="20"/>
        </w:rPr>
      </w:pPr>
      <w:r>
        <w:rPr>
          <w:rFonts w:hint="eastAsia" w:ascii="楷体_GB2312" w:hAnsi="华文仿宋" w:eastAsia="楷体_GB2312"/>
          <w:color w:val="auto"/>
          <w:sz w:val="20"/>
          <w:szCs w:val="20"/>
        </w:rPr>
        <w:t xml:space="preserve">      ②本办法所指的带动农户，指吸收就业、订单收购、提供技术服务、提供经营场地、租用农地、租用农房等形式带动农户，以订单、合同、台账、工资发放的会计凭证或</w:t>
      </w:r>
      <w:r>
        <w:rPr>
          <w:rFonts w:hint="eastAsia" w:ascii="楷体_GB2312" w:hAnsi="华文仿宋" w:eastAsia="楷体_GB2312"/>
          <w:color w:val="auto"/>
          <w:sz w:val="20"/>
          <w:szCs w:val="20"/>
          <w:lang w:eastAsia="zh-CN"/>
        </w:rPr>
        <w:t>镇</w:t>
      </w:r>
      <w:r>
        <w:rPr>
          <w:rFonts w:ascii="楷体_GB2312" w:hAnsi="华文仿宋" w:eastAsia="楷体_GB2312"/>
          <w:color w:val="auto"/>
          <w:sz w:val="20"/>
          <w:szCs w:val="20"/>
        </w:rPr>
        <w:t>级</w:t>
      </w:r>
      <w:r>
        <w:rPr>
          <w:rFonts w:hint="eastAsia" w:ascii="楷体_GB2312" w:hAnsi="华文仿宋" w:eastAsia="楷体_GB2312"/>
          <w:color w:val="auto"/>
          <w:sz w:val="20"/>
          <w:szCs w:val="20"/>
          <w:lang w:eastAsia="zh-CN"/>
        </w:rPr>
        <w:t>以上</w:t>
      </w:r>
      <w:r>
        <w:rPr>
          <w:rFonts w:ascii="楷体_GB2312" w:hAnsi="华文仿宋" w:eastAsia="楷体_GB2312"/>
          <w:color w:val="auto"/>
          <w:sz w:val="20"/>
          <w:szCs w:val="20"/>
        </w:rPr>
        <w:t>农业农村主管部门证明</w:t>
      </w:r>
      <w:r>
        <w:rPr>
          <w:rFonts w:hint="eastAsia" w:ascii="楷体_GB2312" w:hAnsi="华文仿宋" w:eastAsia="楷体_GB2312"/>
          <w:color w:val="auto"/>
          <w:sz w:val="20"/>
          <w:szCs w:val="20"/>
        </w:rPr>
        <w:t>为准。</w:t>
      </w:r>
    </w:p>
    <w:p>
      <w:pPr>
        <w:spacing w:line="240" w:lineRule="exact"/>
        <w:ind w:right="48" w:rightChars="15" w:firstLine="600" w:firstLineChars="300"/>
        <w:rPr>
          <w:rFonts w:hint="default" w:ascii="楷体_GB2312" w:hAnsi="华文仿宋" w:eastAsia="楷体_GB2312"/>
          <w:color w:val="auto"/>
          <w:sz w:val="20"/>
          <w:szCs w:val="20"/>
          <w:lang w:val="en-US" w:eastAsia="zh-CN"/>
        </w:rPr>
        <w:sectPr>
          <w:footerReference r:id="rId12" w:type="default"/>
          <w:footerReference r:id="rId13" w:type="even"/>
          <w:pgSz w:w="16838" w:h="11906" w:orient="landscape"/>
          <w:pgMar w:top="1587" w:right="2098" w:bottom="1587" w:left="1984" w:header="1361" w:footer="1587" w:gutter="0"/>
          <w:pgNumType w:fmt="decimal"/>
          <w:cols w:space="0" w:num="1"/>
          <w:rtlGutter w:val="0"/>
          <w:docGrid w:type="lines" w:linePitch="582" w:charSpace="0"/>
        </w:sectPr>
      </w:pPr>
      <w:r>
        <w:rPr>
          <w:rFonts w:hint="eastAsia" w:ascii="楷体_GB2312" w:hAnsi="华文仿宋" w:eastAsia="楷体_GB2312"/>
          <w:color w:val="auto"/>
          <w:sz w:val="20"/>
          <w:szCs w:val="20"/>
        </w:rPr>
        <w:t>③对于复合型</w:t>
      </w:r>
      <w:r>
        <w:rPr>
          <w:rFonts w:ascii="楷体_GB2312" w:hAnsi="华文仿宋" w:eastAsia="楷体_GB2312"/>
          <w:color w:val="auto"/>
          <w:sz w:val="20"/>
          <w:szCs w:val="20"/>
        </w:rPr>
        <w:t>企业，</w:t>
      </w:r>
      <w:r>
        <w:rPr>
          <w:rFonts w:hint="eastAsia" w:ascii="楷体_GB2312" w:hAnsi="华文仿宋" w:eastAsia="楷体_GB2312"/>
          <w:color w:val="auto"/>
          <w:sz w:val="20"/>
          <w:szCs w:val="20"/>
          <w:lang w:eastAsia="zh-CN"/>
        </w:rPr>
        <w:t>若</w:t>
      </w:r>
      <w:r>
        <w:rPr>
          <w:rFonts w:ascii="楷体_GB2312" w:hAnsi="华文仿宋" w:eastAsia="楷体_GB2312"/>
          <w:color w:val="auto"/>
          <w:sz w:val="20"/>
          <w:szCs w:val="20"/>
        </w:rPr>
        <w:t>比重最大产业类别不在申报条件内，但第二大产业超过对应申报类别企业认定标准</w:t>
      </w:r>
      <w:r>
        <w:rPr>
          <w:rFonts w:hint="eastAsia" w:ascii="楷体_GB2312" w:hAnsi="华文仿宋" w:eastAsia="楷体_GB2312"/>
          <w:color w:val="auto"/>
          <w:sz w:val="20"/>
          <w:szCs w:val="20"/>
        </w:rPr>
        <w:t>年</w:t>
      </w:r>
      <w:r>
        <w:rPr>
          <w:rFonts w:ascii="楷体_GB2312" w:hAnsi="华文仿宋" w:eastAsia="楷体_GB2312"/>
          <w:color w:val="auto"/>
          <w:sz w:val="20"/>
          <w:szCs w:val="20"/>
        </w:rPr>
        <w:t>销售收入</w:t>
      </w:r>
      <w:r>
        <w:rPr>
          <w:rFonts w:hint="eastAsia" w:ascii="楷体_GB2312" w:hAnsi="华文仿宋" w:eastAsia="楷体_GB2312"/>
          <w:color w:val="auto"/>
          <w:sz w:val="20"/>
          <w:szCs w:val="20"/>
          <w:lang w:val="en-US" w:eastAsia="zh-CN"/>
        </w:rPr>
        <w:t>1倍</w:t>
      </w:r>
      <w:r>
        <w:rPr>
          <w:rFonts w:ascii="楷体_GB2312" w:hAnsi="华文仿宋" w:eastAsia="楷体_GB2312"/>
          <w:color w:val="auto"/>
          <w:sz w:val="20"/>
          <w:szCs w:val="20"/>
        </w:rPr>
        <w:t>以上</w:t>
      </w:r>
      <w:r>
        <w:rPr>
          <w:rFonts w:hint="eastAsia" w:ascii="楷体_GB2312" w:hAnsi="华文仿宋" w:eastAsia="楷体_GB2312"/>
          <w:color w:val="auto"/>
          <w:sz w:val="20"/>
          <w:szCs w:val="20"/>
        </w:rPr>
        <w:t>，</w:t>
      </w:r>
      <w:r>
        <w:rPr>
          <w:rFonts w:ascii="楷体_GB2312" w:hAnsi="华文仿宋" w:eastAsia="楷体_GB2312"/>
          <w:color w:val="auto"/>
          <w:sz w:val="20"/>
          <w:szCs w:val="20"/>
        </w:rPr>
        <w:t>可按第二大产业类别申报</w:t>
      </w:r>
      <w:r>
        <w:rPr>
          <w:rFonts w:hint="eastAsia" w:ascii="楷体_GB2312" w:hAnsi="华文仿宋" w:eastAsia="楷体_GB2312"/>
          <w:color w:val="auto"/>
          <w:sz w:val="20"/>
          <w:szCs w:val="20"/>
          <w:lang w:val="en-US" w:eastAsia="zh-CN"/>
        </w:rPr>
        <w:t>。</w:t>
      </w:r>
    </w:p>
    <w:p>
      <w:pPr>
        <w:spacing w:line="240" w:lineRule="exact"/>
        <w:ind w:right="48" w:rightChars="15"/>
        <w:rPr>
          <w:rFonts w:hint="default" w:ascii="楷体_GB2312" w:hAnsi="华文仿宋" w:eastAsia="楷体_GB2312"/>
          <w:color w:val="auto"/>
          <w:sz w:val="20"/>
          <w:szCs w:val="20"/>
          <w:lang w:val="en-US" w:eastAsia="zh-CN"/>
        </w:rPr>
      </w:pPr>
    </w:p>
    <w:p>
      <w:pPr>
        <w:spacing w:line="240" w:lineRule="exact"/>
        <w:ind w:right="48" w:rightChars="15"/>
        <w:rPr>
          <w:rFonts w:hint="default" w:ascii="楷体_GB2312" w:hAnsi="华文仿宋" w:eastAsia="楷体_GB2312"/>
          <w:color w:val="auto"/>
          <w:sz w:val="20"/>
          <w:szCs w:val="20"/>
          <w:lang w:val="en-US" w:eastAsia="zh-CN"/>
        </w:rPr>
      </w:pPr>
    </w:p>
    <w:p>
      <w:pPr>
        <w:spacing w:line="240" w:lineRule="exact"/>
        <w:ind w:right="48" w:rightChars="15" w:firstLine="600" w:firstLineChars="300"/>
        <w:rPr>
          <w:rFonts w:hint="default" w:ascii="楷体_GB2312" w:hAnsi="华文仿宋" w:eastAsia="楷体_GB2312"/>
          <w:color w:val="auto"/>
          <w:sz w:val="20"/>
          <w:szCs w:val="20"/>
          <w:lang w:val="en-US" w:eastAsia="zh-CN"/>
        </w:rPr>
      </w:pPr>
    </w:p>
    <w:sectPr>
      <w:headerReference r:id="rId14" w:type="default"/>
      <w:footerReference r:id="rId16" w:type="default"/>
      <w:headerReference r:id="rId15" w:type="even"/>
      <w:footerReference r:id="rId17" w:type="even"/>
      <w:pgSz w:w="11906" w:h="16838"/>
      <w:pgMar w:top="2098" w:right="1587" w:bottom="1984" w:left="1587" w:header="1361" w:footer="1587" w:gutter="0"/>
      <w:pgNumType w:fmt="decimal"/>
      <w:cols w:space="0" w:num="1"/>
      <w:rtlGutter w:val="0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rPr>
        <w:rFonts w:hint="eastAsia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7442835</wp:posOffset>
              </wp:positionH>
              <wp:positionV relativeFrom="paragraph">
                <wp:posOffset>219075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6.05pt;margin-top:17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mnuRdcAAAAMAQAADwAAAAAAAAABACAAAAAiAAAAZHJzL2Rvd25yZXYueG1s&#10;UEsBAhQAFAAAAAgAh07iQC5WZn4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  <w:rPr>
        <w:rFonts w:hint="eastAsia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934875779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rPr>
        <w:rFonts w:hint="eastAsia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  <w:rPr>
        <w:rFonts w:hint="default" w:eastAsia="方正仿宋_GBK" w:asciiTheme="minorEastAsia" w:hAnsi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15875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5pt;margin-top:2.2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rRo8t0gAAAAcBAAAPAAAAAAAAAAEAIAAAACIAAABkcnMvZG93bnJldi54bWxQSwEC&#10;FAAUAAAACACHTuJAYa2EcjMCAABj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rPr>
        <w:rFonts w:hint="eastAsia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7370445</wp:posOffset>
              </wp:positionH>
              <wp:positionV relativeFrom="paragraph">
                <wp:posOffset>238125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0.35pt;margin-top:18.7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t7F5DYAAAADAEAAA8AAAAAAAAAAQAgAAAAIgAAAGRycy9kb3ducmV2Lnht&#10;bFBLAQIUABQAAAAIAIdO4kDmU02Z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  <w:rPr>
        <w:rFonts w:hint="eastAsia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rPr>
        <w:rFonts w:hint="eastAsia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8.25pt;height:144pt;width:144pt;mso-position-horizontal-relative:margin;mso-wrap-style:none;z-index:251667456;mso-width-relative:page;mso-height-relative:page;" filled="f" stroked="f" coordsize="21600,21600" o:gfxdata="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SYphG&#10;xU8/vp9+Ppx+fSM4g0CNCzPE3TtExvadbRE8nAccJt5t5XX6ghGBH/IeL/KKNhKeLk0n02kOF4dv&#10;2AA/e7zufIjvhdUkGQX1qF8nKztsQuxDh5CUzdi1VKqroTKkKejV6z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IlyZx1gAAAAkBAAAPAAAAAAAAAAEAIAAAACIAAABkcnMvZG93bnJldi54bWxQ&#10;SwECFAAUAAAACACHTuJA/1tBaz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-164465</wp:posOffset>
              </wp:positionH>
              <wp:positionV relativeFrom="paragraph">
                <wp:posOffset>-379730</wp:posOffset>
              </wp:positionV>
              <wp:extent cx="735965" cy="1828800"/>
              <wp:effectExtent l="0" t="546735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35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10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2.95pt;margin-top:-29.9pt;height:144pt;width:57.95pt;mso-position-horizontal-relative:margin;rotation:5898240f;z-index:251660288;mso-width-relative:page;mso-height-relative:page;" filled="f" stroked="f" coordsize="21600,21600" o:gfxdata="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4sLQl2QAAAAoBAAAPAAAAAAAAAAEAIAAAACIA&#10;AABkcnMvZG93bnJldi54bWxQSwECFAAUAAAACACHTuJAZtUgHkECAABwBAAADgAAAAAAAAABACAA&#10;AAAoAQAAZHJzL2Uyb0RvYy54bWxQSwUGAAAAAAYABgBZAQAA2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10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bidi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evenAndOddHeaders w:val="1"/>
  <w:drawingGridVerticalSpacing w:val="29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172A27"/>
    <w:rsid w:val="00000226"/>
    <w:rsid w:val="0004045B"/>
    <w:rsid w:val="00045BF7"/>
    <w:rsid w:val="000C51D6"/>
    <w:rsid w:val="00157288"/>
    <w:rsid w:val="00172A27"/>
    <w:rsid w:val="00175C78"/>
    <w:rsid w:val="00194255"/>
    <w:rsid w:val="001A009E"/>
    <w:rsid w:val="001B5917"/>
    <w:rsid w:val="001C58D8"/>
    <w:rsid w:val="00221CA7"/>
    <w:rsid w:val="002342A2"/>
    <w:rsid w:val="00250C60"/>
    <w:rsid w:val="00286321"/>
    <w:rsid w:val="00292B2D"/>
    <w:rsid w:val="002D1159"/>
    <w:rsid w:val="00301887"/>
    <w:rsid w:val="00304FD3"/>
    <w:rsid w:val="00373CFD"/>
    <w:rsid w:val="003D2E56"/>
    <w:rsid w:val="003D7B64"/>
    <w:rsid w:val="003E0052"/>
    <w:rsid w:val="003E6BB0"/>
    <w:rsid w:val="00426FDC"/>
    <w:rsid w:val="004540F4"/>
    <w:rsid w:val="004749AC"/>
    <w:rsid w:val="00491B22"/>
    <w:rsid w:val="00494044"/>
    <w:rsid w:val="004E30F8"/>
    <w:rsid w:val="004F3EAC"/>
    <w:rsid w:val="00534A07"/>
    <w:rsid w:val="005E7221"/>
    <w:rsid w:val="006427E5"/>
    <w:rsid w:val="0066456B"/>
    <w:rsid w:val="00687ED5"/>
    <w:rsid w:val="006B4B6C"/>
    <w:rsid w:val="006F0221"/>
    <w:rsid w:val="00726D08"/>
    <w:rsid w:val="00773DD7"/>
    <w:rsid w:val="00785CC2"/>
    <w:rsid w:val="007B09F4"/>
    <w:rsid w:val="007E50CE"/>
    <w:rsid w:val="007F14F8"/>
    <w:rsid w:val="007F31AF"/>
    <w:rsid w:val="007F75D3"/>
    <w:rsid w:val="00820601"/>
    <w:rsid w:val="0082582A"/>
    <w:rsid w:val="00832E87"/>
    <w:rsid w:val="00875FC7"/>
    <w:rsid w:val="0089324D"/>
    <w:rsid w:val="008D35A8"/>
    <w:rsid w:val="00954C2C"/>
    <w:rsid w:val="009839E6"/>
    <w:rsid w:val="009E254C"/>
    <w:rsid w:val="00A411F2"/>
    <w:rsid w:val="00A9530B"/>
    <w:rsid w:val="00AD15C8"/>
    <w:rsid w:val="00AD6D2E"/>
    <w:rsid w:val="00AF103B"/>
    <w:rsid w:val="00B77B1B"/>
    <w:rsid w:val="00C81399"/>
    <w:rsid w:val="00CC1020"/>
    <w:rsid w:val="00CC4518"/>
    <w:rsid w:val="00D2268B"/>
    <w:rsid w:val="00D30236"/>
    <w:rsid w:val="00D44D7F"/>
    <w:rsid w:val="00D54177"/>
    <w:rsid w:val="00D819C7"/>
    <w:rsid w:val="00D9670D"/>
    <w:rsid w:val="00DF3066"/>
    <w:rsid w:val="00E07EFC"/>
    <w:rsid w:val="00E24936"/>
    <w:rsid w:val="00E320F5"/>
    <w:rsid w:val="00E40E63"/>
    <w:rsid w:val="00E628AB"/>
    <w:rsid w:val="00E63E2C"/>
    <w:rsid w:val="00E94369"/>
    <w:rsid w:val="00EA7E7D"/>
    <w:rsid w:val="00EB2F6C"/>
    <w:rsid w:val="00EB4F19"/>
    <w:rsid w:val="00EB7E31"/>
    <w:rsid w:val="00F0095E"/>
    <w:rsid w:val="00F043C0"/>
    <w:rsid w:val="00F06069"/>
    <w:rsid w:val="00F3538E"/>
    <w:rsid w:val="00F95BC4"/>
    <w:rsid w:val="00FB1847"/>
    <w:rsid w:val="00FC637C"/>
    <w:rsid w:val="021547D6"/>
    <w:rsid w:val="0EFFE1D9"/>
    <w:rsid w:val="12610354"/>
    <w:rsid w:val="1FB7FD6C"/>
    <w:rsid w:val="22ED1CFA"/>
    <w:rsid w:val="2A8524C2"/>
    <w:rsid w:val="35F7FB2D"/>
    <w:rsid w:val="3CA57C10"/>
    <w:rsid w:val="3DDD9A2A"/>
    <w:rsid w:val="3E14733C"/>
    <w:rsid w:val="3FBBF300"/>
    <w:rsid w:val="48B33D91"/>
    <w:rsid w:val="57EFA117"/>
    <w:rsid w:val="58E816D9"/>
    <w:rsid w:val="5FBE237B"/>
    <w:rsid w:val="5FFF369D"/>
    <w:rsid w:val="689F0AFC"/>
    <w:rsid w:val="6DD95EAB"/>
    <w:rsid w:val="6DFF44C2"/>
    <w:rsid w:val="6EF35160"/>
    <w:rsid w:val="6FDF0938"/>
    <w:rsid w:val="71FB7A24"/>
    <w:rsid w:val="73F72F43"/>
    <w:rsid w:val="75791F2B"/>
    <w:rsid w:val="77AF5876"/>
    <w:rsid w:val="79A7FF5A"/>
    <w:rsid w:val="7DBE6E84"/>
    <w:rsid w:val="7DDF97AE"/>
    <w:rsid w:val="A5FF3EEF"/>
    <w:rsid w:val="AB726028"/>
    <w:rsid w:val="B34DCFE3"/>
    <w:rsid w:val="B3DF13E4"/>
    <w:rsid w:val="CEC7EBD8"/>
    <w:rsid w:val="D76FB1D9"/>
    <w:rsid w:val="DE6DBA53"/>
    <w:rsid w:val="EB6399BA"/>
    <w:rsid w:val="EC18AE0E"/>
    <w:rsid w:val="F73DBE3A"/>
    <w:rsid w:val="F7793206"/>
    <w:rsid w:val="F7C7E4F7"/>
    <w:rsid w:val="F8FF02BF"/>
    <w:rsid w:val="F9EC3396"/>
    <w:rsid w:val="FAEFCBC6"/>
    <w:rsid w:val="FBFB2165"/>
    <w:rsid w:val="FD7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9">
    <w:name w:val="Table Grid"/>
    <w:basedOn w:val="8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3">
    <w:name w:val="批注框文本 Char"/>
    <w:basedOn w:val="10"/>
    <w:link w:val="4"/>
    <w:qFormat/>
    <w:uiPriority w:val="0"/>
    <w:rPr>
      <w:rFonts w:eastAsia="方正仿宋_GBK" w:cstheme="minorBidi"/>
      <w:kern w:val="2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eastAsia="方正仿宋_GBK" w:cstheme="minorBidi"/>
      <w:kern w:val="2"/>
      <w:sz w:val="18"/>
      <w:szCs w:val="18"/>
    </w:rPr>
  </w:style>
  <w:style w:type="paragraph" w:customStyle="1" w:styleId="15">
    <w:name w:val="Char Char Char Char"/>
    <w:basedOn w:val="2"/>
    <w:qFormat/>
    <w:uiPriority w:val="0"/>
    <w:pPr>
      <w:shd w:val="clear" w:color="auto" w:fill="000080"/>
    </w:pPr>
    <w:rPr>
      <w:rFonts w:ascii="Tahoma" w:hAnsi="Tahoma" w:eastAsia="仿宋_GB2312" w:cs="Times New Roman"/>
      <w:sz w:val="24"/>
      <w:szCs w:val="32"/>
    </w:rPr>
  </w:style>
  <w:style w:type="character" w:customStyle="1" w:styleId="16">
    <w:name w:val="文档结构图 Char"/>
    <w:basedOn w:val="10"/>
    <w:link w:val="2"/>
    <w:qFormat/>
    <w:uiPriority w:val="0"/>
    <w:rPr>
      <w:rFonts w:ascii="Microsoft YaHei UI" w:eastAsia="Microsoft YaHei UI" w:cstheme="minorBidi"/>
      <w:kern w:val="2"/>
      <w:sz w:val="18"/>
      <w:szCs w:val="18"/>
    </w:rPr>
  </w:style>
  <w:style w:type="character" w:customStyle="1" w:styleId="17">
    <w:name w:val="日期 Char"/>
    <w:basedOn w:val="10"/>
    <w:link w:val="3"/>
    <w:qFormat/>
    <w:uiPriority w:val="0"/>
    <w:rPr>
      <w:rFonts w:eastAsia="方正仿宋_GBK" w:cstheme="minorBidi"/>
      <w:kern w:val="2"/>
      <w:sz w:val="32"/>
      <w:szCs w:val="22"/>
    </w:rPr>
  </w:style>
  <w:style w:type="character" w:customStyle="1" w:styleId="18">
    <w:name w:val="页脚 Char"/>
    <w:basedOn w:val="10"/>
    <w:link w:val="5"/>
    <w:qFormat/>
    <w:uiPriority w:val="99"/>
    <w:rPr>
      <w:rFonts w:eastAsia="方正仿宋_GBK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5601</Words>
  <Characters>5864</Characters>
  <Lines>2</Lines>
  <Paragraphs>1</Paragraphs>
  <TotalTime>49</TotalTime>
  <ScaleCrop>false</ScaleCrop>
  <LinksUpToDate>false</LinksUpToDate>
  <CharactersWithSpaces>5918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2021-07-18T09:51:00Z</dcterms:created>
  <dc:creator>Lenovo</dc:creator>
  <cp:lastModifiedBy>阿淼</cp:lastModifiedBy>
  <cp:lastPrinted>2022-03-19T07:27:00Z</cp:lastPrinted>
  <dcterms:modified xsi:type="dcterms:W3CDTF">2022-10-18T07:45:19Z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3E2BA78C869D455BB6B5D56EFA2355E8</vt:lpwstr>
  </property>
</Properties>
</file>