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附件1</w:t>
      </w:r>
    </w:p>
    <w:p>
      <w:pPr>
        <w:jc w:val="center"/>
        <w:rPr>
          <w:rFonts w:hint="eastAsia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eastAsia="方正小标宋简体" w:cs="方正小标宋简体"/>
          <w:color w:val="000000"/>
          <w:sz w:val="36"/>
          <w:szCs w:val="36"/>
        </w:rPr>
        <w:t>专精特新中小企业评价指标 </w:t>
      </w:r>
      <w:bookmarkEnd w:id="0"/>
      <w:r>
        <w:rPr>
          <w:rFonts w:hint="eastAsia" w:eastAsia="方正小标宋简体" w:cs="方正小标宋简体"/>
          <w:color w:val="000000"/>
          <w:sz w:val="36"/>
          <w:szCs w:val="36"/>
        </w:rPr>
        <w:t> </w:t>
      </w:r>
    </w:p>
    <w:p>
      <w:pPr>
        <w:spacing w:line="560" w:lineRule="exact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    包括专业化、精细化、特色化和创新能力四类十三个指标，评价结果依分值计算，满分为100分。</w:t>
      </w:r>
    </w:p>
    <w:p>
      <w:pPr>
        <w:spacing w:line="560" w:lineRule="exact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    （一）专业化指标（满分25分）</w:t>
      </w:r>
    </w:p>
    <w:p>
      <w:pPr>
        <w:spacing w:line="560" w:lineRule="exact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    1.2021年主营业务收入总额占营业收入总额比重（满分5分）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A. 80%以上（5分）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B. 70%-80%（3分）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C. 60%-70%（1分）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D. 60%以下（0分）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2.2020年、2021年主营业务收入平均增长率（满分10分）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A. 10%以上（10分）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B. 8%-10%（8分）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C. 6%-8%（6分）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D. 4%-6%（4分）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E. 0%-4%（2分）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F. 0%以下（0分）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3.截至2021年12月31日从事特定细分市场年限（满分5分）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每满2年得1分，最高不超过5分。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4.主导产品所属领域情况（满分5分）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A. 属于工业六基领域（5分）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B. 属于江苏省先进制造业集群、扬州市“323+1”先进制造业集群或战略性新兴产业（3分）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C. 不属于以上情况（0分）</w:t>
      </w:r>
    </w:p>
    <w:p>
      <w:pPr>
        <w:spacing w:line="560" w:lineRule="exact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    （二）精细化指标（满分25分）</w:t>
      </w:r>
    </w:p>
    <w:p>
      <w:pPr>
        <w:spacing w:line="560" w:lineRule="exact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    5.数字化水平（满分5分）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A. 获得国家智能制造示范工厂、国家智能制造优秀场景、国家工业互联网创新发展工程、国家工业互联网试点示范、国家新一代信息技术与制造业融合发展试点示范、国家工业互联网标识解析二级节点、国家智能制造新模式应用项目、省智能制造示范工厂、省工业互联网标杆工厂、省重点工业互联网平台、省五星级上云企业称号之一（5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B.在研发设计、生产制造、供应链管理等环节至少1项核心业务采用信息系统支撑（3分）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C.不属于以上情况（0分）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6.质量管理水平（每满足一项加3分，最高不超过5分）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A. 获得省级以上质量奖荣誉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B. 建立质量管理体系，获得ISO9001等质量管理体系认证证书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C. 拥有自主品牌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D. 参与制修订标准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7.2021年度净利润率（满分10分）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A. 10%以上（10分）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B. 8%-10%（8分）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C. 6%-8%（6分）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D. 4%-6%（4分）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E. 2%-4%（2分）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F. 2%以下（0分）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8.2021年度资产负债率（满分5分）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A. 50%以下（5分）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B. 50%-60%（3分）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C. 60%-70%（1分）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D.70%以上（0分）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（三）特色化指标（满分15分）</w:t>
      </w:r>
    </w:p>
    <w:p>
      <w:pPr>
        <w:pStyle w:val="2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    9.因省级以上中小企业主管部门未明确特色指标评价内容，申报企业按15分基础分计分。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（四）创新能力指标（满分35分）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10.与企业主导产品相关的有效知识产权数量（满分10分）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A. Ⅰ类高价值知识产权1项以上（10分）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B. 自主研发Ⅰ类知识产权1项以上（8分）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C. Ⅰ类知识产权1项以上（6分）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D. Ⅱ类知识产权1项以上（2分）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E. 无（0分）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11.2021年度研发费用投入（满分10分）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A. 研发费用总额500万元以上或研发费用总额占营业收入总额比重在10%以上（10分）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B. 研发费用总额400-500万元或研发费用总额占营业收入总额比重在8%-10%（8分）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C. 研发费用总额300-400万元或研发费用总额占营业收入总额比重在6%-8%（6分）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D. 研发费用总额200-300万元或研发费用总额占营业收入总额比重在4%-6%（4分）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E. 研发费用总额100-200万元或研发费用总额占营业收入总额比重在3%-4%（2分）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F. 不属于以上情况（0分）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12.2021年度研发人员占比（满分5分）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A. 20%以上（5分）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B. 10%-20%（3分）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C. 5%-10%（1分）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D. 5%以下（0分）</w:t>
      </w:r>
    </w:p>
    <w:p>
      <w:pPr>
        <w:spacing w:line="560" w:lineRule="exact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    13.建立研发机构级别（满分10分）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A. 国家级（10分）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B. 省级（8分）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C. 市级（4分）</w:t>
      </w:r>
    </w:p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D. 市级以下（2分）</w:t>
      </w:r>
    </w:p>
    <w:p>
      <w:pPr>
        <w:spacing w:line="560" w:lineRule="exact"/>
        <w:ind w:firstLine="640"/>
        <w:jc w:val="left"/>
      </w:pPr>
      <w:r>
        <w:rPr>
          <w:rFonts w:hint="eastAsia" w:eastAsia="方正仿宋_GBK"/>
          <w:color w:val="000000"/>
          <w:sz w:val="32"/>
          <w:szCs w:val="32"/>
        </w:rPr>
        <w:t>E. 未建立研发机构（0分）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ZmU5ZDU0YTVlOTQ4ZGQyMjE1MDc4YzY5MDJmYzcifQ=="/>
  </w:docVars>
  <w:rsids>
    <w:rsidRoot w:val="6D9C294F"/>
    <w:rsid w:val="6D9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2022-08-15T01:39:00Z</dcterms:created>
  <dc:creator>xToNG.</dc:creator>
  <cp:lastModifiedBy>xToNG.</cp:lastModifiedBy>
  <dcterms:modified xsi:type="dcterms:W3CDTF">2022-08-15T01:40:04Z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4CE67FD48C7B40DB9AFA401559D53414</vt:lpwstr>
  </property>
</Properties>
</file>