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方正仿宋_GBK" w:hAnsi="方正黑体_GBK" w:eastAsia="方正仿宋_GBK" w:cs="Times New Roman"/>
          <w:b/>
          <w:sz w:val="32"/>
          <w:szCs w:val="32"/>
        </w:rPr>
      </w:pPr>
      <w:bookmarkStart w:id="0" w:name="_GoBack"/>
      <w:bookmarkEnd w:id="0"/>
      <w:r>
        <w:rPr>
          <w:rFonts w:hint="eastAsia" w:ascii="方正仿宋_GBK" w:hAnsi="方正黑体_GBK" w:eastAsia="方正仿宋_GBK" w:cs="Times New Roman"/>
          <w:b/>
          <w:sz w:val="32"/>
          <w:szCs w:val="32"/>
        </w:rPr>
        <w:t>附件:</w:t>
      </w:r>
    </w:p>
    <w:p>
      <w:pPr>
        <w:spacing w:line="590" w:lineRule="exact"/>
        <w:ind w:firstLine="600"/>
        <w:rPr>
          <w:rFonts w:ascii="Times New Roman" w:hAnsi="Times New Roman" w:eastAsia="方正仿宋_GBK" w:cs="Times New Roman"/>
          <w:sz w:val="32"/>
          <w:szCs w:val="32"/>
        </w:rPr>
      </w:pPr>
    </w:p>
    <w:p>
      <w:pPr>
        <w:jc w:val="center"/>
        <w:rPr>
          <w:rFonts w:ascii="方正小标宋_GBK" w:hAnsi="方正小标宋_GBK" w:eastAsia="方正小标宋_GBK" w:cs="Times New Roman"/>
          <w:sz w:val="44"/>
          <w:szCs w:val="44"/>
        </w:rPr>
      </w:pPr>
      <w:r>
        <w:rPr>
          <w:rFonts w:hint="eastAsia" w:ascii="方正小标宋_GBK" w:hAnsi="方正小标宋_GBK" w:eastAsia="方正小标宋_GBK" w:cs="Times New Roman"/>
          <w:sz w:val="44"/>
          <w:szCs w:val="44"/>
        </w:rPr>
        <w:t>“一起益企”服务行动典型经验做法</w:t>
      </w:r>
    </w:p>
    <w:p>
      <w:pPr>
        <w:jc w:val="center"/>
        <w:rPr>
          <w:rFonts w:ascii="Times New Roman" w:hAnsi="Times New Roman" w:eastAsia="方正仿宋_GBK" w:cs="Times New Roman"/>
          <w:sz w:val="32"/>
          <w:szCs w:val="32"/>
        </w:rPr>
      </w:pPr>
    </w:p>
    <w:p>
      <w:pPr>
        <w:spacing w:line="590" w:lineRule="exact"/>
        <w:rPr>
          <w:rFonts w:ascii="方正黑体_GBK" w:hAnsi="方正黑体_GBK" w:eastAsia="方正黑体_GBK"/>
          <w:sz w:val="32"/>
          <w:szCs w:val="32"/>
        </w:rPr>
      </w:pPr>
      <w:r>
        <w:rPr>
          <w:rFonts w:hint="eastAsia" w:ascii="方正仿宋_GBK" w:eastAsia="方正仿宋_GBK"/>
          <w:sz w:val="32"/>
          <w:szCs w:val="32"/>
        </w:rPr>
        <w:t xml:space="preserve"> </w:t>
      </w:r>
      <w:r>
        <w:rPr>
          <w:rFonts w:ascii="方正黑体_GBK" w:hAnsi="方正黑体_GBK" w:eastAsia="方正黑体_GBK"/>
          <w:sz w:val="32"/>
          <w:szCs w:val="32"/>
        </w:rPr>
        <w:t xml:space="preserve">  </w:t>
      </w:r>
      <w:r>
        <w:rPr>
          <w:rFonts w:hint="eastAsia" w:ascii="方正黑体_GBK" w:hAnsi="方正黑体_GBK" w:eastAsia="方正黑体_GBK"/>
          <w:sz w:val="32"/>
          <w:szCs w:val="32"/>
        </w:rPr>
        <w:t xml:space="preserve"> 一、南京市</w:t>
      </w:r>
      <w:r>
        <w:rPr>
          <w:rFonts w:hint="eastAsia" w:ascii="方正黑体_GBK" w:hAnsi="方正黑体_GBK" w:eastAsia="方正黑体_GBK" w:cs="Times New Roman"/>
          <w:sz w:val="32"/>
          <w:szCs w:val="32"/>
        </w:rPr>
        <w:t>：</w:t>
      </w:r>
      <w:r>
        <w:rPr>
          <w:rFonts w:hint="eastAsia" w:ascii="方正黑体_GBK" w:hAnsi="方正黑体_GBK" w:eastAsia="方正黑体_GBK"/>
          <w:sz w:val="32"/>
          <w:szCs w:val="32"/>
        </w:rPr>
        <w:t>聚焦中小企业短板弱项，开展特色鲜明的公益服务</w:t>
      </w:r>
    </w:p>
    <w:p>
      <w:pPr>
        <w:spacing w:line="59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南京市工信局充分发挥南京市企业</w:t>
      </w:r>
      <w:r>
        <w:rPr>
          <w:rFonts w:ascii="Times New Roman" w:hAnsi="Times New Roman" w:eastAsia="方正仿宋_GBK" w:cs="方正仿宋_GBK"/>
          <w:sz w:val="32"/>
          <w:szCs w:val="32"/>
        </w:rPr>
        <w:t>服务</w:t>
      </w:r>
      <w:r>
        <w:rPr>
          <w:rFonts w:hint="eastAsia" w:ascii="Times New Roman" w:hAnsi="Times New Roman" w:eastAsia="方正仿宋_GBK" w:cs="方正仿宋_GBK"/>
          <w:sz w:val="32"/>
          <w:szCs w:val="32"/>
        </w:rPr>
        <w:t>中心窗口平台枢纽作用，联络带动各区街镇、平台基地和机构专家，开展了一系列优质公益服务活动。</w:t>
      </w:r>
      <w:r>
        <w:rPr>
          <w:rFonts w:hint="eastAsia" w:ascii="方正楷体_GBK" w:eastAsia="方正楷体_GBK"/>
          <w:sz w:val="32"/>
          <w:szCs w:val="32"/>
        </w:rPr>
        <w:t>一是政策体检和需求调研先行，切实掌握企业实际需求。</w:t>
      </w:r>
      <w:r>
        <w:rPr>
          <w:rFonts w:hint="eastAsia" w:ascii="Times New Roman" w:hAnsi="Times New Roman" w:eastAsia="方正仿宋_GBK" w:cs="方正仿宋_GBK"/>
          <w:sz w:val="32"/>
          <w:szCs w:val="32"/>
        </w:rPr>
        <w:t>采用线上线下相结合的方式对652家中小企业开展政策体检，对521家小升规企业实施困难与诉求调研，梳理分类分析后形成企业需求清单。</w:t>
      </w:r>
      <w:r>
        <w:rPr>
          <w:rFonts w:hint="eastAsia" w:ascii="方正楷体_GBK" w:eastAsia="方正楷体_GBK"/>
          <w:sz w:val="32"/>
          <w:szCs w:val="32"/>
        </w:rPr>
        <w:t>二是聚焦企业个性化需求，实施“百企提升”专家巡诊活动。</w:t>
      </w:r>
      <w:r>
        <w:rPr>
          <w:rFonts w:hint="eastAsia" w:ascii="Times New Roman" w:hAnsi="Times New Roman" w:eastAsia="方正仿宋_GBK" w:cs="方正仿宋_GBK"/>
          <w:sz w:val="32"/>
          <w:szCs w:val="32"/>
        </w:rPr>
        <w:t>活动搭建了市区街镇三级联动巡诊网格，创建了以政策服务为基础，叠加企业自选专业服务的“1+X”巡诊服务模式，建立了企业需求诉求解决机制、服务监督评价反馈等机制，切实帮助企业全面了解掌握政策，解决个性化问题。该活动已覆盖全市7个工业企业集中区，巡诊企业150余家。</w:t>
      </w:r>
      <w:r>
        <w:rPr>
          <w:rFonts w:hint="eastAsia" w:ascii="方正楷体_GBK" w:eastAsia="方正楷体_GBK"/>
          <w:sz w:val="32"/>
          <w:szCs w:val="32"/>
        </w:rPr>
        <w:t>三是围绕重点企业，分类开展系列特色活动。</w:t>
      </w:r>
      <w:r>
        <w:rPr>
          <w:rFonts w:hint="eastAsia" w:ascii="Times New Roman" w:hAnsi="Times New Roman" w:eastAsia="方正仿宋_GBK" w:cs="方正仿宋_GBK"/>
          <w:sz w:val="32"/>
          <w:szCs w:val="32"/>
        </w:rPr>
        <w:t>针对专精特新名录库企业，围绕政策申报辅导和管理能力提升，分别开展</w:t>
      </w:r>
      <w:r>
        <w:rPr>
          <w:rFonts w:hint="eastAsia" w:ascii="Times New Roman" w:hAnsi="Times New Roman" w:eastAsia="仿宋_GB2312" w:cs="仿宋_GB2312"/>
          <w:color w:val="000000"/>
          <w:kern w:val="0"/>
          <w:sz w:val="32"/>
          <w:szCs w:val="32"/>
        </w:rPr>
        <w:t>政策申报辅导培训活动</w:t>
      </w:r>
      <w:r>
        <w:rPr>
          <w:rFonts w:hint="eastAsia" w:ascii="Times New Roman" w:hAnsi="Times New Roman" w:eastAsia="方正仿宋_GBK" w:cs="方正仿宋_GBK"/>
          <w:sz w:val="32"/>
          <w:szCs w:val="32"/>
        </w:rPr>
        <w:t>12场，专精特新重点培育企业</w:t>
      </w:r>
      <w:r>
        <w:rPr>
          <w:rFonts w:ascii="Times New Roman" w:hAnsi="Times New Roman" w:eastAsia="方正仿宋_GBK"/>
          <w:color w:val="000000"/>
          <w:kern w:val="0"/>
          <w:sz w:val="32"/>
          <w:szCs w:val="32"/>
        </w:rPr>
        <w:t>专项服务试点活动</w:t>
      </w:r>
      <w:r>
        <w:rPr>
          <w:rFonts w:hint="eastAsia" w:ascii="Times New Roman" w:hAnsi="Times New Roman" w:eastAsia="方正仿宋_GBK" w:cs="方正仿宋_GBK"/>
          <w:sz w:val="32"/>
          <w:szCs w:val="32"/>
        </w:rPr>
        <w:t>8场；针对小升规企业，围绕政策和市场对接需求，分别开展信用、财税、知识产权等政策知识宣贯专题辅导10场，市场对接活动5场；针对有智能化改造</w:t>
      </w:r>
      <w:r>
        <w:rPr>
          <w:rFonts w:ascii="Times New Roman" w:hAnsi="Times New Roman" w:eastAsia="方正仿宋_GBK" w:cs="方正仿宋_GBK"/>
          <w:sz w:val="32"/>
          <w:szCs w:val="32"/>
        </w:rPr>
        <w:t>和数字化转型</w:t>
      </w:r>
      <w:r>
        <w:rPr>
          <w:rFonts w:hint="eastAsia" w:ascii="Times New Roman" w:hAnsi="Times New Roman" w:eastAsia="方正仿宋_GBK" w:cs="方正仿宋_GBK"/>
          <w:sz w:val="32"/>
          <w:szCs w:val="32"/>
        </w:rPr>
        <w:t>需求的企业，举办14场政策解读、标杆参访等系列沙龙活动。</w:t>
      </w:r>
      <w:r>
        <w:rPr>
          <w:rFonts w:hint="eastAsia" w:ascii="方正楷体_GBK" w:eastAsia="方正楷体_GBK"/>
          <w:sz w:val="32"/>
          <w:szCs w:val="32"/>
        </w:rPr>
        <w:t>四是集中开展“服务进园区”“公益课堂”“企业服务月”等活动。</w:t>
      </w:r>
      <w:r>
        <w:rPr>
          <w:rFonts w:hint="eastAsia" w:ascii="Times New Roman" w:hAnsi="Times New Roman" w:eastAsia="方正仿宋_GBK" w:cs="方正仿宋_GBK"/>
          <w:sz w:val="32"/>
          <w:szCs w:val="32"/>
        </w:rPr>
        <w:t>依托服务联盟与各园区基地，以主题自选的形式线上线下开展服务进园区和公益课堂活动27场。中小企业服务月期间，组织实施了30场服务行，举办1场“6·27中小微企业日”主题活动，期间共2480家企业、2708人次参与各项活动。</w:t>
      </w:r>
    </w:p>
    <w:p>
      <w:pPr>
        <w:spacing w:line="590" w:lineRule="exact"/>
        <w:ind w:firstLine="660"/>
        <w:rPr>
          <w:rFonts w:ascii="方正黑体_GBK" w:eastAsia="方正黑体_GBK"/>
          <w:sz w:val="32"/>
          <w:szCs w:val="32"/>
        </w:rPr>
      </w:pPr>
      <w:r>
        <w:rPr>
          <w:rFonts w:hint="eastAsia" w:ascii="方正黑体_GBK" w:eastAsia="方正黑体_GBK"/>
          <w:sz w:val="32"/>
          <w:szCs w:val="32"/>
        </w:rPr>
        <w:t>二、苏州市：“苏创大讲堂”公益培训，赋能</w:t>
      </w:r>
      <w:r>
        <w:rPr>
          <w:rFonts w:ascii="方正黑体_GBK" w:eastAsia="方正黑体_GBK"/>
          <w:sz w:val="32"/>
          <w:szCs w:val="32"/>
        </w:rPr>
        <w:t>中小企业转型升级</w:t>
      </w:r>
    </w:p>
    <w:p>
      <w:pPr>
        <w:spacing w:line="590" w:lineRule="exact"/>
        <w:ind w:firstLine="660"/>
        <w:rPr>
          <w:rFonts w:ascii="方正仿宋_GBK" w:eastAsia="方正仿宋_GBK"/>
          <w:sz w:val="32"/>
          <w:szCs w:val="32"/>
        </w:rPr>
      </w:pPr>
      <w:r>
        <w:rPr>
          <w:rFonts w:hint="eastAsia" w:ascii="方正仿宋_GBK" w:eastAsia="方正仿宋_GBK"/>
          <w:sz w:val="32"/>
          <w:szCs w:val="32"/>
        </w:rPr>
        <w:t xml:space="preserve"> “苏创大讲堂”是国家</w:t>
      </w:r>
      <w:r>
        <w:rPr>
          <w:rFonts w:ascii="方正仿宋_GBK" w:eastAsia="方正仿宋_GBK"/>
          <w:sz w:val="32"/>
          <w:szCs w:val="32"/>
        </w:rPr>
        <w:t>中小企业公共服务示范平台--苏州</w:t>
      </w:r>
      <w:r>
        <w:rPr>
          <w:rFonts w:hint="eastAsia" w:ascii="方正仿宋_GBK" w:eastAsia="方正仿宋_GBK"/>
          <w:sz w:val="32"/>
          <w:szCs w:val="32"/>
        </w:rPr>
        <w:t>太湖金谷在苏州市工信局的指导下，联合江苏省中小企业发展中心共同推出的公益性培训品牌系列活动，旨在面向省内“双创”企业提供优质培训服务，提升企业创新能力，赋能企业转型升级。自2020年4月启动以来，已累计举办线上培训125场，服务近20万人次，获得“双创”企业的广泛关注与积极参与。今年以来，配合“一起益企”、中小企业服务月、双创大赛等工作，共开展了35场活动，服务25114人次。</w:t>
      </w:r>
      <w:r>
        <w:rPr>
          <w:rFonts w:hint="eastAsia" w:ascii="方正楷体_GBK" w:eastAsia="方正楷体_GBK"/>
          <w:sz w:val="32"/>
          <w:szCs w:val="32"/>
        </w:rPr>
        <w:t>一是培训内容突</w:t>
      </w:r>
      <w:r>
        <w:rPr>
          <w:rFonts w:ascii="方正楷体_GBK" w:eastAsia="方正楷体_GBK"/>
          <w:sz w:val="32"/>
          <w:szCs w:val="32"/>
        </w:rPr>
        <w:t>出</w:t>
      </w:r>
      <w:r>
        <w:rPr>
          <w:rFonts w:hint="eastAsia" w:ascii="方正楷体_GBK" w:eastAsia="方正楷体_GBK"/>
          <w:sz w:val="32"/>
          <w:szCs w:val="32"/>
        </w:rPr>
        <w:t>针对性和时效性。</w:t>
      </w:r>
      <w:r>
        <w:rPr>
          <w:rFonts w:hint="eastAsia" w:ascii="方正仿宋_GBK" w:eastAsia="方正仿宋_GBK"/>
          <w:sz w:val="32"/>
          <w:szCs w:val="32"/>
        </w:rPr>
        <w:t>培训根据中小企业不同发展阶段，</w:t>
      </w:r>
      <w:r>
        <w:rPr>
          <w:rFonts w:ascii="方正仿宋_GBK" w:eastAsia="方正仿宋_GBK"/>
          <w:sz w:val="32"/>
          <w:szCs w:val="32"/>
        </w:rPr>
        <w:t>针对</w:t>
      </w:r>
      <w:r>
        <w:rPr>
          <w:rFonts w:hint="eastAsia" w:ascii="方正仿宋_GBK" w:eastAsia="方正仿宋_GBK"/>
          <w:sz w:val="32"/>
          <w:szCs w:val="32"/>
        </w:rPr>
        <w:t>各行业、各职级、各岗位的个性化培训需求进行精准施教。每月邀请业界专家围绕行业趋势及企业关注的热点话题进行多维视角解读，陆续推出了“专精特新服务月”、“中小企业服务月”、“双创大赛</w:t>
      </w:r>
      <w:r>
        <w:rPr>
          <w:rFonts w:hint="eastAsia" w:ascii="宋体" w:hAnsi="宋体" w:eastAsia="宋体" w:cs="宋体"/>
          <w:sz w:val="32"/>
          <w:szCs w:val="32"/>
        </w:rPr>
        <w:t>•</w:t>
      </w:r>
      <w:r>
        <w:rPr>
          <w:rFonts w:hint="eastAsia" w:ascii="方正仿宋_GBK" w:hAnsi="方正黑体_GBK" w:eastAsia="方正仿宋_GBK" w:cs="方正黑体_GBK"/>
          <w:sz w:val="32"/>
          <w:szCs w:val="32"/>
        </w:rPr>
        <w:t>赛前辅导月”、“双创大赛</w:t>
      </w:r>
      <w:r>
        <w:rPr>
          <w:rFonts w:hint="eastAsia" w:ascii="宋体" w:hAnsi="宋体" w:eastAsia="宋体" w:cs="宋体"/>
          <w:sz w:val="32"/>
          <w:szCs w:val="32"/>
        </w:rPr>
        <w:t>•</w:t>
      </w:r>
      <w:r>
        <w:rPr>
          <w:rFonts w:hint="eastAsia" w:ascii="方正仿宋_GBK" w:hAnsi="方正黑体_GBK" w:eastAsia="方正仿宋_GBK" w:cs="方正黑体_GBK"/>
          <w:sz w:val="32"/>
          <w:szCs w:val="32"/>
        </w:rPr>
        <w:t>决赛冲刺月”、“员工关怀月”等专题培训月，课程主题涵盖惠企政策、大势研判、创新创业、法律风控、劳动用工、财务管理、资本运作、企业管理等多个方向。</w:t>
      </w:r>
      <w:r>
        <w:rPr>
          <w:rFonts w:hint="eastAsia" w:ascii="方正楷体_GBK" w:eastAsia="方正楷体_GBK"/>
          <w:sz w:val="32"/>
          <w:szCs w:val="32"/>
        </w:rPr>
        <w:t>二是培训方式突</w:t>
      </w:r>
      <w:r>
        <w:rPr>
          <w:rFonts w:ascii="方正楷体_GBK" w:eastAsia="方正楷体_GBK"/>
          <w:sz w:val="32"/>
          <w:szCs w:val="32"/>
        </w:rPr>
        <w:t>出</w:t>
      </w:r>
      <w:r>
        <w:rPr>
          <w:rFonts w:hint="eastAsia" w:ascii="方正楷体_GBK" w:eastAsia="方正楷体_GBK"/>
          <w:sz w:val="32"/>
          <w:szCs w:val="32"/>
        </w:rPr>
        <w:t>便捷性和共享性。</w:t>
      </w:r>
      <w:r>
        <w:rPr>
          <w:rFonts w:hint="eastAsia" w:ascii="方正仿宋_GBK" w:hAnsi="方正黑体_GBK" w:eastAsia="方正仿宋_GBK" w:cs="方正黑体_GBK"/>
          <w:sz w:val="32"/>
          <w:szCs w:val="32"/>
        </w:rPr>
        <w:t>“苏创大讲堂”依托的太湖金谷在线平台支持移动端、</w:t>
      </w:r>
      <w:r>
        <w:rPr>
          <w:rFonts w:hint="eastAsia" w:ascii="方正仿宋_GBK" w:eastAsia="方正仿宋_GBK"/>
          <w:sz w:val="32"/>
          <w:szCs w:val="32"/>
        </w:rPr>
        <w:t>PC端同步运行，可实现在线直播、课程回放、视频录播、实时互动、教师答疑、资料共享、社群运营等各类功能，为在线培训提供了稳定、安全、可靠的技术支持，最大化提高了线上培训的覆盖面和使用率。</w:t>
      </w:r>
      <w:r>
        <w:rPr>
          <w:rFonts w:hint="eastAsia" w:ascii="方正楷体_GBK" w:eastAsia="方正楷体_GBK"/>
          <w:sz w:val="32"/>
          <w:szCs w:val="32"/>
        </w:rPr>
        <w:t>三是培训效果突</w:t>
      </w:r>
      <w:r>
        <w:rPr>
          <w:rFonts w:ascii="方正楷体_GBK" w:eastAsia="方正楷体_GBK"/>
          <w:sz w:val="32"/>
          <w:szCs w:val="32"/>
        </w:rPr>
        <w:t>出</w:t>
      </w:r>
      <w:r>
        <w:rPr>
          <w:rFonts w:hint="eastAsia" w:ascii="方正楷体_GBK" w:eastAsia="方正楷体_GBK"/>
          <w:sz w:val="32"/>
          <w:szCs w:val="32"/>
        </w:rPr>
        <w:t>指导性和实践性。</w:t>
      </w:r>
      <w:r>
        <w:rPr>
          <w:rFonts w:hint="eastAsia" w:ascii="方正仿宋_GBK" w:eastAsia="方正仿宋_GBK"/>
          <w:sz w:val="32"/>
          <w:szCs w:val="32"/>
        </w:rPr>
        <w:t>为提高线上培训的互动性及有效性，专家会在答疑环节针对企业提出的问题进行精准解答和指导，进一步提升了学员的实际参与感，此外还设置了“苏创大讲堂”线上互动群，以便企业在直播结束后向专家咨询各类问题，实现专家问诊“零距离”，远程携手“解难题”。</w:t>
      </w:r>
    </w:p>
    <w:p>
      <w:pPr>
        <w:spacing w:line="590" w:lineRule="exact"/>
        <w:ind w:firstLine="660"/>
        <w:rPr>
          <w:rFonts w:ascii="方正黑体_GBK" w:eastAsia="方正黑体_GBK"/>
          <w:sz w:val="32"/>
          <w:szCs w:val="32"/>
        </w:rPr>
      </w:pPr>
      <w:r>
        <w:rPr>
          <w:rFonts w:hint="eastAsia" w:ascii="方正黑体_GBK" w:eastAsia="方正黑体_GBK"/>
          <w:sz w:val="32"/>
          <w:szCs w:val="32"/>
        </w:rPr>
        <w:t>三、</w:t>
      </w:r>
      <w:r>
        <w:rPr>
          <w:rFonts w:ascii="方正黑体_GBK" w:eastAsia="方正黑体_GBK"/>
          <w:sz w:val="32"/>
          <w:szCs w:val="32"/>
        </w:rPr>
        <w:t>连云港</w:t>
      </w:r>
      <w:r>
        <w:rPr>
          <w:rFonts w:hint="eastAsia" w:ascii="方正黑体_GBK" w:eastAsia="方正黑体_GBK"/>
          <w:sz w:val="32"/>
          <w:szCs w:val="32"/>
        </w:rPr>
        <w:t>市</w:t>
      </w:r>
      <w:r>
        <w:rPr>
          <w:rFonts w:ascii="方正黑体_GBK" w:eastAsia="方正黑体_GBK"/>
          <w:sz w:val="32"/>
          <w:szCs w:val="32"/>
        </w:rPr>
        <w:t>：</w:t>
      </w:r>
      <w:r>
        <w:rPr>
          <w:rFonts w:hint="eastAsia" w:ascii="方正黑体_GBK" w:eastAsia="方正黑体_GBK"/>
          <w:sz w:val="32"/>
          <w:szCs w:val="32"/>
        </w:rPr>
        <w:t>打</w:t>
      </w:r>
      <w:r>
        <w:rPr>
          <w:rFonts w:ascii="方正黑体_GBK" w:eastAsia="方正黑体_GBK"/>
          <w:sz w:val="32"/>
          <w:szCs w:val="32"/>
        </w:rPr>
        <w:t>造</w:t>
      </w:r>
      <w:r>
        <w:rPr>
          <w:rFonts w:hint="eastAsia" w:ascii="方正黑体_GBK" w:eastAsia="方正黑体_GBK"/>
          <w:sz w:val="32"/>
          <w:szCs w:val="32"/>
        </w:rPr>
        <w:t>“四个一”模式，</w:t>
      </w:r>
      <w:r>
        <w:rPr>
          <w:rFonts w:ascii="方正黑体_GBK" w:eastAsia="方正黑体_GBK"/>
          <w:sz w:val="32"/>
          <w:szCs w:val="32"/>
        </w:rPr>
        <w:t>助企服务不打烊</w:t>
      </w:r>
    </w:p>
    <w:p>
      <w:pPr>
        <w:pStyle w:val="2"/>
        <w:spacing w:line="590" w:lineRule="exact"/>
        <w:ind w:firstLine="640" w:firstLineChars="200"/>
        <w:textAlignment w:val="baseline"/>
        <w:rPr>
          <w:rFonts w:hint="default" w:ascii="Times New Roman" w:hAnsi="Times New Roman" w:eastAsia="黑体" w:cs="Times New Roman"/>
          <w:sz w:val="32"/>
          <w:szCs w:val="32"/>
        </w:rPr>
      </w:pPr>
      <w:r>
        <w:rPr>
          <w:rFonts w:ascii="Times New Roman" w:hAnsi="Times New Roman" w:eastAsia="仿宋_GB2312" w:cs="Times New Roman"/>
          <w:sz w:val="32"/>
          <w:szCs w:val="32"/>
        </w:rPr>
        <w:t>连云港市工信局创造性贯彻落实工信部、省工信厅工作部署，率先开展“中小企业服务月”活动，创建“四个一”服务模式，统筹资源“一起益企”，助企服务全年不打烊，助力中小企业高质量发展</w:t>
      </w:r>
      <w:r>
        <w:rPr>
          <w:rFonts w:ascii="楷体_GB2312" w:hAnsi="楷体_GB2312" w:eastAsia="楷体_GB2312" w:cs="楷体_GB2312"/>
          <w:b/>
          <w:bCs/>
          <w:sz w:val="32"/>
          <w:szCs w:val="32"/>
        </w:rPr>
        <w:t>。</w:t>
      </w:r>
      <w:r>
        <w:rPr>
          <w:rFonts w:ascii="楷体_GB2312" w:hAnsi="楷体_GB2312" w:eastAsia="楷体_GB2312" w:cs="楷体_GB2312"/>
          <w:bCs/>
          <w:sz w:val="32"/>
          <w:szCs w:val="32"/>
        </w:rPr>
        <w:t>一是下好“一盘棋”。</w:t>
      </w:r>
      <w:r>
        <w:rPr>
          <w:rFonts w:ascii="Times New Roman" w:hAnsi="Times New Roman" w:eastAsia="仿宋_GB2312" w:cs="Times New Roman"/>
          <w:bCs/>
          <w:sz w:val="32"/>
          <w:szCs w:val="32"/>
        </w:rPr>
        <w:t>市政府确定每年5月第二个周二启动年度“中小企业服务月”活动，市工信局充分发挥牵头作用，推动各县区、部门立足工作职能，围绕主题协同开展助企服务活动。2022年服务月期间，</w:t>
      </w:r>
      <w:r>
        <w:rPr>
          <w:rFonts w:ascii="Times New Roman" w:hAnsi="Times New Roman" w:eastAsia="仿宋_GB2312" w:cs="Times New Roman"/>
          <w:sz w:val="32"/>
          <w:szCs w:val="32"/>
        </w:rPr>
        <w:t>市各部门、各县区板块共开展服务活动175场，服务企业4万家次，</w:t>
      </w:r>
      <w:r>
        <w:rPr>
          <w:rFonts w:ascii="Times New Roman" w:hAnsi="Times New Roman" w:eastAsia="仿宋_GB2312" w:cs="Times New Roman"/>
          <w:bCs/>
          <w:sz w:val="32"/>
          <w:szCs w:val="32"/>
        </w:rPr>
        <w:t>协调解决困难诉求282件，提供融资超200亿元。</w:t>
      </w:r>
      <w:r>
        <w:rPr>
          <w:rFonts w:ascii="楷体_GB2312" w:hAnsi="楷体_GB2312" w:eastAsia="楷体_GB2312" w:cs="楷体_GB2312"/>
          <w:bCs/>
          <w:sz w:val="32"/>
          <w:szCs w:val="32"/>
        </w:rPr>
        <w:t>二是织密“一张网”。</w:t>
      </w:r>
      <w:r>
        <w:rPr>
          <w:rFonts w:ascii="Times New Roman" w:hAnsi="Times New Roman" w:eastAsia="仿宋_GB2312" w:cs="Times New Roman"/>
          <w:bCs/>
          <w:sz w:val="32"/>
          <w:szCs w:val="32"/>
        </w:rPr>
        <w:t>成立覆盖市县、乡镇的稳增长、保链条服务专班，强化200强企业、400个重点项目专人服务机制，建立200家正负向拉动企业库、200家小升规后备企业库，强化分类指导，开展精准服务。</w:t>
      </w:r>
      <w:r>
        <w:rPr>
          <w:rFonts w:ascii="楷体_GB2312" w:hAnsi="楷体_GB2312" w:eastAsia="楷体_GB2312" w:cs="楷体_GB2312"/>
          <w:bCs/>
          <w:sz w:val="32"/>
          <w:szCs w:val="32"/>
        </w:rPr>
        <w:t>三是服务“一条龙”。</w:t>
      </w:r>
      <w:r>
        <w:rPr>
          <w:rFonts w:ascii="Times New Roman" w:hAnsi="Times New Roman" w:eastAsia="仿宋_GB2312" w:cs="Times New Roman"/>
          <w:color w:val="000000"/>
          <w:sz w:val="32"/>
          <w:szCs w:val="32"/>
        </w:rPr>
        <w:t>构建</w:t>
      </w:r>
      <w:r>
        <w:rPr>
          <w:rFonts w:hint="default" w:ascii="Times New Roman" w:hAnsi="Times New Roman" w:eastAsia="仿宋_GB2312" w:cs="Times New Roman"/>
          <w:color w:val="000000"/>
          <w:sz w:val="32"/>
          <w:szCs w:val="32"/>
        </w:rPr>
        <w:t>政策宣贯、智改数转等</w:t>
      </w:r>
      <w:r>
        <w:rPr>
          <w:rFonts w:ascii="Times New Roman" w:hAnsi="Times New Roman" w:eastAsia="仿宋_GB2312" w:cs="Times New Roman"/>
          <w:color w:val="000000"/>
          <w:sz w:val="32"/>
          <w:szCs w:val="32"/>
        </w:rPr>
        <w:t>十大</w:t>
      </w:r>
      <w:r>
        <w:rPr>
          <w:rFonts w:hint="default" w:ascii="Times New Roman" w:hAnsi="Times New Roman" w:eastAsia="仿宋_GB2312" w:cs="Times New Roman"/>
          <w:color w:val="000000"/>
          <w:sz w:val="32"/>
          <w:szCs w:val="32"/>
        </w:rPr>
        <w:t>主题模块</w:t>
      </w:r>
      <w:r>
        <w:rPr>
          <w:rFonts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开展“服务联盟进园区”“服务企业乡镇行”</w:t>
      </w:r>
      <w:r>
        <w:rPr>
          <w:rFonts w:ascii="Times New Roman" w:hAnsi="Times New Roman" w:eastAsia="仿宋_GB2312" w:cs="Times New Roman"/>
          <w:color w:val="000000"/>
          <w:sz w:val="32"/>
          <w:szCs w:val="32"/>
        </w:rPr>
        <w:t>等</w:t>
      </w:r>
      <w:r>
        <w:rPr>
          <w:rFonts w:hint="default" w:ascii="Times New Roman" w:hAnsi="Times New Roman" w:eastAsia="仿宋_GB2312" w:cs="Times New Roman"/>
          <w:color w:val="000000"/>
          <w:sz w:val="32"/>
          <w:szCs w:val="32"/>
        </w:rPr>
        <w:t>活动。发放惠企政策一本通</w:t>
      </w:r>
      <w:r>
        <w:rPr>
          <w:rFonts w:ascii="Times New Roman" w:hAnsi="Times New Roman" w:eastAsia="仿宋_GB2312" w:cs="Times New Roman"/>
          <w:color w:val="000000"/>
          <w:sz w:val="32"/>
          <w:szCs w:val="32"/>
        </w:rPr>
        <w:t>25</w:t>
      </w:r>
      <w:r>
        <w:rPr>
          <w:rFonts w:hint="default" w:ascii="Times New Roman" w:hAnsi="Times New Roman" w:eastAsia="仿宋_GB2312" w:cs="Times New Roman"/>
          <w:color w:val="000000"/>
          <w:sz w:val="32"/>
          <w:szCs w:val="32"/>
        </w:rPr>
        <w:t>00份</w:t>
      </w:r>
      <w:r>
        <w:rPr>
          <w:rFonts w:ascii="Times New Roman" w:hAnsi="Times New Roman" w:eastAsia="仿宋_GB2312" w:cs="Times New Roman"/>
          <w:color w:val="000000"/>
          <w:sz w:val="32"/>
          <w:szCs w:val="32"/>
        </w:rPr>
        <w:t>，下发奖补资金6000余万元</w:t>
      </w:r>
      <w:r>
        <w:rPr>
          <w:rFonts w:ascii="Times New Roman" w:hAnsi="Times New Roman" w:eastAsia="楷体_GB2312" w:cs="Times New Roman"/>
          <w:color w:val="000000"/>
          <w:sz w:val="32"/>
          <w:szCs w:val="32"/>
        </w:rPr>
        <w:t>。</w:t>
      </w:r>
      <w:r>
        <w:rPr>
          <w:rFonts w:hint="default" w:ascii="Times New Roman" w:hAnsi="Times New Roman" w:eastAsia="仿宋_GB2312" w:cs="Times New Roman"/>
          <w:color w:val="000000"/>
          <w:sz w:val="32"/>
          <w:szCs w:val="32"/>
        </w:rPr>
        <w:t>全省</w:t>
      </w:r>
      <w:r>
        <w:rPr>
          <w:rFonts w:ascii="Times New Roman" w:hAnsi="Times New Roman" w:eastAsia="仿宋_GB2312" w:cs="Times New Roman"/>
          <w:color w:val="000000"/>
          <w:sz w:val="32"/>
          <w:szCs w:val="32"/>
        </w:rPr>
        <w:t>首创</w:t>
      </w:r>
      <w:r>
        <w:rPr>
          <w:rFonts w:hint="default" w:ascii="Times New Roman" w:hAnsi="Times New Roman" w:eastAsia="仿宋_GB2312" w:cs="Times New Roman"/>
          <w:color w:val="000000"/>
          <w:sz w:val="32"/>
          <w:szCs w:val="32"/>
        </w:rPr>
        <w:t>破格认定49名中级工程师，开辟</w:t>
      </w:r>
      <w:r>
        <w:rPr>
          <w:rFonts w:ascii="Times New Roman" w:hAnsi="Times New Roman" w:eastAsia="仿宋_GB2312" w:cs="Times New Roman"/>
          <w:color w:val="000000"/>
          <w:sz w:val="32"/>
          <w:szCs w:val="32"/>
        </w:rPr>
        <w:t>中小企业</w:t>
      </w:r>
      <w:r>
        <w:rPr>
          <w:rFonts w:hint="default" w:ascii="Times New Roman" w:hAnsi="Times New Roman" w:eastAsia="仿宋_GB2312" w:cs="Times New Roman"/>
          <w:color w:val="000000"/>
          <w:sz w:val="32"/>
          <w:szCs w:val="32"/>
        </w:rPr>
        <w:t>人才评价“绿色通道”。试点培育“无疫企业”，保障</w:t>
      </w:r>
      <w:r>
        <w:rPr>
          <w:rFonts w:ascii="Times New Roman" w:hAnsi="Times New Roman" w:eastAsia="仿宋_GB2312" w:cs="Times New Roman"/>
          <w:color w:val="000000"/>
          <w:sz w:val="32"/>
          <w:szCs w:val="32"/>
        </w:rPr>
        <w:t>疫情期间</w:t>
      </w:r>
      <w:r>
        <w:rPr>
          <w:rFonts w:hint="default" w:ascii="Times New Roman" w:hAnsi="Times New Roman" w:eastAsia="仿宋_GB2312" w:cs="Times New Roman"/>
          <w:color w:val="000000"/>
          <w:sz w:val="32"/>
          <w:szCs w:val="32"/>
        </w:rPr>
        <w:t>正常生产运营。</w:t>
      </w:r>
      <w:r>
        <w:rPr>
          <w:rFonts w:ascii="楷体_GB2312" w:hAnsi="楷体_GB2312" w:eastAsia="楷体_GB2312" w:cs="楷体_GB2312"/>
          <w:bCs/>
          <w:sz w:val="32"/>
          <w:szCs w:val="32"/>
        </w:rPr>
        <w:t>四是搭建“一座桥”。</w:t>
      </w:r>
      <w:r>
        <w:rPr>
          <w:rFonts w:ascii="Times New Roman" w:hAnsi="Times New Roman" w:eastAsia="仿宋_GB2312" w:cs="Times New Roman"/>
          <w:sz w:val="32"/>
          <w:szCs w:val="32"/>
        </w:rPr>
        <w:t>成立全市中小企业服务联盟，建立投融资等4个专委会，提供一站式、全周期公益服务，将服务活动贯穿全年始终。今年以来，组织活动超200场，培训人员超4万人次。举办大中小企业融通发展石化专场活动3期，达成合作40余次，合作金额超2亿元。</w:t>
      </w:r>
    </w:p>
    <w:p>
      <w:pPr>
        <w:spacing w:line="590" w:lineRule="exact"/>
        <w:rPr>
          <w:rFonts w:ascii="方正黑体_GBK" w:hAnsi="仿宋" w:eastAsia="方正黑体_GBK"/>
          <w:sz w:val="32"/>
          <w:szCs w:val="32"/>
        </w:rPr>
      </w:pPr>
      <w:r>
        <w:rPr>
          <w:rFonts w:hint="eastAsia" w:ascii="方正仿宋_GBK" w:eastAsia="方正仿宋_GBK"/>
          <w:sz w:val="32"/>
          <w:szCs w:val="32"/>
        </w:rPr>
        <w:t xml:space="preserve">    </w:t>
      </w:r>
      <w:r>
        <w:rPr>
          <w:rFonts w:hint="eastAsia" w:ascii="方正黑体_GBK" w:hAnsi="仿宋" w:eastAsia="方正黑体_GBK"/>
          <w:sz w:val="32"/>
          <w:szCs w:val="32"/>
        </w:rPr>
        <w:t>四、盐城市：开展 “双走进”精准服务，助力中小企业高质量发展</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盐城市工信局积极组织开展“双走进”(走进园区、走进企业)活动，以纾困解难、政策解读、专精特新培育、安全生产、普惠金融等为重点，开展系列精准服务。</w:t>
      </w:r>
      <w:r>
        <w:rPr>
          <w:rFonts w:hint="eastAsia" w:ascii="方正楷体_GBK" w:hAnsi="仿宋" w:eastAsia="方正楷体_GBK"/>
          <w:sz w:val="32"/>
          <w:szCs w:val="32"/>
        </w:rPr>
        <w:t>一是进园区，送政策。</w:t>
      </w:r>
      <w:r>
        <w:rPr>
          <w:rFonts w:hint="eastAsia" w:ascii="仿宋" w:hAnsi="仿宋" w:eastAsia="仿宋"/>
          <w:sz w:val="32"/>
          <w:szCs w:val="32"/>
        </w:rPr>
        <w:t>市、县联动赴市级以上工业园区开展“政策宣讲解读”活动，由市工信局牵头，联合市发改委、人民银行、融资机构等组成宣讲团，各县（市、区）提前调研选择2至3个宣讲课题，覆盖全市各（县、区），共举办11场活动，进行线上直播宣讲，服务人数1200余人。同时，将线上讲堂的内容进行录制，通过“我的盐城APP”中“盐企通”栏目进行推送，让全市广大中小企业能够通过网络反复观看</w:t>
      </w:r>
      <w:r>
        <w:rPr>
          <w:rFonts w:ascii="仿宋" w:hAnsi="仿宋" w:eastAsia="仿宋"/>
          <w:sz w:val="32"/>
          <w:szCs w:val="32"/>
        </w:rPr>
        <w:t>，深入学习</w:t>
      </w:r>
      <w:r>
        <w:rPr>
          <w:rFonts w:hint="eastAsia" w:ascii="仿宋" w:hAnsi="仿宋" w:eastAsia="仿宋"/>
          <w:sz w:val="32"/>
          <w:szCs w:val="32"/>
        </w:rPr>
        <w:t>了解政策策宣讲解读内容。编印《盐城市中小微企业政策汇编（2022）版》2.4万册，免费发放给全市有关政府部门、广大中小企业，提高我市中小微企业政策知晓率。</w:t>
      </w:r>
      <w:r>
        <w:rPr>
          <w:rFonts w:hint="eastAsia" w:ascii="方正楷体_GBK" w:hAnsi="仿宋" w:eastAsia="方正楷体_GBK"/>
          <w:sz w:val="32"/>
          <w:szCs w:val="32"/>
        </w:rPr>
        <w:t>二是进企业，送服务。</w:t>
      </w:r>
      <w:r>
        <w:rPr>
          <w:rFonts w:hint="eastAsia" w:ascii="仿宋" w:hAnsi="仿宋" w:eastAsia="仿宋"/>
          <w:sz w:val="32"/>
          <w:szCs w:val="32"/>
        </w:rPr>
        <w:t>依托市中小微企业服务联盟，组建专家服务小组，通过政策宣贯、现场授课、交流发言、组织专家咨询诊断、提供现场答疑服务，为企业送管理、送技术、送服务，提升企业管理效能，提振企业发展信心，今年以来共走进55家企业开展精准服务，得到企业一致好评。举办盐城市“专精特新”中小企业能力提升——智能化改造与数字化转型专题培训活动，为中小企业提供惠企政策及智能化改造与数字化转型服务，80多家企业参加。开展专精特新中小企业政策解读及申报实务培训，帮助企业了解政策，积极申报，线下培训200人，线上服务1086人次，组织专精特新企业培育服务系列直播活动14场次，受益企业8000余家。</w:t>
      </w:r>
    </w:p>
    <w:p>
      <w:pPr>
        <w:spacing w:line="590" w:lineRule="exact"/>
        <w:ind w:firstLine="640" w:firstLineChars="200"/>
        <w:rPr>
          <w:rFonts w:ascii="方正黑体_GBK" w:hAnsi="黑体" w:eastAsia="方正黑体_GBK"/>
          <w:sz w:val="32"/>
          <w:szCs w:val="32"/>
        </w:rPr>
      </w:pPr>
      <w:r>
        <w:rPr>
          <w:rFonts w:hint="eastAsia" w:ascii="黑体" w:hAnsi="黑体" w:eastAsia="黑体"/>
          <w:sz w:val="32"/>
          <w:szCs w:val="32"/>
        </w:rPr>
        <w:t>五、扬州市：强</w:t>
      </w:r>
      <w:r>
        <w:rPr>
          <w:rFonts w:ascii="黑体" w:hAnsi="黑体" w:eastAsia="黑体"/>
          <w:sz w:val="32"/>
          <w:szCs w:val="32"/>
        </w:rPr>
        <w:t>化</w:t>
      </w:r>
      <w:r>
        <w:rPr>
          <w:rFonts w:hint="eastAsia" w:ascii="方正黑体_GBK" w:hAnsi="黑体" w:eastAsia="方正黑体_GBK"/>
          <w:sz w:val="32"/>
          <w:szCs w:val="32"/>
        </w:rPr>
        <w:t>专精特新企业培育，助推中</w:t>
      </w:r>
      <w:r>
        <w:rPr>
          <w:rFonts w:ascii="方正黑体_GBK" w:hAnsi="黑体" w:eastAsia="方正黑体_GBK"/>
          <w:sz w:val="32"/>
          <w:szCs w:val="32"/>
        </w:rPr>
        <w:t>小</w:t>
      </w:r>
      <w:r>
        <w:rPr>
          <w:rFonts w:hint="eastAsia" w:ascii="方正黑体_GBK" w:hAnsi="仿宋" w:eastAsia="方正黑体_GBK"/>
          <w:sz w:val="32"/>
          <w:szCs w:val="32"/>
        </w:rPr>
        <w:t>企业做</w:t>
      </w:r>
      <w:r>
        <w:rPr>
          <w:rFonts w:ascii="方正黑体_GBK" w:hAnsi="仿宋" w:eastAsia="方正黑体_GBK"/>
          <w:sz w:val="32"/>
          <w:szCs w:val="32"/>
        </w:rPr>
        <w:t>优做强</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扬州市工信局聚焦专精特新企业培育，</w:t>
      </w:r>
      <w:r>
        <w:rPr>
          <w:rFonts w:ascii="方正仿宋_GBK" w:eastAsia="方正仿宋_GBK"/>
          <w:sz w:val="32"/>
          <w:szCs w:val="32"/>
        </w:rPr>
        <w:t>健全完善精准高效专精特新中小企业公共服务体系</w:t>
      </w:r>
      <w:r>
        <w:rPr>
          <w:rFonts w:hint="eastAsia" w:ascii="方正仿宋_GBK" w:eastAsia="方正仿宋_GBK"/>
          <w:sz w:val="32"/>
          <w:szCs w:val="32"/>
        </w:rPr>
        <w:t>，助力专精特新企业高质量发展。</w:t>
      </w:r>
      <w:r>
        <w:rPr>
          <w:rFonts w:hint="eastAsia" w:ascii="方正楷体_GBK" w:hAnsi="仿宋" w:eastAsia="方正楷体_GBK"/>
          <w:sz w:val="32"/>
          <w:szCs w:val="32"/>
        </w:rPr>
        <w:t>一是建立服务专员机制。</w:t>
      </w:r>
      <w:r>
        <w:rPr>
          <w:rFonts w:ascii="方正仿宋_GBK" w:eastAsia="方正仿宋_GBK"/>
          <w:sz w:val="32"/>
          <w:szCs w:val="32"/>
        </w:rPr>
        <w:t>将专精特新小巨人企业纳入处级以上领导干部政务服务专员挂钩联系名单，实现了国家级专精特新小巨人全覆盖</w:t>
      </w:r>
      <w:r>
        <w:rPr>
          <w:rFonts w:hint="eastAsia" w:ascii="方正仿宋_GBK" w:eastAsia="方正仿宋_GBK"/>
          <w:sz w:val="32"/>
          <w:szCs w:val="32"/>
        </w:rPr>
        <w:t>，帮助企业解决政策、用工、技术改造等各位问题诉求76项。会同市人行对174家</w:t>
      </w:r>
      <w:r>
        <w:rPr>
          <w:rFonts w:ascii="方正仿宋_GBK" w:eastAsia="方正仿宋_GBK"/>
          <w:sz w:val="32"/>
          <w:szCs w:val="32"/>
        </w:rPr>
        <w:t>专精特新</w:t>
      </w:r>
      <w:r>
        <w:rPr>
          <w:rFonts w:hint="eastAsia" w:ascii="方正仿宋_GBK" w:eastAsia="方正仿宋_GBK"/>
          <w:sz w:val="32"/>
          <w:szCs w:val="32"/>
        </w:rPr>
        <w:t>小巨人和培育企业，一对一配备“金融顾问”，今年上半年专精特新企业</w:t>
      </w:r>
      <w:r>
        <w:rPr>
          <w:rFonts w:ascii="方正仿宋_GBK" w:eastAsia="方正仿宋_GBK"/>
          <w:sz w:val="32"/>
          <w:szCs w:val="32"/>
        </w:rPr>
        <w:t>信贷</w:t>
      </w:r>
      <w:r>
        <w:rPr>
          <w:rFonts w:hint="eastAsia" w:ascii="方正仿宋_GBK" w:eastAsia="方正仿宋_GBK"/>
          <w:sz w:val="32"/>
          <w:szCs w:val="32"/>
        </w:rPr>
        <w:t>客户</w:t>
      </w:r>
      <w:r>
        <w:rPr>
          <w:rFonts w:ascii="方正仿宋_GBK" w:eastAsia="方正仿宋_GBK"/>
          <w:sz w:val="32"/>
          <w:szCs w:val="32"/>
        </w:rPr>
        <w:t>覆盖面、信贷获得率100%</w:t>
      </w:r>
      <w:r>
        <w:rPr>
          <w:rFonts w:hint="eastAsia" w:ascii="方正仿宋_GBK" w:eastAsia="方正仿宋_GBK"/>
          <w:sz w:val="32"/>
          <w:szCs w:val="32"/>
        </w:rPr>
        <w:t>，贷款余额81亿元，户均近5000万元。</w:t>
      </w:r>
      <w:r>
        <w:rPr>
          <w:rFonts w:hint="eastAsia" w:ascii="方正楷体_GBK" w:hAnsi="仿宋" w:eastAsia="方正楷体_GBK"/>
          <w:sz w:val="32"/>
          <w:szCs w:val="32"/>
        </w:rPr>
        <w:t>二是搭建政企交流平台。</w:t>
      </w:r>
      <w:r>
        <w:rPr>
          <w:rFonts w:ascii="方正仿宋_GBK" w:eastAsia="方正仿宋_GBK"/>
          <w:sz w:val="32"/>
          <w:szCs w:val="32"/>
        </w:rPr>
        <w:t>推荐</w:t>
      </w:r>
      <w:r>
        <w:rPr>
          <w:rFonts w:hint="eastAsia" w:ascii="方正仿宋_GBK" w:eastAsia="方正仿宋_GBK"/>
          <w:sz w:val="32"/>
          <w:szCs w:val="32"/>
        </w:rPr>
        <w:t>近40家省级</w:t>
      </w:r>
      <w:r>
        <w:rPr>
          <w:rFonts w:ascii="方正仿宋_GBK" w:eastAsia="方正仿宋_GBK"/>
          <w:sz w:val="32"/>
          <w:szCs w:val="32"/>
        </w:rPr>
        <w:t>专精特新</w:t>
      </w:r>
      <w:r>
        <w:rPr>
          <w:rFonts w:hint="eastAsia" w:ascii="方正仿宋_GBK" w:eastAsia="方正仿宋_GBK"/>
          <w:sz w:val="32"/>
          <w:szCs w:val="32"/>
        </w:rPr>
        <w:t>小巨人</w:t>
      </w:r>
      <w:r>
        <w:rPr>
          <w:rFonts w:ascii="方正仿宋_GBK" w:eastAsia="方正仿宋_GBK"/>
          <w:sz w:val="32"/>
          <w:szCs w:val="32"/>
        </w:rPr>
        <w:t>企业参加各级政府的</w:t>
      </w:r>
      <w:r>
        <w:rPr>
          <w:rFonts w:hint="eastAsia" w:ascii="方正仿宋_GBK" w:eastAsia="方正仿宋_GBK"/>
          <w:sz w:val="32"/>
          <w:szCs w:val="32"/>
        </w:rPr>
        <w:t>“</w:t>
      </w:r>
      <w:r>
        <w:rPr>
          <w:rFonts w:ascii="方正仿宋_GBK" w:eastAsia="方正仿宋_GBK"/>
          <w:sz w:val="32"/>
          <w:szCs w:val="32"/>
        </w:rPr>
        <w:t>早茶会</w:t>
      </w:r>
      <w:r>
        <w:rPr>
          <w:rFonts w:hint="eastAsia" w:ascii="方正仿宋_GBK" w:eastAsia="方正仿宋_GBK"/>
          <w:sz w:val="32"/>
          <w:szCs w:val="32"/>
        </w:rPr>
        <w:t>”、</w:t>
      </w:r>
      <w:r>
        <w:rPr>
          <w:rFonts w:ascii="方正仿宋_GBK" w:eastAsia="方正仿宋_GBK"/>
          <w:sz w:val="32"/>
          <w:szCs w:val="32"/>
        </w:rPr>
        <w:t>座谈会等政企交流活动，畅通政企沟通渠道</w:t>
      </w:r>
      <w:r>
        <w:rPr>
          <w:rFonts w:hint="eastAsia" w:ascii="方正仿宋_GBK" w:eastAsia="方正仿宋_GBK"/>
          <w:sz w:val="32"/>
          <w:szCs w:val="32"/>
        </w:rPr>
        <w:t>，</w:t>
      </w:r>
      <w:r>
        <w:rPr>
          <w:rFonts w:ascii="方正仿宋_GBK" w:eastAsia="方正仿宋_GBK"/>
          <w:sz w:val="32"/>
          <w:szCs w:val="32"/>
        </w:rPr>
        <w:t>定期了解企业生产经营情况，重点摸排企业发展中存在的困难问题和服务需求，一企一册建立服务台账，对问题诉求逐项办理销号</w:t>
      </w:r>
      <w:r>
        <w:rPr>
          <w:rFonts w:hint="eastAsia" w:ascii="方正仿宋_GBK" w:eastAsia="方正仿宋_GBK"/>
          <w:sz w:val="32"/>
          <w:szCs w:val="32"/>
        </w:rPr>
        <w:t>。</w:t>
      </w:r>
      <w:r>
        <w:rPr>
          <w:rFonts w:hint="eastAsia" w:ascii="方正楷体_GBK" w:hAnsi="仿宋" w:eastAsia="方正楷体_GBK"/>
          <w:sz w:val="32"/>
          <w:szCs w:val="32"/>
        </w:rPr>
        <w:t>三是开展系列服务活动。</w:t>
      </w:r>
      <w:r>
        <w:rPr>
          <w:rFonts w:hint="eastAsia" w:ascii="方正仿宋_GBK" w:eastAsia="方正仿宋_GBK"/>
          <w:sz w:val="32"/>
          <w:szCs w:val="32"/>
        </w:rPr>
        <w:t>进一步调动中小企业公共服务平台（基地）、协会商会、高校等各类资源为专精特新企业提供精准服务，今年共征集了全市48项专精特新企业公益服务活动，针对专精特新企业开展各类培训、沙龙、内训、巡诊、标杆游学、上市培育等专项活动累计32场，实现省级专精特新企业服务全覆盖。</w:t>
      </w:r>
    </w:p>
    <w:p>
      <w:pPr>
        <w:spacing w:line="590" w:lineRule="exact"/>
        <w:ind w:firstLine="600"/>
        <w:rPr>
          <w:rFonts w:ascii="方正仿宋_GBK" w:eastAsia="方正仿宋_GBK"/>
          <w:color w:val="FF0000"/>
          <w:sz w:val="32"/>
          <w:szCs w:val="32"/>
        </w:rPr>
      </w:pPr>
    </w:p>
    <w:p>
      <w:pPr>
        <w:spacing w:line="590" w:lineRule="exact"/>
        <w:ind w:firstLine="640" w:firstLineChars="200"/>
        <w:rPr>
          <w:rFonts w:ascii="黑体" w:hAnsi="黑体" w:eastAsia="黑体"/>
          <w:sz w:val="32"/>
          <w:szCs w:val="32"/>
        </w:rPr>
      </w:pPr>
    </w:p>
    <w:sectPr>
      <w:footerReference r:id="rId3" w:type="default"/>
      <w:pgSz w:w="11906" w:h="16838"/>
      <w:pgMar w:top="1814"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245123"/>
    </w:sdtPr>
    <w:sdtEndPr>
      <w:rPr>
        <w:rFonts w:ascii="宋体" w:hAnsi="宋体" w:eastAsia="宋体"/>
        <w:sz w:val="30"/>
        <w:szCs w:val="30"/>
      </w:rPr>
    </w:sdtEndPr>
    <w:sdtContent>
      <w:p>
        <w:pPr>
          <w:pStyle w:val="3"/>
          <w:jc w:val="center"/>
          <w:rPr>
            <w:rFonts w:ascii="宋体" w:hAnsi="宋体" w:eastAsia="宋体"/>
            <w:sz w:val="30"/>
            <w:szCs w:val="30"/>
          </w:rPr>
        </w:pPr>
        <w:r>
          <w:rPr>
            <w:rFonts w:ascii="宋体" w:hAnsi="宋体" w:eastAsia="宋体"/>
            <w:sz w:val="30"/>
            <w:szCs w:val="30"/>
          </w:rPr>
          <w:t>-</w:t>
        </w:r>
        <w:r>
          <w:t xml:space="preserve"> </w:t>
        </w:r>
        <w:r>
          <w:rPr>
            <w:rFonts w:ascii="宋体" w:hAnsi="宋体" w:eastAsia="宋体"/>
            <w:sz w:val="30"/>
            <w:szCs w:val="30"/>
          </w:rPr>
          <w:fldChar w:fldCharType="begin"/>
        </w:r>
        <w:r>
          <w:rPr>
            <w:rFonts w:ascii="宋体" w:hAnsi="宋体" w:eastAsia="宋体"/>
            <w:sz w:val="30"/>
            <w:szCs w:val="30"/>
          </w:rPr>
          <w:instrText xml:space="preserve">PAGE   \* MERGEFORMAT</w:instrText>
        </w:r>
        <w:r>
          <w:rPr>
            <w:rFonts w:ascii="宋体" w:hAnsi="宋体" w:eastAsia="宋体"/>
            <w:sz w:val="30"/>
            <w:szCs w:val="30"/>
          </w:rPr>
          <w:fldChar w:fldCharType="separate"/>
        </w:r>
        <w:r>
          <w:rPr>
            <w:rFonts w:ascii="宋体" w:hAnsi="宋体" w:eastAsia="宋体"/>
            <w:sz w:val="30"/>
            <w:szCs w:val="30"/>
            <w:lang w:val="zh-CN"/>
          </w:rPr>
          <w:t>1</w:t>
        </w:r>
        <w:r>
          <w:rPr>
            <w:rFonts w:ascii="宋体" w:hAnsi="宋体" w:eastAsia="宋体"/>
            <w:sz w:val="30"/>
            <w:szCs w:val="30"/>
          </w:rPr>
          <w:fldChar w:fldCharType="end"/>
        </w:r>
        <w:r>
          <w:rPr>
            <w:rFonts w:ascii="宋体" w:hAnsi="宋体" w:eastAsia="宋体"/>
            <w:sz w:val="30"/>
            <w:szCs w:val="30"/>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hMjdhN2E0MzU2NWE5ZjRlYzQ0YzVkZDc5M2NhNGYifQ=="/>
  </w:docVars>
  <w:rsids>
    <w:rsidRoot w:val="00F12CE4"/>
    <w:rsid w:val="00025B15"/>
    <w:rsid w:val="00074289"/>
    <w:rsid w:val="00085664"/>
    <w:rsid w:val="000C1651"/>
    <w:rsid w:val="00134413"/>
    <w:rsid w:val="00183125"/>
    <w:rsid w:val="001A491C"/>
    <w:rsid w:val="001B560D"/>
    <w:rsid w:val="0024691E"/>
    <w:rsid w:val="002679FE"/>
    <w:rsid w:val="00310A7B"/>
    <w:rsid w:val="003422CC"/>
    <w:rsid w:val="00345302"/>
    <w:rsid w:val="003570C8"/>
    <w:rsid w:val="00357181"/>
    <w:rsid w:val="003D1DB5"/>
    <w:rsid w:val="003E101F"/>
    <w:rsid w:val="003F1E94"/>
    <w:rsid w:val="0040477F"/>
    <w:rsid w:val="00431B23"/>
    <w:rsid w:val="004613F0"/>
    <w:rsid w:val="004733F6"/>
    <w:rsid w:val="00476DD6"/>
    <w:rsid w:val="0054721F"/>
    <w:rsid w:val="00556DAA"/>
    <w:rsid w:val="00564954"/>
    <w:rsid w:val="00586CD0"/>
    <w:rsid w:val="005944A5"/>
    <w:rsid w:val="00640550"/>
    <w:rsid w:val="0065541A"/>
    <w:rsid w:val="0066201C"/>
    <w:rsid w:val="006B5084"/>
    <w:rsid w:val="006C1B57"/>
    <w:rsid w:val="00700DAB"/>
    <w:rsid w:val="00700F8C"/>
    <w:rsid w:val="00714A8C"/>
    <w:rsid w:val="0073174D"/>
    <w:rsid w:val="007432BB"/>
    <w:rsid w:val="00743B7A"/>
    <w:rsid w:val="00775C2C"/>
    <w:rsid w:val="007B5D37"/>
    <w:rsid w:val="0085674C"/>
    <w:rsid w:val="0089420D"/>
    <w:rsid w:val="00895CBD"/>
    <w:rsid w:val="008A493A"/>
    <w:rsid w:val="008F2B6E"/>
    <w:rsid w:val="00931ECB"/>
    <w:rsid w:val="009E5909"/>
    <w:rsid w:val="009F6330"/>
    <w:rsid w:val="00A42AF0"/>
    <w:rsid w:val="00A504F7"/>
    <w:rsid w:val="00A75596"/>
    <w:rsid w:val="00AF7776"/>
    <w:rsid w:val="00B11D2E"/>
    <w:rsid w:val="00B354F1"/>
    <w:rsid w:val="00B404DC"/>
    <w:rsid w:val="00BD3A6C"/>
    <w:rsid w:val="00C43AD8"/>
    <w:rsid w:val="00C72786"/>
    <w:rsid w:val="00CA44A6"/>
    <w:rsid w:val="00CC4B36"/>
    <w:rsid w:val="00D00FB6"/>
    <w:rsid w:val="00D229FD"/>
    <w:rsid w:val="00D42C7A"/>
    <w:rsid w:val="00DA7FCD"/>
    <w:rsid w:val="00DB1396"/>
    <w:rsid w:val="00DB3D03"/>
    <w:rsid w:val="00E37781"/>
    <w:rsid w:val="00E7428F"/>
    <w:rsid w:val="00E869E6"/>
    <w:rsid w:val="00EF781D"/>
    <w:rsid w:val="00F0415A"/>
    <w:rsid w:val="00F12CE4"/>
    <w:rsid w:val="00F13E5F"/>
    <w:rsid w:val="00F42E02"/>
    <w:rsid w:val="00FB6B00"/>
    <w:rsid w:val="00FB7A8E"/>
    <w:rsid w:val="00FC431B"/>
    <w:rsid w:val="00FF4B08"/>
    <w:rsid w:val="099B6322"/>
    <w:rsid w:val="13806B2E"/>
    <w:rsid w:val="3FF72A30"/>
    <w:rsid w:val="5F922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link w:val="11"/>
    <w:unhideWhenUsed/>
    <w:qFormat/>
    <w:uiPriority w:val="99"/>
    <w:pPr>
      <w:widowControl w:val="0"/>
      <w:jc w:val="both"/>
    </w:pPr>
    <w:rPr>
      <w:rFonts w:hint="eastAsia" w:asciiTheme="minorHAnsi" w:hAnsiTheme="minorHAnsi" w:eastAsiaTheme="minorEastAsia" w:cstheme="minorBidi"/>
      <w:kern w:val="2"/>
      <w:sz w:val="18"/>
      <w:szCs w:val="18"/>
      <w:lang w:val="en-US" w:eastAsia="zh-CN" w:bidi="ar-SA"/>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568</Words>
  <Characters>3241</Characters>
  <Lines>27</Lines>
  <Paragraphs>7</Paragraphs>
  <TotalTime>2</TotalTime>
  <ScaleCrop>false</ScaleCrop>
  <LinksUpToDate>false</LinksUpToDate>
  <CharactersWithSpaces>3802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2022-10-25T13:53:00Z</dcterms:created>
  <dc:creator>PC</dc:creator>
  <cp:lastModifiedBy>uos</cp:lastModifiedBy>
  <dcterms:modified xsi:type="dcterms:W3CDTF">2022-10-25T13:59:41Z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4F49C6E4AF09479BB1B9762326EE07A8</vt:lpwstr>
  </property>
</Properties>
</file>